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9017B5" w:rsidRPr="007D276E" w:rsidRDefault="009017B5" w:rsidP="007D276E">
      <w:pPr>
        <w:spacing w:after="0" w:line="480" w:lineRule="auto"/>
        <w:jc w:val="both"/>
        <w:rPr>
          <w:rFonts w:ascii="Times New Roman" w:hAnsi="Times New Roman" w:cs="Times New Roman"/>
          <w:color w:val="222222"/>
          <w:sz w:val="24"/>
          <w:szCs w:val="24"/>
          <w:shd w:val="clear" w:color="auto" w:fill="FFFFFF"/>
        </w:rPr>
      </w:pPr>
    </w:p>
    <w:p w:rsidR="007D276E" w:rsidRPr="007D276E" w:rsidRDefault="007D276E" w:rsidP="007D276E">
      <w:pPr>
        <w:tabs>
          <w:tab w:val="left" w:pos="4035"/>
        </w:tabs>
        <w:spacing w:after="0" w:line="480" w:lineRule="auto"/>
        <w:jc w:val="center"/>
        <w:rPr>
          <w:rFonts w:ascii="Times New Roman" w:hAnsi="Times New Roman" w:cs="Times New Roman"/>
          <w:sz w:val="24"/>
          <w:szCs w:val="24"/>
          <w:lang w:val="en-GB"/>
        </w:rPr>
      </w:pPr>
      <w:r w:rsidRPr="007D276E">
        <w:rPr>
          <w:rFonts w:ascii="Times New Roman" w:hAnsi="Times New Roman" w:cs="Times New Roman"/>
          <w:sz w:val="24"/>
          <w:szCs w:val="24"/>
          <w:lang w:val="en-GB"/>
        </w:rPr>
        <w:t>The Role of a College Education in the US Labor Market</w:t>
      </w:r>
    </w:p>
    <w:p w:rsidR="009017B5" w:rsidRPr="007D276E" w:rsidRDefault="009C329E" w:rsidP="007D276E">
      <w:pPr>
        <w:tabs>
          <w:tab w:val="left" w:pos="4035"/>
        </w:tabs>
        <w:spacing w:after="0" w:line="480" w:lineRule="auto"/>
        <w:jc w:val="center"/>
        <w:rPr>
          <w:rFonts w:ascii="Times New Roman" w:hAnsi="Times New Roman" w:cs="Times New Roman"/>
          <w:sz w:val="24"/>
          <w:szCs w:val="24"/>
        </w:rPr>
      </w:pPr>
      <w:r w:rsidRPr="007D276E">
        <w:rPr>
          <w:rFonts w:ascii="Times New Roman" w:hAnsi="Times New Roman" w:cs="Times New Roman"/>
          <w:sz w:val="24"/>
          <w:szCs w:val="24"/>
        </w:rPr>
        <w:t xml:space="preserve">Student’s </w:t>
      </w:r>
      <w:r w:rsidR="00490E9D" w:rsidRPr="007D276E">
        <w:rPr>
          <w:rFonts w:ascii="Times New Roman" w:hAnsi="Times New Roman" w:cs="Times New Roman"/>
          <w:sz w:val="24"/>
          <w:szCs w:val="24"/>
        </w:rPr>
        <w:t>Name</w:t>
      </w:r>
    </w:p>
    <w:p w:rsidR="009017B5" w:rsidRPr="007D276E" w:rsidRDefault="00490E9D" w:rsidP="007D276E">
      <w:pPr>
        <w:tabs>
          <w:tab w:val="left" w:pos="4035"/>
        </w:tabs>
        <w:spacing w:after="0" w:line="480" w:lineRule="auto"/>
        <w:jc w:val="center"/>
        <w:rPr>
          <w:rFonts w:ascii="Times New Roman" w:hAnsi="Times New Roman" w:cs="Times New Roman"/>
          <w:sz w:val="24"/>
          <w:szCs w:val="24"/>
        </w:rPr>
      </w:pPr>
      <w:r w:rsidRPr="007D276E">
        <w:rPr>
          <w:rFonts w:ascii="Times New Roman" w:hAnsi="Times New Roman" w:cs="Times New Roman"/>
          <w:sz w:val="24"/>
          <w:szCs w:val="24"/>
        </w:rPr>
        <w:t>Institutional Affiliation</w:t>
      </w:r>
    </w:p>
    <w:p w:rsidR="009017B5" w:rsidRPr="007D276E" w:rsidRDefault="00490E9D" w:rsidP="007D276E">
      <w:pPr>
        <w:spacing w:after="0" w:line="480" w:lineRule="auto"/>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br w:type="page"/>
      </w:r>
    </w:p>
    <w:p w:rsidR="007D276E" w:rsidRPr="007D276E" w:rsidRDefault="007D276E" w:rsidP="007D276E">
      <w:pPr>
        <w:spacing w:after="0" w:line="480" w:lineRule="auto"/>
        <w:jc w:val="center"/>
        <w:rPr>
          <w:rFonts w:ascii="Times New Roman" w:hAnsi="Times New Roman" w:cs="Times New Roman"/>
          <w:sz w:val="24"/>
          <w:szCs w:val="24"/>
          <w:lang w:val="en-GB"/>
        </w:rPr>
      </w:pPr>
      <w:r w:rsidRPr="007D276E">
        <w:rPr>
          <w:rFonts w:ascii="Times New Roman" w:hAnsi="Times New Roman" w:cs="Times New Roman"/>
          <w:sz w:val="24"/>
          <w:szCs w:val="24"/>
          <w:lang w:val="en-GB"/>
        </w:rPr>
        <w:lastRenderedPageBreak/>
        <w:t>The Role of a College Education in the US Labor Market</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Education plays an important part in ensuring individuals </w:t>
      </w:r>
      <w:r w:rsidR="00E0180D">
        <w:rPr>
          <w:rFonts w:ascii="Times New Roman" w:hAnsi="Times New Roman" w:cs="Times New Roman"/>
          <w:color w:val="222222"/>
          <w:sz w:val="24"/>
          <w:szCs w:val="24"/>
          <w:shd w:val="clear" w:color="auto" w:fill="FFFFFF"/>
        </w:rPr>
        <w:t xml:space="preserve">participate </w:t>
      </w:r>
      <w:r w:rsidRPr="007D276E">
        <w:rPr>
          <w:rFonts w:ascii="Times New Roman" w:hAnsi="Times New Roman" w:cs="Times New Roman"/>
          <w:color w:val="222222"/>
          <w:sz w:val="24"/>
          <w:szCs w:val="24"/>
          <w:shd w:val="clear" w:color="auto" w:fill="FFFFFF"/>
        </w:rPr>
        <w:t>in the labor market. It equips individuals with the necessary skills they require in engaging lifelong learning experiences. Over the years, the demand for workers who are college degree-bearers has increased, while for those workers who do not have a degree remained stagnant or fell. According to the U.S Bureau of Labor Statistics, in 2011, the mean earing for high school graduate was at $33,000, while for bachelor's degree-holding were over $54,000. For those who never finished high school, mean earnings were at $23,452 (Abel, Deitz, &amp; Su, 2014). Therefore, despite the changes in the current society, a college education still plays a key role in determining the success of the labor market including providing skill upgrading, preparing new labor market entrants, and enhances the performance of the workers.</w:t>
      </w:r>
    </w:p>
    <w:p w:rsidR="007D276E" w:rsidRPr="007D276E" w:rsidRDefault="007D276E" w:rsidP="000F501E">
      <w:pPr>
        <w:spacing w:after="0" w:line="480" w:lineRule="auto"/>
        <w:jc w:val="both"/>
        <w:rPr>
          <w:rFonts w:ascii="Times New Roman" w:hAnsi="Times New Roman" w:cs="Times New Roman"/>
          <w:b/>
          <w:color w:val="222222"/>
          <w:sz w:val="24"/>
          <w:szCs w:val="24"/>
          <w:shd w:val="clear" w:color="auto" w:fill="FFFFFF"/>
        </w:rPr>
      </w:pPr>
      <w:r w:rsidRPr="007D276E">
        <w:rPr>
          <w:rFonts w:ascii="Times New Roman" w:hAnsi="Times New Roman" w:cs="Times New Roman"/>
          <w:b/>
          <w:color w:val="222222"/>
          <w:sz w:val="24"/>
          <w:szCs w:val="24"/>
          <w:shd w:val="clear" w:color="auto" w:fill="FFFFFF"/>
        </w:rPr>
        <w:t>Background</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Labor markets have had an important role to play in altering the United States in terms of development. Earlier settlements of colonies, industrialization, slavery, westward migration, immigration and the changing status of black and women, the rise in college education and the development of retirement are among some of the phenomena which cannot be considered without examining the influence of labor markets. The relationship between education and labor market and prospects has increased in significance as the labor market in the United States has experienced changes from industrial to the postindustrial labor market.  In the industrial labor market, positions with solid incomes as well as security were open in manufacturing for individuals who had a higher college education or less. Particularly, men who had less education had the opportunity of earning a living wage and at the same time advance their economic standing over time. On the contrary, the postindustrial economy has experienced an increase in the number of jobs for individuals with increased levels of training and skills, as well as jobs in the service sector for individuals with less education.</w:t>
      </w:r>
    </w:p>
    <w:p w:rsidR="007D276E" w:rsidRPr="007D276E" w:rsidRDefault="007D276E" w:rsidP="000F501E">
      <w:pPr>
        <w:spacing w:after="0" w:line="480" w:lineRule="auto"/>
        <w:jc w:val="both"/>
        <w:rPr>
          <w:rFonts w:ascii="Times New Roman" w:hAnsi="Times New Roman" w:cs="Times New Roman"/>
          <w:b/>
          <w:color w:val="222222"/>
          <w:sz w:val="24"/>
          <w:szCs w:val="24"/>
          <w:shd w:val="clear" w:color="auto" w:fill="FFFFFF"/>
        </w:rPr>
      </w:pPr>
      <w:r w:rsidRPr="007D276E">
        <w:rPr>
          <w:rFonts w:ascii="Times New Roman" w:hAnsi="Times New Roman" w:cs="Times New Roman"/>
          <w:b/>
          <w:color w:val="222222"/>
          <w:sz w:val="24"/>
          <w:szCs w:val="24"/>
          <w:shd w:val="clear" w:color="auto" w:fill="FFFFFF"/>
        </w:rPr>
        <w:lastRenderedPageBreak/>
        <w:t>Providing skill upgrading for those workers already in the market</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To keep up with the dynamics of the new world, individuals are supposed not only to keep their technical skills updated but also to make fundamental changes in the way they approach their work. Increasingly, success in the labor market requires that individuals become acquainted with, adept at, and flexible while working as members of a team, well informed about sources of reliable data and alert to opportunities that increasingly evolve. Obtaining and keeping a job is no longer assured; initiative has to be implemented. Education programs require a fundamental reorientation to respond to these requirements. The inherited system of education in the accession countries was in general firm in providing factual knowledge.</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Programs of education should be altered to allow high-order skills of the application as well as synthesis and critical thinking. This requires a different approach to accessing a rich environment of educational resources. Moreover, the lack of accuracy within the labor market forecasts raised debates about the number as well as types of jobs which will be in the labor market over the next few years as well as the levels of education and skills which are needed for these jobs. Karoly &amp; Panis (2004) points to the factors which drive labor market forecasts, especially the rapid pace of technological advancements which is expected to drive the demand for workers with high skills.</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The author noted that while technological advancements are projected to increase the demand for workers who can design and market new technological advancements, there will be a need for workers who can involve themselves in producing goods as well as services according to the advanced technologies. The demand for skilled workers within the retail trading industry, health care services, as well as various personal services is additionally expected to rise. While not any of these jobs will require regular postsecondary education, training will be necessary for job preparation.</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lastRenderedPageBreak/>
        <w:t xml:space="preserve">Autor (2010) considers the prospects for middle-skill jobs—those in the middle of the education as well as earnings distributions as well as levels of training and education necessary for these jobs. Based on their trend analysis when considering supply and demand for workers with varying educational levels as well as training over the next decade including projections form the U.S. Department of Labor's Bureau of Labor Statistics, the authors came to a conclusion that the need for jobs that require middle-skill remain relatively strong, especially in important economic factors. These jobs, in general, require education as well as training that go beyond high school, but no more than a degree in bachelors education, which includes associate’s degree, some college, and vocational certificate.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Middle-levels jobs are considered accessible to low-skilled adults who attain a specific level of postsecondary training and education. In their detailed forecast of education and requirement in these tasks within the next decade, David &amp; Dorn (2013) maintained that there is an increasing mismatch between the jobs which will be developed and the education of individual adults responsible for these jobs in the United States. They also consider the fact that the projections that the Bureau of Labor Statistics makes underestimate the needed workers with a college education. In order to come to terms with the demand for college education, the nation will be forced to expand have a better match for the career alternatives.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A response towards the need for increased educational skills among adult workers has been the design as well as the implementation of career pathway programs which prepare individuals with the necessary skills for education, technical advancement, and employment. These programs enable, training, education and support facilities that allow individuals to secure occupations in a specific organization and develop over time to continuously high levels of employment (David et al., 2006). Evidently, the connection between education and income can be associated with labor force participation. In that, individuals with higher income are likely than those with low income to participate in the paid labor force.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lastRenderedPageBreak/>
        <w:t>Special training programs should be established to provide relevant training for an adult in and out of the labor market. These training and continued education are important for various reasons: the first reason is that they work a great deal towards upgrading skills and keeping workers competitive in occupations with changing technological advancements, to ensure occupational mobility by equipping workers with necessary skills in changing occupations and for personal upgrading. Nevertheless, responding to such needs carry with them challenges which involve the development of a framework for training and of appropriate incentives as well as financial mechanisms that aid the education by different providers.</w:t>
      </w:r>
    </w:p>
    <w:p w:rsidR="007D276E" w:rsidRPr="007D276E" w:rsidRDefault="007D276E" w:rsidP="000F501E">
      <w:pPr>
        <w:spacing w:after="0" w:line="480" w:lineRule="auto"/>
        <w:jc w:val="both"/>
        <w:rPr>
          <w:rFonts w:ascii="Times New Roman" w:hAnsi="Times New Roman" w:cs="Times New Roman"/>
          <w:b/>
          <w:color w:val="222222"/>
          <w:sz w:val="24"/>
          <w:szCs w:val="24"/>
          <w:shd w:val="clear" w:color="auto" w:fill="FFFFFF"/>
        </w:rPr>
      </w:pPr>
      <w:r w:rsidRPr="007D276E">
        <w:rPr>
          <w:rFonts w:ascii="Times New Roman" w:hAnsi="Times New Roman" w:cs="Times New Roman"/>
          <w:b/>
          <w:color w:val="222222"/>
          <w:sz w:val="24"/>
          <w:szCs w:val="24"/>
          <w:shd w:val="clear" w:color="auto" w:fill="FFFFFF"/>
        </w:rPr>
        <w:t>Preparing the new labor market entrants like the graduates that have recently left college</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Meanwhile, a priority should be set to ensure that graduates entering the labor market are equipped with firm bases of generic cognitive as well as socioeconomic skills. In examining the role that education plays in preparing graduates for labor market Karoly (2010), writes that the world is increasingly characterized by economic integration at a greater level and rapid change in technological advancements. Therefore, there is an increasing need for skills of abstract reasoning, problem, solving, collaboration and communication in the knowledge-based economy.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Globally, policymakers, economists, and educators know that the developing knowledge economy requires an increased level of training and different skills compared to the twentieth-century education provided. Youths with the aspiration to jobs in the economy in high-income areas like finance, healthcare, engineering, and high tech need sophisticated experience and skills than ever. Some countries are doing well by the new labor market entrants, ensuring that most are prepared for good jobs which require twenty-first-century skills, safeguarding them from unemployment in the current economic crisis, and changing them into labor force easily and relatively fast.</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lastRenderedPageBreak/>
        <w:t>Also, a strong vocational education system connects young people to the economic requirements of their areas, since local employers are the ones making an apprenticeship as well as different forms of workplace learning presented to them. In metropolitan areas where a large number of youths are concentrated, there are many employment options, and as a result, educational systems are necessary to provide guidance, the structure as well as incentives for young people to connect to appropriate employment opportunities</w:t>
      </w:r>
      <w:r w:rsidRPr="007D276E">
        <w:rPr>
          <w:rFonts w:ascii="Times New Roman" w:hAnsi="Times New Roman" w:cs="Times New Roman"/>
          <w:sz w:val="24"/>
          <w:szCs w:val="24"/>
          <w:shd w:val="clear" w:color="auto" w:fill="FFFFFF"/>
        </w:rPr>
        <w:t xml:space="preserve"> (Jacob &amp; Weiss, 2010)</w:t>
      </w:r>
      <w:r w:rsidRPr="007D276E">
        <w:rPr>
          <w:rFonts w:ascii="Times New Roman" w:hAnsi="Times New Roman" w:cs="Times New Roman"/>
          <w:color w:val="222222"/>
          <w:sz w:val="24"/>
          <w:szCs w:val="24"/>
          <w:shd w:val="clear" w:color="auto" w:fill="FFFFFF"/>
        </w:rPr>
        <w:t xml:space="preserve">.  New labor market entrants who have low skills and lack a college education, have a hard time entering the job market today.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Other than the lack of diploma, young people in the United States may have trouble having access to jobs in the increasingly competitive market due to lack of academic achievements which allow them to be accepted at different levels. Accompanied by this factor is the lack of training in the technical skills required for various metropolitan job markets. Karoly</w:t>
      </w:r>
      <w:r w:rsidR="000F501E">
        <w:rPr>
          <w:rFonts w:ascii="Times New Roman" w:hAnsi="Times New Roman" w:cs="Times New Roman"/>
          <w:color w:val="222222"/>
          <w:sz w:val="24"/>
          <w:szCs w:val="24"/>
          <w:shd w:val="clear" w:color="auto" w:fill="FFFFFF"/>
        </w:rPr>
        <w:t xml:space="preserve"> </w:t>
      </w:r>
      <w:r w:rsidRPr="007D276E">
        <w:rPr>
          <w:rFonts w:ascii="Times New Roman" w:hAnsi="Times New Roman" w:cs="Times New Roman"/>
          <w:color w:val="222222"/>
          <w:sz w:val="24"/>
          <w:szCs w:val="24"/>
          <w:shd w:val="clear" w:color="auto" w:fill="FFFFFF"/>
        </w:rPr>
        <w:t xml:space="preserve">(2010) reports that technological changes are contributors to the changing nature of work environment which increases the need for skilled workforces. The author also mentions that having the skills for gathering, interpreting, and processing data, and being able to collaborate and have effective cooperation with team members will determine whether a new labor market entrant such as graduates are given jobs in the current economy.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Countries that are doing better regarding preparing new labor market entrants support them to attain high levels, keep them in schools, and most essentially, structure transition from school to work for everyone to have training for initial career and enters the workforces easily. This category of youths have policies that consider younger generations as important in supporting, protecting and also in engaging with an investment in future prosperity. Additionally, in partnership with employers and unions, they provide education from 40 percent to 75 percent of the younger generation in the vocational education system which connect educational as well as regional labor market needs and involve substantial education in the work environment (Hanushek et al., 2017).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lastRenderedPageBreak/>
        <w:t>Youth policies are established to show that the society has a collective responsibility of preparing its members for productive adulthood. Other policies include guarantees of schooling coupled with work experiences while others include sanctions for non-participation. Almost all allow the payment of training wages to young people who learn in the work environment while at the same time finishing their education, and various countries require students to stay in school or a combination of school and work until they finish a qualification or reach a certain age. For education in the workplace, in the best vocational education system, assessments, and curriculums replicate the messy, problem-based and limited world of work authentically.</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Thus, the best way for most youths in the successful countries is vocational programs which involve work and learning. While most teens in the United States stay in schools as they prepare for jobs, some other countries help young people who are headed for graduation to prepare for and enter stable employment. In more successful countries, the main goal of the vocational education system is to ensure education and training is provided for college graduates to prepare them for specific careers (Holzer &amp; Lerman, 2009). An education system which, in connection with employers, holds itself accountable for the preparation of college graduates from career and moving them into roles that are productive in the labor force.</w:t>
      </w:r>
    </w:p>
    <w:p w:rsidR="007D276E" w:rsidRPr="007D276E" w:rsidRDefault="007D276E" w:rsidP="000F501E">
      <w:pPr>
        <w:spacing w:after="0" w:line="480" w:lineRule="auto"/>
        <w:jc w:val="both"/>
        <w:rPr>
          <w:rFonts w:ascii="Times New Roman" w:hAnsi="Times New Roman" w:cs="Times New Roman"/>
          <w:b/>
          <w:color w:val="222222"/>
          <w:sz w:val="24"/>
          <w:szCs w:val="24"/>
          <w:shd w:val="clear" w:color="auto" w:fill="FFFFFF"/>
        </w:rPr>
      </w:pPr>
      <w:r w:rsidRPr="007D276E">
        <w:rPr>
          <w:rFonts w:ascii="Times New Roman" w:hAnsi="Times New Roman" w:cs="Times New Roman"/>
          <w:b/>
          <w:color w:val="222222"/>
          <w:sz w:val="24"/>
          <w:szCs w:val="24"/>
          <w:shd w:val="clear" w:color="auto" w:fill="FFFFFF"/>
        </w:rPr>
        <w:t>Enhancing the labor market performance due to improved and skilled human capital</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Performance in the labor market is not simply a function of effort. It also involves knowledge, skills, and abilities which people can bring to bear when they have the motivation to do so. In fact, this is an important assumption to the resource-based perspective. In line with this argument, the human capital theory assumes that high earning results from investment through education as well as experience, enhancing the knowledge, abilities as well as skills and as a result, enhancing their capacity of being productive.</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lastRenderedPageBreak/>
        <w:t xml:space="preserve">Karasiotou (2012) argues that educated workers have higher earnings, in their research, the author answered the question of whether workers who are better education have high labor market or less unemployment. How persistent education benefit is and if they could indicate a long duration of career for highly skilled individuals; and if parental labor market outcomes have an influence on the education of the youth. In the study, the author concluded that education enhances not only the income of individuals but also the experiences they have in the labor market. This improvement goes beyond traditional methods predicted. Therefore, it is important to encourage individuals to obtain education and necessary skills to enjoy high incomes and an improved labor market experience.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As a concept, human capitalism stems from an economic model of human-resource capitalism, which focuses on the relationship between enhanced productivity or performance as well as the need to a continued and long-term investment in developing human resources. This model is applicable broadly where investments in human capital are seen as having effects on the national as well as global economic performance, or in a narrow way, where investments in people are considered as critical to the performance of an organization.</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This is different from the traditional and instrumental method where human resources mainly serve as a cost to be contained beyond immediate and short-term requirements. This short-term normally deals with changes or poor performance by seeking intervention that helps in offsetting competition and by using a cutback technique that helps in keeping wages down, automating jobs, and contracting out.  The model in human resource capitalism argues that the principal source of productive capacity, the economy rests in people's capacity (Checchi, 2006). As a result, strategies should be developed to capitalize on the possibility of this resource to establish a learning system which causes the capacity of human capital to grow in future.</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Nationally, this means that reform of the educational institution is conducted to ensure that quality workforce is provided which fits the needs of industry for high economic </w:t>
      </w:r>
      <w:r w:rsidRPr="007D276E">
        <w:rPr>
          <w:rFonts w:ascii="Times New Roman" w:hAnsi="Times New Roman" w:cs="Times New Roman"/>
          <w:color w:val="222222"/>
          <w:sz w:val="24"/>
          <w:szCs w:val="24"/>
          <w:shd w:val="clear" w:color="auto" w:fill="FFFFFF"/>
        </w:rPr>
        <w:lastRenderedPageBreak/>
        <w:t>productivity and enhancement or improvising of national quality of life. Public investment in education can help improve equity by reducing income distribution. Other than making workers attractive in the labor market, education ensures that the labor force is more efficient, which in turn is an indication that the economy can pay high wages to employees. Besides, a better-trained labor force leads to an expanded economy.</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Advocates of human capital believe that increased general spending on education will help in reducing poverty population through equalizing differences in income between affluent and poor individuals. Since an increase in educational opportunity decreases the general supply of minimally educated individuals, the give and take of supply and demand conditions within the economy will increase the wages of semi-skilled laborers (Gonzalez et al., 2008). On the other hand, an increase in skilled workers will impact the earnings of well-trained personnel. As a result of this, changes in the supply of labor will lead to competition. An increase in highly trained workers will drop the wages as workers will bid against a different labor market.</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Based on human capital theory, Berntson et al. (2006) argue that education is seen as </w:t>
      </w:r>
      <w:r w:rsidR="000F501E" w:rsidRPr="007D276E">
        <w:rPr>
          <w:rFonts w:ascii="Times New Roman" w:hAnsi="Times New Roman" w:cs="Times New Roman"/>
          <w:color w:val="222222"/>
          <w:sz w:val="24"/>
          <w:szCs w:val="24"/>
          <w:shd w:val="clear" w:color="auto" w:fill="FFFFFF"/>
        </w:rPr>
        <w:t>a</w:t>
      </w:r>
      <w:r w:rsidRPr="007D276E">
        <w:rPr>
          <w:rFonts w:ascii="Times New Roman" w:hAnsi="Times New Roman" w:cs="Times New Roman"/>
          <w:color w:val="222222"/>
          <w:sz w:val="24"/>
          <w:szCs w:val="24"/>
          <w:shd w:val="clear" w:color="auto" w:fill="FFFFFF"/>
        </w:rPr>
        <w:t xml:space="preserve"> venture in human capital and the general level of knowledge is selected to increase lifetime salaries or general value. High levels of learning consist of budgets in the short run but are likely to be related to increased levels of life-cycle earning. In this approach, joblessness is seen as a limitation on optimal and not </w:t>
      </w:r>
      <w:r w:rsidR="000F501E" w:rsidRPr="007D276E">
        <w:rPr>
          <w:rFonts w:ascii="Times New Roman" w:hAnsi="Times New Roman" w:cs="Times New Roman"/>
          <w:color w:val="222222"/>
          <w:sz w:val="24"/>
          <w:szCs w:val="24"/>
          <w:shd w:val="clear" w:color="auto" w:fill="FFFFFF"/>
        </w:rPr>
        <w:t>a</w:t>
      </w:r>
      <w:r w:rsidRPr="007D276E">
        <w:rPr>
          <w:rFonts w:ascii="Times New Roman" w:hAnsi="Times New Roman" w:cs="Times New Roman"/>
          <w:color w:val="222222"/>
          <w:sz w:val="24"/>
          <w:szCs w:val="24"/>
          <w:shd w:val="clear" w:color="auto" w:fill="FFFFFF"/>
        </w:rPr>
        <w:t xml:space="preserve"> component of it, and more education is required to ease this limitation. In addition, because of complementary effects, there is a positive connection between education levels and the acquisition of more qualifications with the help of proper training and learning.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 xml:space="preserve">As far as human capital is organization-specific, the more human capital a person has, the reduced possibility he is to quite or to be made jobless by the manager. Therefore, the human capital theory offers reasons as to why the level of learning needs to decrease the possibility of becoming unemployed. The influence that education has on the unemployment </w:t>
      </w:r>
      <w:r w:rsidRPr="007D276E">
        <w:rPr>
          <w:rFonts w:ascii="Times New Roman" w:hAnsi="Times New Roman" w:cs="Times New Roman"/>
          <w:color w:val="222222"/>
          <w:sz w:val="24"/>
          <w:szCs w:val="24"/>
          <w:shd w:val="clear" w:color="auto" w:fill="FFFFFF"/>
        </w:rPr>
        <w:lastRenderedPageBreak/>
        <w:t xml:space="preserve">length is less straightforward from a human capital theoretical perspective. On the contrary, expertise is required to escalate the chance to have access to a job. At the same time, periods of joblessness represents a disruption in the growth of human capital. Because highly refined personnel tend to have more human capital on the employed task, they are supposed to engage in the work environment actively (Lin, 2017). As expected, therefore, educated workers should have a large depreciation off their human capital because of the convexity of rates of downgrading. </w:t>
      </w:r>
    </w:p>
    <w:p w:rsidR="007D276E" w:rsidRPr="007D276E" w:rsidRDefault="007D276E" w:rsidP="000F501E">
      <w:pPr>
        <w:spacing w:after="0" w:line="480" w:lineRule="auto"/>
        <w:ind w:firstLine="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In conclusion, the demand for workers with college bearing degree has increased because college education plays a key role in determining the success of the labor market in the United States. Therefore, to keep up with the dynamics of the new world, individuals are supposed not only to keep their technical skills updated but also to make fundamental changes in the way they approach their work. In the meantime, graduates who enter the labor market should be equipped with a firm base of reasoning, problem, solving, collaboration, and communication skills. Enhancing the knowledge, abilities, and skills of college graduates will enhance their capacity of being productive.</w:t>
      </w:r>
    </w:p>
    <w:p w:rsidR="007D276E" w:rsidRPr="007D276E" w:rsidRDefault="007D276E" w:rsidP="000F501E">
      <w:pPr>
        <w:spacing w:after="0" w:line="480" w:lineRule="auto"/>
        <w:jc w:val="both"/>
        <w:rPr>
          <w:rFonts w:ascii="Times New Roman" w:hAnsi="Times New Roman" w:cs="Times New Roman"/>
          <w:color w:val="222222"/>
          <w:sz w:val="24"/>
          <w:szCs w:val="24"/>
          <w:shd w:val="clear" w:color="auto" w:fill="FFFFFF"/>
        </w:rPr>
      </w:pPr>
    </w:p>
    <w:p w:rsidR="007D276E" w:rsidRPr="007D276E" w:rsidRDefault="007D276E" w:rsidP="000F501E">
      <w:pPr>
        <w:spacing w:after="0" w:line="480" w:lineRule="auto"/>
        <w:jc w:val="both"/>
        <w:rPr>
          <w:rFonts w:ascii="Times New Roman" w:hAnsi="Times New Roman" w:cs="Times New Roman"/>
          <w:color w:val="222222"/>
          <w:sz w:val="24"/>
          <w:szCs w:val="24"/>
          <w:shd w:val="clear" w:color="auto" w:fill="FFFFFF"/>
        </w:rPr>
      </w:pPr>
    </w:p>
    <w:p w:rsidR="007D276E" w:rsidRPr="007D276E" w:rsidRDefault="007D276E" w:rsidP="000F501E">
      <w:pPr>
        <w:spacing w:after="0" w:line="480" w:lineRule="auto"/>
        <w:jc w:val="both"/>
        <w:rPr>
          <w:rFonts w:ascii="Times New Roman" w:hAnsi="Times New Roman" w:cs="Times New Roman"/>
          <w:sz w:val="24"/>
          <w:szCs w:val="24"/>
        </w:rPr>
      </w:pPr>
    </w:p>
    <w:p w:rsidR="007D276E" w:rsidRPr="007D276E" w:rsidRDefault="007D276E" w:rsidP="000F501E">
      <w:pPr>
        <w:spacing w:after="0" w:line="480" w:lineRule="auto"/>
        <w:jc w:val="both"/>
        <w:rPr>
          <w:rFonts w:ascii="Times New Roman" w:hAnsi="Times New Roman" w:cs="Times New Roman"/>
          <w:sz w:val="24"/>
          <w:szCs w:val="24"/>
        </w:rPr>
      </w:pPr>
      <w:bookmarkStart w:id="0" w:name="_GoBack"/>
      <w:bookmarkEnd w:id="0"/>
    </w:p>
    <w:p w:rsidR="007D276E" w:rsidRPr="007D276E" w:rsidRDefault="007D276E" w:rsidP="000F501E">
      <w:pPr>
        <w:spacing w:after="0" w:line="480" w:lineRule="auto"/>
        <w:jc w:val="both"/>
        <w:rPr>
          <w:rFonts w:ascii="Times New Roman" w:hAnsi="Times New Roman" w:cs="Times New Roman"/>
          <w:color w:val="222222"/>
          <w:sz w:val="24"/>
          <w:szCs w:val="24"/>
          <w:shd w:val="clear" w:color="auto" w:fill="FFFFFF"/>
        </w:rPr>
      </w:pPr>
    </w:p>
    <w:p w:rsidR="007D276E" w:rsidRPr="007D276E" w:rsidRDefault="007D276E" w:rsidP="000F501E">
      <w:pPr>
        <w:spacing w:after="0" w:line="480" w:lineRule="auto"/>
        <w:jc w:val="both"/>
        <w:rPr>
          <w:rFonts w:ascii="Times New Roman" w:hAnsi="Times New Roman" w:cs="Times New Roman"/>
          <w:color w:val="222222"/>
          <w:sz w:val="24"/>
          <w:szCs w:val="24"/>
          <w:shd w:val="clear" w:color="auto" w:fill="FFFFFF"/>
        </w:rPr>
      </w:pPr>
    </w:p>
    <w:p w:rsidR="007D276E" w:rsidRPr="007D276E" w:rsidRDefault="007D276E" w:rsidP="000F501E">
      <w:pPr>
        <w:spacing w:after="0" w:line="480" w:lineRule="auto"/>
        <w:jc w:val="both"/>
        <w:rPr>
          <w:rFonts w:ascii="Times New Roman" w:hAnsi="Times New Roman" w:cs="Times New Roman"/>
          <w:sz w:val="24"/>
          <w:szCs w:val="24"/>
        </w:rPr>
      </w:pPr>
    </w:p>
    <w:p w:rsidR="007D276E" w:rsidRPr="007D276E" w:rsidRDefault="007D276E" w:rsidP="000F501E">
      <w:pPr>
        <w:spacing w:after="0" w:line="480" w:lineRule="auto"/>
        <w:jc w:val="both"/>
        <w:rPr>
          <w:rFonts w:ascii="Times New Roman" w:hAnsi="Times New Roman" w:cs="Times New Roman"/>
          <w:sz w:val="24"/>
          <w:szCs w:val="24"/>
        </w:rPr>
      </w:pPr>
      <w:r w:rsidRPr="007D276E">
        <w:rPr>
          <w:rFonts w:ascii="Times New Roman" w:hAnsi="Times New Roman" w:cs="Times New Roman"/>
          <w:sz w:val="24"/>
          <w:szCs w:val="24"/>
        </w:rPr>
        <w:br w:type="page"/>
      </w:r>
    </w:p>
    <w:p w:rsidR="00A43878" w:rsidRPr="007D276E" w:rsidRDefault="0089319C" w:rsidP="000F501E">
      <w:pPr>
        <w:spacing w:after="0" w:line="480" w:lineRule="auto"/>
        <w:jc w:val="both"/>
        <w:rPr>
          <w:rFonts w:ascii="Times New Roman" w:hAnsi="Times New Roman" w:cs="Times New Roman"/>
          <w:sz w:val="24"/>
          <w:szCs w:val="24"/>
        </w:rPr>
      </w:pPr>
      <w:r w:rsidRPr="007D276E">
        <w:rPr>
          <w:rFonts w:ascii="Times New Roman" w:hAnsi="Times New Roman" w:cs="Times New Roman"/>
          <w:sz w:val="24"/>
          <w:szCs w:val="24"/>
        </w:rPr>
        <w:lastRenderedPageBreak/>
        <w:t>References</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Abel, J., Deitz, R., &amp; Su, Y. (2014). Are recent college graduates finding good jobs?.</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Autor, D. (2010). The polarization of job opportunities in the US labor market: Implications for employment and earnings. </w:t>
      </w:r>
      <w:r w:rsidRPr="007D276E">
        <w:rPr>
          <w:rFonts w:ascii="Times New Roman" w:hAnsi="Times New Roman" w:cs="Times New Roman"/>
          <w:i/>
          <w:iCs/>
          <w:color w:val="222222"/>
          <w:sz w:val="24"/>
          <w:szCs w:val="24"/>
          <w:shd w:val="clear" w:color="auto" w:fill="FFFFFF"/>
        </w:rPr>
        <w:t>Center for American Progress and The Hamilton Project</w:t>
      </w:r>
      <w:r w:rsidRPr="007D276E">
        <w:rPr>
          <w:rFonts w:ascii="Times New Roman" w:hAnsi="Times New Roman" w:cs="Times New Roman"/>
          <w:color w:val="222222"/>
          <w:sz w:val="24"/>
          <w:szCs w:val="24"/>
          <w:shd w:val="clear" w:color="auto" w:fill="FFFFFF"/>
        </w:rPr>
        <w:t>, </w:t>
      </w:r>
      <w:r w:rsidRPr="007D276E">
        <w:rPr>
          <w:rFonts w:ascii="Times New Roman" w:hAnsi="Times New Roman" w:cs="Times New Roman"/>
          <w:i/>
          <w:iCs/>
          <w:color w:val="222222"/>
          <w:sz w:val="24"/>
          <w:szCs w:val="24"/>
          <w:shd w:val="clear" w:color="auto" w:fill="FFFFFF"/>
        </w:rPr>
        <w:t>6</w:t>
      </w:r>
      <w:r w:rsidRPr="007D276E">
        <w:rPr>
          <w:rFonts w:ascii="Times New Roman" w:hAnsi="Times New Roman" w:cs="Times New Roman"/>
          <w:color w:val="222222"/>
          <w:sz w:val="24"/>
          <w:szCs w:val="24"/>
          <w:shd w:val="clear" w:color="auto" w:fill="FFFFFF"/>
        </w:rPr>
        <w:t>.</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Berntson, E., Sverke, M., &amp; Marklund, S. (2006). Predicting perceived employability: human capital or labour market opportunities?. </w:t>
      </w:r>
      <w:r w:rsidRPr="007D276E">
        <w:rPr>
          <w:rFonts w:ascii="Times New Roman" w:hAnsi="Times New Roman" w:cs="Times New Roman"/>
          <w:i/>
          <w:iCs/>
          <w:color w:val="222222"/>
          <w:sz w:val="24"/>
          <w:szCs w:val="24"/>
          <w:shd w:val="clear" w:color="auto" w:fill="FFFFFF"/>
        </w:rPr>
        <w:t>Economic and Industrial Democracy</w:t>
      </w:r>
      <w:r w:rsidRPr="007D276E">
        <w:rPr>
          <w:rFonts w:ascii="Times New Roman" w:hAnsi="Times New Roman" w:cs="Times New Roman"/>
          <w:color w:val="222222"/>
          <w:sz w:val="24"/>
          <w:szCs w:val="24"/>
          <w:shd w:val="clear" w:color="auto" w:fill="FFFFFF"/>
        </w:rPr>
        <w:t>, </w:t>
      </w:r>
      <w:r w:rsidRPr="007D276E">
        <w:rPr>
          <w:rFonts w:ascii="Times New Roman" w:hAnsi="Times New Roman" w:cs="Times New Roman"/>
          <w:i/>
          <w:iCs/>
          <w:color w:val="222222"/>
          <w:sz w:val="24"/>
          <w:szCs w:val="24"/>
          <w:shd w:val="clear" w:color="auto" w:fill="FFFFFF"/>
        </w:rPr>
        <w:t>27</w:t>
      </w:r>
      <w:r w:rsidRPr="007D276E">
        <w:rPr>
          <w:rFonts w:ascii="Times New Roman" w:hAnsi="Times New Roman" w:cs="Times New Roman"/>
          <w:color w:val="222222"/>
          <w:sz w:val="24"/>
          <w:szCs w:val="24"/>
          <w:shd w:val="clear" w:color="auto" w:fill="FFFFFF"/>
        </w:rPr>
        <w:t>(2), 223-244.</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Checchi, D. (2006). </w:t>
      </w:r>
      <w:r w:rsidRPr="007D276E">
        <w:rPr>
          <w:rFonts w:ascii="Times New Roman" w:hAnsi="Times New Roman" w:cs="Times New Roman"/>
          <w:i/>
          <w:iCs/>
          <w:color w:val="222222"/>
          <w:sz w:val="24"/>
          <w:szCs w:val="24"/>
          <w:shd w:val="clear" w:color="auto" w:fill="FFFFFF"/>
        </w:rPr>
        <w:t>The economics of education: Human capital, family background and inequality</w:t>
      </w:r>
      <w:r w:rsidRPr="007D276E">
        <w:rPr>
          <w:rFonts w:ascii="Times New Roman" w:hAnsi="Times New Roman" w:cs="Times New Roman"/>
          <w:color w:val="222222"/>
          <w:sz w:val="24"/>
          <w:szCs w:val="24"/>
          <w:shd w:val="clear" w:color="auto" w:fill="FFFFFF"/>
        </w:rPr>
        <w:t>. Cambridge University Press.</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David, H., &amp; Dorn, D. (2013). The growth of low-skill service jobs and the polarization of the US labor market. </w:t>
      </w:r>
      <w:r w:rsidRPr="007D276E">
        <w:rPr>
          <w:rFonts w:ascii="Times New Roman" w:hAnsi="Times New Roman" w:cs="Times New Roman"/>
          <w:i/>
          <w:iCs/>
          <w:color w:val="222222"/>
          <w:sz w:val="24"/>
          <w:szCs w:val="24"/>
          <w:shd w:val="clear" w:color="auto" w:fill="FFFFFF"/>
        </w:rPr>
        <w:t>American Economic Review</w:t>
      </w:r>
      <w:r w:rsidRPr="007D276E">
        <w:rPr>
          <w:rFonts w:ascii="Times New Roman" w:hAnsi="Times New Roman" w:cs="Times New Roman"/>
          <w:color w:val="222222"/>
          <w:sz w:val="24"/>
          <w:szCs w:val="24"/>
          <w:shd w:val="clear" w:color="auto" w:fill="FFFFFF"/>
        </w:rPr>
        <w:t>, </w:t>
      </w:r>
      <w:r w:rsidRPr="007D276E">
        <w:rPr>
          <w:rFonts w:ascii="Times New Roman" w:hAnsi="Times New Roman" w:cs="Times New Roman"/>
          <w:i/>
          <w:iCs/>
          <w:color w:val="222222"/>
          <w:sz w:val="24"/>
          <w:szCs w:val="24"/>
          <w:shd w:val="clear" w:color="auto" w:fill="FFFFFF"/>
        </w:rPr>
        <w:t>103</w:t>
      </w:r>
      <w:r w:rsidRPr="007D276E">
        <w:rPr>
          <w:rFonts w:ascii="Times New Roman" w:hAnsi="Times New Roman" w:cs="Times New Roman"/>
          <w:color w:val="222222"/>
          <w:sz w:val="24"/>
          <w:szCs w:val="24"/>
          <w:shd w:val="clear" w:color="auto" w:fill="FFFFFF"/>
        </w:rPr>
        <w:t>(5), 1553-97.</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David, H., Katz, L. F., &amp; Kearney, M. S. (2006). The polarization of the US labor market. </w:t>
      </w:r>
      <w:r w:rsidRPr="007D276E">
        <w:rPr>
          <w:rFonts w:ascii="Times New Roman" w:hAnsi="Times New Roman" w:cs="Times New Roman"/>
          <w:i/>
          <w:iCs/>
          <w:color w:val="222222"/>
          <w:sz w:val="24"/>
          <w:szCs w:val="24"/>
          <w:shd w:val="clear" w:color="auto" w:fill="FFFFFF"/>
        </w:rPr>
        <w:t>American economic review</w:t>
      </w:r>
      <w:r w:rsidRPr="007D276E">
        <w:rPr>
          <w:rFonts w:ascii="Times New Roman" w:hAnsi="Times New Roman" w:cs="Times New Roman"/>
          <w:color w:val="222222"/>
          <w:sz w:val="24"/>
          <w:szCs w:val="24"/>
          <w:shd w:val="clear" w:color="auto" w:fill="FFFFFF"/>
        </w:rPr>
        <w:t>, </w:t>
      </w:r>
      <w:r w:rsidRPr="007D276E">
        <w:rPr>
          <w:rFonts w:ascii="Times New Roman" w:hAnsi="Times New Roman" w:cs="Times New Roman"/>
          <w:i/>
          <w:iCs/>
          <w:color w:val="222222"/>
          <w:sz w:val="24"/>
          <w:szCs w:val="24"/>
          <w:shd w:val="clear" w:color="auto" w:fill="FFFFFF"/>
        </w:rPr>
        <w:t>96</w:t>
      </w:r>
      <w:r w:rsidRPr="007D276E">
        <w:rPr>
          <w:rFonts w:ascii="Times New Roman" w:hAnsi="Times New Roman" w:cs="Times New Roman"/>
          <w:color w:val="222222"/>
          <w:sz w:val="24"/>
          <w:szCs w:val="24"/>
          <w:shd w:val="clear" w:color="auto" w:fill="FFFFFF"/>
        </w:rPr>
        <w:t>(2), 189-194.</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Gonzalez, G., Karoly, L. A., Constant, L., Goldman, C. A., &amp; Salem, H. (2008). </w:t>
      </w:r>
      <w:r w:rsidRPr="007D276E">
        <w:rPr>
          <w:rFonts w:ascii="Times New Roman" w:hAnsi="Times New Roman" w:cs="Times New Roman"/>
          <w:i/>
          <w:iCs/>
          <w:color w:val="222222"/>
          <w:sz w:val="24"/>
          <w:szCs w:val="24"/>
          <w:shd w:val="clear" w:color="auto" w:fill="FFFFFF"/>
        </w:rPr>
        <w:t>Facing human capital challenges of the 21st century: Education and labor market initiatives in Lebanon, Oman, Qatar, and the United Arab Emirates</w:t>
      </w:r>
      <w:r w:rsidRPr="007D276E">
        <w:rPr>
          <w:rFonts w:ascii="Times New Roman" w:hAnsi="Times New Roman" w:cs="Times New Roman"/>
          <w:color w:val="222222"/>
          <w:sz w:val="24"/>
          <w:szCs w:val="24"/>
          <w:shd w:val="clear" w:color="auto" w:fill="FFFFFF"/>
        </w:rPr>
        <w:t> (Vol. 786). Rand Corporation.</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Holzer, H. J., &amp; Lerman, R. I. (2009). </w:t>
      </w:r>
      <w:r w:rsidRPr="007D276E">
        <w:rPr>
          <w:rFonts w:ascii="Times New Roman" w:hAnsi="Times New Roman" w:cs="Times New Roman"/>
          <w:i/>
          <w:iCs/>
          <w:color w:val="222222"/>
          <w:sz w:val="24"/>
          <w:szCs w:val="24"/>
          <w:shd w:val="clear" w:color="auto" w:fill="FFFFFF"/>
        </w:rPr>
        <w:t>The future of middle-skill jobs</w:t>
      </w:r>
      <w:r w:rsidRPr="007D276E">
        <w:rPr>
          <w:rFonts w:ascii="Times New Roman" w:hAnsi="Times New Roman" w:cs="Times New Roman"/>
          <w:color w:val="222222"/>
          <w:sz w:val="24"/>
          <w:szCs w:val="24"/>
          <w:shd w:val="clear" w:color="auto" w:fill="FFFFFF"/>
        </w:rPr>
        <w:t> (Vol. 41). Brookings, Center on Children and Families.</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Hanushek, E. A., Schwerdt, G., Woessmann, L., &amp; Zhang, L. (2017). General education, vocational education, and labor-market outcomes over the lifecycle. </w:t>
      </w:r>
      <w:r w:rsidRPr="007D276E">
        <w:rPr>
          <w:rFonts w:ascii="Times New Roman" w:hAnsi="Times New Roman" w:cs="Times New Roman"/>
          <w:i/>
          <w:iCs/>
          <w:color w:val="222222"/>
          <w:sz w:val="24"/>
          <w:szCs w:val="24"/>
          <w:shd w:val="clear" w:color="auto" w:fill="FFFFFF"/>
        </w:rPr>
        <w:t>Journal of Human Resources</w:t>
      </w:r>
      <w:r w:rsidRPr="007D276E">
        <w:rPr>
          <w:rFonts w:ascii="Times New Roman" w:hAnsi="Times New Roman" w:cs="Times New Roman"/>
          <w:color w:val="222222"/>
          <w:sz w:val="24"/>
          <w:szCs w:val="24"/>
          <w:shd w:val="clear" w:color="auto" w:fill="FFFFFF"/>
        </w:rPr>
        <w:t>, </w:t>
      </w:r>
      <w:r w:rsidRPr="007D276E">
        <w:rPr>
          <w:rFonts w:ascii="Times New Roman" w:hAnsi="Times New Roman" w:cs="Times New Roman"/>
          <w:i/>
          <w:iCs/>
          <w:color w:val="222222"/>
          <w:sz w:val="24"/>
          <w:szCs w:val="24"/>
          <w:shd w:val="clear" w:color="auto" w:fill="FFFFFF"/>
        </w:rPr>
        <w:t>52</w:t>
      </w:r>
      <w:r w:rsidRPr="007D276E">
        <w:rPr>
          <w:rFonts w:ascii="Times New Roman" w:hAnsi="Times New Roman" w:cs="Times New Roman"/>
          <w:color w:val="222222"/>
          <w:sz w:val="24"/>
          <w:szCs w:val="24"/>
          <w:shd w:val="clear" w:color="auto" w:fill="FFFFFF"/>
        </w:rPr>
        <w:t>(1), 48-87.</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Karoly, L. A., &amp; Panis, C. W. (2004). </w:t>
      </w:r>
      <w:r w:rsidRPr="007D276E">
        <w:rPr>
          <w:rFonts w:ascii="Times New Roman" w:hAnsi="Times New Roman" w:cs="Times New Roman"/>
          <w:i/>
          <w:iCs/>
          <w:color w:val="222222"/>
          <w:sz w:val="24"/>
          <w:szCs w:val="24"/>
          <w:shd w:val="clear" w:color="auto" w:fill="FFFFFF"/>
        </w:rPr>
        <w:t>The 21st century at work: Forces shaping the future workforce and workplace in the United States</w:t>
      </w:r>
      <w:r w:rsidRPr="007D276E">
        <w:rPr>
          <w:rFonts w:ascii="Times New Roman" w:hAnsi="Times New Roman" w:cs="Times New Roman"/>
          <w:color w:val="222222"/>
          <w:sz w:val="24"/>
          <w:szCs w:val="24"/>
          <w:shd w:val="clear" w:color="auto" w:fill="FFFFFF"/>
        </w:rPr>
        <w:t> (Vol. 164). Rand Corporation.</w:t>
      </w:r>
    </w:p>
    <w:p w:rsidR="007D276E" w:rsidRPr="007D276E" w:rsidRDefault="007D276E" w:rsidP="000F501E">
      <w:pPr>
        <w:spacing w:after="0" w:line="480" w:lineRule="auto"/>
        <w:ind w:left="720" w:hanging="720"/>
        <w:jc w:val="both"/>
        <w:rPr>
          <w:rFonts w:ascii="Times New Roman" w:hAnsi="Times New Roman" w:cs="Times New Roman"/>
          <w:sz w:val="24"/>
          <w:szCs w:val="24"/>
          <w:shd w:val="clear" w:color="auto" w:fill="FFFFFF"/>
        </w:rPr>
      </w:pPr>
      <w:r w:rsidRPr="007D276E">
        <w:rPr>
          <w:rFonts w:ascii="Times New Roman" w:hAnsi="Times New Roman" w:cs="Times New Roman"/>
          <w:sz w:val="24"/>
          <w:szCs w:val="24"/>
          <w:shd w:val="clear" w:color="auto" w:fill="FFFFFF"/>
        </w:rPr>
        <w:lastRenderedPageBreak/>
        <w:t>Jacob, M., &amp; Weiss, F. (2010). From higher education to work patterns of labor market entry in Germany and the US. </w:t>
      </w:r>
      <w:r w:rsidRPr="007D276E">
        <w:rPr>
          <w:rFonts w:ascii="Times New Roman" w:hAnsi="Times New Roman" w:cs="Times New Roman"/>
          <w:i/>
          <w:iCs/>
          <w:sz w:val="24"/>
          <w:szCs w:val="24"/>
          <w:shd w:val="clear" w:color="auto" w:fill="FFFFFF"/>
        </w:rPr>
        <w:t>Higher Education</w:t>
      </w:r>
      <w:r w:rsidRPr="007D276E">
        <w:rPr>
          <w:rFonts w:ascii="Times New Roman" w:hAnsi="Times New Roman" w:cs="Times New Roman"/>
          <w:sz w:val="24"/>
          <w:szCs w:val="24"/>
          <w:shd w:val="clear" w:color="auto" w:fill="FFFFFF"/>
        </w:rPr>
        <w:t>, </w:t>
      </w:r>
      <w:r w:rsidRPr="007D276E">
        <w:rPr>
          <w:rFonts w:ascii="Times New Roman" w:hAnsi="Times New Roman" w:cs="Times New Roman"/>
          <w:i/>
          <w:iCs/>
          <w:sz w:val="24"/>
          <w:szCs w:val="24"/>
          <w:shd w:val="clear" w:color="auto" w:fill="FFFFFF"/>
        </w:rPr>
        <w:t>60</w:t>
      </w:r>
      <w:r w:rsidRPr="007D276E">
        <w:rPr>
          <w:rFonts w:ascii="Times New Roman" w:hAnsi="Times New Roman" w:cs="Times New Roman"/>
          <w:sz w:val="24"/>
          <w:szCs w:val="24"/>
          <w:shd w:val="clear" w:color="auto" w:fill="FFFFFF"/>
        </w:rPr>
        <w:t xml:space="preserve">(5), 529-542.retrieved from </w:t>
      </w:r>
    </w:p>
    <w:p w:rsidR="007D276E" w:rsidRPr="007D276E" w:rsidRDefault="007D276E" w:rsidP="000F501E">
      <w:pPr>
        <w:spacing w:after="0" w:line="480" w:lineRule="auto"/>
        <w:ind w:left="720" w:hanging="720"/>
        <w:jc w:val="both"/>
        <w:rPr>
          <w:rFonts w:ascii="Times New Roman" w:hAnsi="Times New Roman" w:cs="Times New Roman"/>
          <w:sz w:val="24"/>
          <w:szCs w:val="24"/>
          <w:shd w:val="clear" w:color="auto" w:fill="FFFFFF"/>
        </w:rPr>
      </w:pPr>
      <w:r w:rsidRPr="007D276E">
        <w:rPr>
          <w:rFonts w:ascii="Times New Roman" w:hAnsi="Times New Roman" w:cs="Times New Roman"/>
          <w:sz w:val="24"/>
          <w:szCs w:val="24"/>
          <w:shd w:val="clear" w:color="auto" w:fill="FFFFFF"/>
        </w:rPr>
        <w:t>Karasiotou, P. (2012). Education and the labor market. </w:t>
      </w:r>
      <w:r w:rsidRPr="007D276E">
        <w:rPr>
          <w:rFonts w:ascii="Times New Roman" w:hAnsi="Times New Roman" w:cs="Times New Roman"/>
          <w:i/>
          <w:iCs/>
          <w:sz w:val="24"/>
          <w:szCs w:val="24"/>
          <w:shd w:val="clear" w:color="auto" w:fill="FFFFFF"/>
          <w:lang w:val="es-ES"/>
        </w:rPr>
        <w:t>Reflets et perspectives de la vie économique</w:t>
      </w:r>
      <w:r w:rsidRPr="007D276E">
        <w:rPr>
          <w:rFonts w:ascii="Times New Roman" w:hAnsi="Times New Roman" w:cs="Times New Roman"/>
          <w:sz w:val="24"/>
          <w:szCs w:val="24"/>
          <w:shd w:val="clear" w:color="auto" w:fill="FFFFFF"/>
          <w:lang w:val="es-ES"/>
        </w:rPr>
        <w:t>, </w:t>
      </w:r>
      <w:r w:rsidRPr="007D276E">
        <w:rPr>
          <w:rFonts w:ascii="Times New Roman" w:hAnsi="Times New Roman" w:cs="Times New Roman"/>
          <w:i/>
          <w:iCs/>
          <w:sz w:val="24"/>
          <w:szCs w:val="24"/>
          <w:shd w:val="clear" w:color="auto" w:fill="FFFFFF"/>
          <w:lang w:val="es-ES"/>
        </w:rPr>
        <w:t>51</w:t>
      </w:r>
      <w:r w:rsidRPr="007D276E">
        <w:rPr>
          <w:rFonts w:ascii="Times New Roman" w:hAnsi="Times New Roman" w:cs="Times New Roman"/>
          <w:sz w:val="24"/>
          <w:szCs w:val="24"/>
          <w:shd w:val="clear" w:color="auto" w:fill="FFFFFF"/>
          <w:lang w:val="es-ES"/>
        </w:rPr>
        <w:t xml:space="preserve">(3), 51-72. </w:t>
      </w:r>
      <w:r w:rsidRPr="007D276E">
        <w:rPr>
          <w:rFonts w:ascii="Times New Roman" w:hAnsi="Times New Roman" w:cs="Times New Roman"/>
          <w:sz w:val="24"/>
          <w:szCs w:val="24"/>
          <w:shd w:val="clear" w:color="auto" w:fill="FFFFFF"/>
        </w:rPr>
        <w:t>Retrieved from https://www.cairn.info/revue-reflets-et-perspectives-de-la-vie-economique-2012-3-page-51.htm</w:t>
      </w:r>
    </w:p>
    <w:p w:rsidR="007D276E" w:rsidRPr="007D276E" w:rsidRDefault="007D276E" w:rsidP="000F501E">
      <w:pPr>
        <w:spacing w:after="0" w:line="480" w:lineRule="auto"/>
        <w:ind w:left="720" w:hanging="720"/>
        <w:jc w:val="both"/>
        <w:rPr>
          <w:rFonts w:ascii="Times New Roman" w:hAnsi="Times New Roman" w:cs="Times New Roman"/>
          <w:sz w:val="24"/>
          <w:szCs w:val="24"/>
          <w:shd w:val="clear" w:color="auto" w:fill="FFFFFF"/>
        </w:rPr>
      </w:pPr>
      <w:r w:rsidRPr="007D276E">
        <w:rPr>
          <w:rFonts w:ascii="Times New Roman" w:hAnsi="Times New Roman" w:cs="Times New Roman"/>
          <w:sz w:val="24"/>
          <w:szCs w:val="24"/>
          <w:shd w:val="clear" w:color="auto" w:fill="FFFFFF"/>
        </w:rPr>
        <w:t>Karoly, L. A. (2010). The role of education in preparing graduates for the labor market in the GCC countries.</w:t>
      </w:r>
      <w:r w:rsidRPr="007D276E">
        <w:rPr>
          <w:rFonts w:ascii="Times New Roman" w:hAnsi="Times New Roman" w:cs="Times New Roman"/>
          <w:i/>
          <w:sz w:val="24"/>
          <w:szCs w:val="24"/>
          <w:shd w:val="clear" w:color="auto" w:fill="FFFFFF"/>
        </w:rPr>
        <w:t xml:space="preserve"> Emirates Center for Strategic Studies and Research</w:t>
      </w:r>
      <w:r w:rsidRPr="007D276E">
        <w:rPr>
          <w:rFonts w:ascii="Times New Roman" w:hAnsi="Times New Roman" w:cs="Times New Roman"/>
          <w:sz w:val="24"/>
          <w:szCs w:val="24"/>
          <w:shd w:val="clear" w:color="auto" w:fill="FFFFFF"/>
        </w:rPr>
        <w:t>. Retrieved from https://www.rand.org/content/dam/rand/pubs/working_papers/2010/RAND_WR742.pdf</w:t>
      </w:r>
    </w:p>
    <w:p w:rsidR="007D276E" w:rsidRPr="007D276E" w:rsidRDefault="007D276E" w:rsidP="000F501E">
      <w:pPr>
        <w:spacing w:after="0" w:line="480" w:lineRule="auto"/>
        <w:ind w:left="720" w:hanging="720"/>
        <w:jc w:val="both"/>
        <w:rPr>
          <w:rFonts w:ascii="Times New Roman" w:hAnsi="Times New Roman" w:cs="Times New Roman"/>
          <w:color w:val="222222"/>
          <w:sz w:val="24"/>
          <w:szCs w:val="24"/>
          <w:shd w:val="clear" w:color="auto" w:fill="FFFFFF"/>
        </w:rPr>
      </w:pPr>
      <w:r w:rsidRPr="007D276E">
        <w:rPr>
          <w:rFonts w:ascii="Times New Roman" w:hAnsi="Times New Roman" w:cs="Times New Roman"/>
          <w:color w:val="222222"/>
          <w:sz w:val="24"/>
          <w:szCs w:val="24"/>
          <w:shd w:val="clear" w:color="auto" w:fill="FFFFFF"/>
        </w:rPr>
        <w:t>Lin, N. (2017). Building a network theory of social capital. In </w:t>
      </w:r>
      <w:r w:rsidRPr="007D276E">
        <w:rPr>
          <w:rFonts w:ascii="Times New Roman" w:hAnsi="Times New Roman" w:cs="Times New Roman"/>
          <w:i/>
          <w:iCs/>
          <w:color w:val="222222"/>
          <w:sz w:val="24"/>
          <w:szCs w:val="24"/>
          <w:shd w:val="clear" w:color="auto" w:fill="FFFFFF"/>
        </w:rPr>
        <w:t>Social capital</w:t>
      </w:r>
      <w:r w:rsidRPr="007D276E">
        <w:rPr>
          <w:rFonts w:ascii="Times New Roman" w:hAnsi="Times New Roman" w:cs="Times New Roman"/>
          <w:color w:val="222222"/>
          <w:sz w:val="24"/>
          <w:szCs w:val="24"/>
          <w:shd w:val="clear" w:color="auto" w:fill="FFFFFF"/>
        </w:rPr>
        <w:t> (pp. 3-28). Routledge.</w:t>
      </w:r>
    </w:p>
    <w:p w:rsidR="007D276E" w:rsidRPr="007D276E" w:rsidRDefault="007D276E" w:rsidP="000F501E">
      <w:pPr>
        <w:spacing w:after="0" w:line="480" w:lineRule="auto"/>
        <w:ind w:left="720" w:hanging="720"/>
        <w:jc w:val="both"/>
        <w:rPr>
          <w:rFonts w:ascii="Times New Roman" w:hAnsi="Times New Roman" w:cs="Times New Roman"/>
          <w:sz w:val="24"/>
          <w:szCs w:val="24"/>
        </w:rPr>
      </w:pPr>
    </w:p>
    <w:p w:rsidR="00F87620" w:rsidRPr="007D276E" w:rsidRDefault="00F87620" w:rsidP="000F501E">
      <w:pPr>
        <w:spacing w:after="0" w:line="480" w:lineRule="auto"/>
        <w:ind w:left="567" w:hanging="567"/>
        <w:jc w:val="both"/>
        <w:rPr>
          <w:rFonts w:ascii="Times New Roman" w:hAnsi="Times New Roman" w:cs="Times New Roman"/>
          <w:color w:val="222222"/>
          <w:sz w:val="24"/>
          <w:szCs w:val="24"/>
          <w:shd w:val="clear" w:color="auto" w:fill="FFFFFF"/>
        </w:rPr>
      </w:pPr>
    </w:p>
    <w:sectPr w:rsidR="00F87620" w:rsidRPr="007D276E"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D80" w:rsidRDefault="00EB7D80" w:rsidP="00EE0CEB">
      <w:pPr>
        <w:spacing w:after="0" w:line="240" w:lineRule="auto"/>
      </w:pPr>
      <w:r>
        <w:separator/>
      </w:r>
    </w:p>
  </w:endnote>
  <w:endnote w:type="continuationSeparator" w:id="0">
    <w:p w:rsidR="00EB7D80" w:rsidRDefault="00EB7D80"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D80" w:rsidRDefault="00EB7D80" w:rsidP="00EE0CEB">
      <w:pPr>
        <w:spacing w:after="0" w:line="240" w:lineRule="auto"/>
      </w:pPr>
      <w:r>
        <w:separator/>
      </w:r>
    </w:p>
  </w:footnote>
  <w:footnote w:type="continuationSeparator" w:id="0">
    <w:p w:rsidR="00EB7D80" w:rsidRDefault="00EB7D80"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7D276E" w:rsidP="002162C1">
    <w:pPr>
      <w:spacing w:line="360" w:lineRule="auto"/>
      <w:jc w:val="both"/>
      <w:rPr>
        <w:rFonts w:ascii="Times New Roman" w:hAnsi="Times New Roman" w:cs="Times New Roman"/>
        <w:color w:val="222222"/>
        <w:sz w:val="24"/>
        <w:szCs w:val="24"/>
        <w:shd w:val="clear" w:color="auto" w:fill="FFFFFF"/>
      </w:rPr>
    </w:pPr>
    <w:r w:rsidRPr="007D276E">
      <w:rPr>
        <w:rFonts w:ascii="Times New Roman" w:hAnsi="Times New Roman" w:cs="Times New Roman"/>
        <w:sz w:val="24"/>
        <w:szCs w:val="24"/>
        <w:lang w:val="en-GB"/>
      </w:rPr>
      <w:t>THE ROLE OF A COLLEGE EDUCATION IN THE US LABOR MARKET</w:t>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0F501E">
      <w:rPr>
        <w:rFonts w:ascii="Times New Roman" w:hAnsi="Times New Roman" w:cs="Times New Roman"/>
        <w:noProof/>
        <w:sz w:val="24"/>
        <w:szCs w:val="24"/>
      </w:rPr>
      <w:t>10</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7D276E" w:rsidRDefault="002162C1" w:rsidP="00AF666C">
    <w:pPr>
      <w:rPr>
        <w:rFonts w:ascii="Times New Roman" w:hAnsi="Times New Roman" w:cs="Times New Roman"/>
        <w:sz w:val="23"/>
        <w:szCs w:val="23"/>
        <w:lang w:val="en-GB"/>
      </w:rPr>
    </w:pPr>
    <w:r w:rsidRPr="007D276E">
      <w:rPr>
        <w:rFonts w:ascii="Times New Roman" w:hAnsi="Times New Roman" w:cs="Times New Roman"/>
        <w:sz w:val="23"/>
        <w:szCs w:val="23"/>
      </w:rPr>
      <w:t>Running head</w:t>
    </w:r>
    <w:r w:rsidR="00085728" w:rsidRPr="007D276E">
      <w:rPr>
        <w:rFonts w:ascii="Times New Roman" w:hAnsi="Times New Roman" w:cs="Times New Roman"/>
        <w:sz w:val="23"/>
        <w:szCs w:val="23"/>
      </w:rPr>
      <w:t>:</w:t>
    </w:r>
    <w:r w:rsidR="00085728" w:rsidRPr="007D276E">
      <w:rPr>
        <w:rFonts w:ascii="Times New Roman" w:hAnsi="Times New Roman" w:cs="Times New Roman"/>
        <w:sz w:val="23"/>
        <w:szCs w:val="23"/>
        <w:shd w:val="clear" w:color="auto" w:fill="FFFFFF"/>
      </w:rPr>
      <w:t xml:space="preserve"> </w:t>
    </w:r>
    <w:r w:rsidR="007D276E" w:rsidRPr="007D276E">
      <w:rPr>
        <w:rFonts w:ascii="Times New Roman" w:hAnsi="Times New Roman" w:cs="Times New Roman"/>
        <w:sz w:val="23"/>
        <w:szCs w:val="23"/>
        <w:lang w:val="en-GB"/>
      </w:rPr>
      <w:t>THE ROLE OF A COLLEGE EDUCATION IN THE US LABOR MARKET</w:t>
    </w:r>
    <w:r w:rsidR="007D276E">
      <w:rPr>
        <w:rFonts w:ascii="Times New Roman" w:hAnsi="Times New Roman" w:cs="Times New Roman"/>
        <w:sz w:val="23"/>
        <w:szCs w:val="23"/>
        <w:lang w:val="en-GB"/>
      </w:rPr>
      <w:tab/>
      <w:t xml:space="preserve">    </w:t>
    </w:r>
    <w:r w:rsidR="002540AE" w:rsidRPr="007D276E">
      <w:rPr>
        <w:rFonts w:ascii="Times New Roman" w:hAnsi="Times New Roman" w:cs="Times New Roman"/>
        <w:sz w:val="23"/>
        <w:szCs w:val="23"/>
      </w:rPr>
      <w:fldChar w:fldCharType="begin"/>
    </w:r>
    <w:r w:rsidRPr="007D276E">
      <w:rPr>
        <w:rFonts w:ascii="Times New Roman" w:hAnsi="Times New Roman" w:cs="Times New Roman"/>
        <w:sz w:val="23"/>
        <w:szCs w:val="23"/>
      </w:rPr>
      <w:instrText xml:space="preserve"> PAGE   \* MERGEFORMAT </w:instrText>
    </w:r>
    <w:r w:rsidR="002540AE" w:rsidRPr="007D276E">
      <w:rPr>
        <w:rFonts w:ascii="Times New Roman" w:hAnsi="Times New Roman" w:cs="Times New Roman"/>
        <w:sz w:val="23"/>
        <w:szCs w:val="23"/>
      </w:rPr>
      <w:fldChar w:fldCharType="separate"/>
    </w:r>
    <w:r w:rsidR="000F501E">
      <w:rPr>
        <w:rFonts w:ascii="Times New Roman" w:hAnsi="Times New Roman" w:cs="Times New Roman"/>
        <w:noProof/>
        <w:sz w:val="23"/>
        <w:szCs w:val="23"/>
      </w:rPr>
      <w:t>1</w:t>
    </w:r>
    <w:r w:rsidR="002540AE" w:rsidRPr="007D276E">
      <w:rPr>
        <w:rFonts w:ascii="Times New Roman" w:hAnsi="Times New Roman" w:cs="Times New Roman"/>
        <w:noProof/>
        <w:sz w:val="23"/>
        <w:szCs w:val="23"/>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0F501E"/>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3332F"/>
    <w:rsid w:val="00345B55"/>
    <w:rsid w:val="00356213"/>
    <w:rsid w:val="00367188"/>
    <w:rsid w:val="00367E6D"/>
    <w:rsid w:val="00376A24"/>
    <w:rsid w:val="003A028B"/>
    <w:rsid w:val="003A2E95"/>
    <w:rsid w:val="00413B7D"/>
    <w:rsid w:val="00415D70"/>
    <w:rsid w:val="00424908"/>
    <w:rsid w:val="0043638C"/>
    <w:rsid w:val="00445E8B"/>
    <w:rsid w:val="0047247E"/>
    <w:rsid w:val="00474E66"/>
    <w:rsid w:val="00490E9D"/>
    <w:rsid w:val="004A0C02"/>
    <w:rsid w:val="004A64A7"/>
    <w:rsid w:val="004B60A8"/>
    <w:rsid w:val="004C490B"/>
    <w:rsid w:val="004D1F73"/>
    <w:rsid w:val="004F5F26"/>
    <w:rsid w:val="004F6A64"/>
    <w:rsid w:val="005029B7"/>
    <w:rsid w:val="00550857"/>
    <w:rsid w:val="00551462"/>
    <w:rsid w:val="0055684B"/>
    <w:rsid w:val="005A42D9"/>
    <w:rsid w:val="005A62FB"/>
    <w:rsid w:val="005C2821"/>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276E"/>
    <w:rsid w:val="007D6BCF"/>
    <w:rsid w:val="007E5D38"/>
    <w:rsid w:val="007F4F3A"/>
    <w:rsid w:val="00836352"/>
    <w:rsid w:val="00850FE5"/>
    <w:rsid w:val="008523FE"/>
    <w:rsid w:val="00860C12"/>
    <w:rsid w:val="008646BD"/>
    <w:rsid w:val="0087019F"/>
    <w:rsid w:val="00884502"/>
    <w:rsid w:val="0089319C"/>
    <w:rsid w:val="0089488C"/>
    <w:rsid w:val="008B23B7"/>
    <w:rsid w:val="008B4226"/>
    <w:rsid w:val="008C6FA5"/>
    <w:rsid w:val="008D54DC"/>
    <w:rsid w:val="008F29D2"/>
    <w:rsid w:val="009017B5"/>
    <w:rsid w:val="00922505"/>
    <w:rsid w:val="00927682"/>
    <w:rsid w:val="00944A3F"/>
    <w:rsid w:val="00955F03"/>
    <w:rsid w:val="009560DB"/>
    <w:rsid w:val="00960273"/>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BE6E35"/>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180D"/>
    <w:rsid w:val="00E06680"/>
    <w:rsid w:val="00E07B0D"/>
    <w:rsid w:val="00E07EE4"/>
    <w:rsid w:val="00E2663F"/>
    <w:rsid w:val="00E40A17"/>
    <w:rsid w:val="00E430DA"/>
    <w:rsid w:val="00E57A4F"/>
    <w:rsid w:val="00E84A92"/>
    <w:rsid w:val="00E91E2E"/>
    <w:rsid w:val="00EB1BF7"/>
    <w:rsid w:val="00EB36EC"/>
    <w:rsid w:val="00EB7C42"/>
    <w:rsid w:val="00EB7D80"/>
    <w:rsid w:val="00ED0D54"/>
    <w:rsid w:val="00EE0CEB"/>
    <w:rsid w:val="00EF12A2"/>
    <w:rsid w:val="00F20864"/>
    <w:rsid w:val="00F340E6"/>
    <w:rsid w:val="00F47324"/>
    <w:rsid w:val="00F619F7"/>
    <w:rsid w:val="00F84CB9"/>
    <w:rsid w:val="00F86B2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D4137-9AD6-4220-9C8B-EC760508A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3129</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2018-08-02T10:18:00Z</dcterms:created>
  <dcterms:modified xsi:type="dcterms:W3CDTF">2018-08-02T10:18:00Z</dcterms:modified>
</cp:coreProperties>
</file>