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highlight w:val="yellow"/>
        </w:rPr>
      </w:pPr>
      <w:r w:rsidDel="00000000" w:rsidR="00000000" w:rsidRPr="00000000">
        <w:rPr>
          <w:highlight w:val="yellow"/>
          <w:rtl w:val="0"/>
        </w:rPr>
        <w:t xml:space="preserve"> During my second visit to the cave, 4th paragraph</w:t>
      </w:r>
    </w:p>
    <w:p w:rsidR="00000000" w:rsidDel="00000000" w:rsidP="00000000" w:rsidRDefault="00000000" w:rsidRPr="00000000" w14:paraId="00000002">
      <w:pPr>
        <w:rPr/>
      </w:pPr>
      <w:r w:rsidDel="00000000" w:rsidR="00000000" w:rsidRPr="00000000">
        <w:rPr>
          <w:rtl w:val="0"/>
        </w:rPr>
        <w:t xml:space="preserve">Teachers comment: the gold of this essay is to analyze the literary connections to platos allegory not to write allegorically ourselves. Analytically you want to clearly show the connection and not through figurative language.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