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  <w:r>
        <w:rPr>
          <w:rFonts w:ascii="Times New Roman" w:hAnsi="Times New Roman" w:cs="Times New Roman"/>
          <w:sz w:val="24"/>
          <w:szCs w:val="24"/>
          <w:rtl w:val="off"/>
        </w:rPr>
        <w:t xml:space="preserve"> </w:t>
      </w:r>
      <w:r>
        <w:rPr>
          <w:rFonts w:ascii="Times New Roman" w:hAnsi="Times New Roman" w:cs="Times New Roman"/>
          <w:sz w:val="24"/>
          <w:szCs w:val="24"/>
          <w:rtl w:val="off"/>
        </w:rPr>
        <w:t>jelen</w:t>
      </w:r>
      <w:r>
        <w:rPr>
          <w:rFonts w:ascii="Times New Roman" w:hAnsi="Times New Roman" w:cs="Times New Roman"/>
          <w:sz w:val="24"/>
          <w:szCs w:val="24"/>
          <w:rtl w:val="off"/>
        </w:rPr>
        <w:t xml:space="preserve">a </w:t>
      </w:r>
      <w:r>
        <w:rPr>
          <w:rFonts w:ascii="Times New Roman" w:hAnsi="Times New Roman" w:cs="Times New Roman"/>
          <w:sz w:val="24"/>
          <w:szCs w:val="24"/>
          <w:rtl w:val="off"/>
        </w:rPr>
        <w:t>Glove</w:t>
      </w:r>
      <w:r>
        <w:rPr>
          <w:rFonts w:ascii="Times New Roman" w:hAnsi="Times New Roman" w:cs="Times New Roman"/>
          <w:sz w:val="24"/>
          <w:szCs w:val="24"/>
          <w:rtl w:val="off"/>
        </w:rPr>
        <w:t xml:space="preserve">r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  <w:r>
        <w:rPr>
          <w:rFonts w:ascii="Times New Roman" w:hAnsi="Times New Roman" w:cs="Times New Roman"/>
          <w:sz w:val="24"/>
          <w:szCs w:val="24"/>
          <w:rtl w:val="off"/>
        </w:rPr>
        <w:t xml:space="preserve"> </w:t>
      </w:r>
      <w:r>
        <w:rPr>
          <w:rFonts w:ascii="Times New Roman" w:hAnsi="Times New Roman" w:cs="Times New Roman"/>
          <w:sz w:val="24"/>
          <w:szCs w:val="24"/>
          <w:rtl w:val="off"/>
        </w:rPr>
        <w:t>mat</w:t>
      </w:r>
      <w:r>
        <w:rPr>
          <w:rFonts w:ascii="Times New Roman" w:hAnsi="Times New Roman" w:cs="Times New Roman"/>
          <w:sz w:val="24"/>
          <w:szCs w:val="24"/>
          <w:rtl w:val="off"/>
        </w:rPr>
        <w:t xml:space="preserve">h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  <w:rtl w:val="off"/>
        </w:rPr>
        <w:t xml:space="preserve"> 1/10/19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the use of Pythagoras theorem:</w:t>
      </w:r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11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+</m:t>
              </m:r>
              <m:sSup>
                <m:sSupPr>
                  <m:ctrlPr>
                    <w:rPr>
                      <w:rStyle w:val="st"/>
                      <w:rFonts w:ascii="Cambria Math" w:hAnsi="Cambria Math" w:cs="Times New Roman"/>
                      <w:sz w:val="24"/>
                      <w:szCs w:val="24"/>
                    </w:rPr>
                  </m:ctrlPr>
                </m:sSupPr>
                <m:e>
                  <m:r>
                    <w:rPr>
                      <w:rStyle w:val="st"/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e>
                <m:sup>
                  <m:r>
                    <w:rPr>
                      <w:rStyle w:val="st"/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e>
          </m:rad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170</m:t>
              </m:r>
            </m:e>
          </m:rad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Pythagoras theorem:</w:t>
      </w:r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-</m:t>
              </m:r>
            </m:e>
          </m:rad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13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56</m:t>
              </m:r>
            </m:e>
          </m:rad>
          <m:r>
            <w:rPr>
              <w:rFonts w:ascii="Cambria Math" w:hAnsi="Cambria Math" w:cs="Times New Roman"/>
              <w:sz w:val="24"/>
              <w:szCs w:val="24"/>
            </w:rPr>
            <m:t>=2</m:t>
          </m:r>
          <m:rad>
            <m:radPr>
              <m:degHide m:val="1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radPr>
            <m:deg/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14</m:t>
              </m:r>
            </m:e>
          </m:rad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the use of Pythagoras theorem and using the fact that x and y are equal sides then:</w:t>
      </w:r>
    </w:p>
    <w:p>
      <w:pPr>
        <w:pStyle w:val="ListParagraph"/>
        <w:rPr>
          <w:rStyle w:val="st"/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11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Style w:val="st"/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11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2x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121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x=y=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e>
              </m:rad>
            </m:den>
          </m:f>
        </m:oMath>
      </m:oMathPara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sine rule:</w:t>
      </w:r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y=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12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90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=15.7</m:t>
          </m:r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12</m:t>
              </m:r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30</m:t>
                  </m:r>
                </m:e>
              </m:func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50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=7.8</m:t>
          </m:r>
        </m:oMath>
      </m:oMathPara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Obtuse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Right angle triangle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Acute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Finding the sine, cosine and tangent of B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Opposite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Hypotenuse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57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57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11</m:t>
              </m:r>
            </m:den>
          </m:f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Adjacent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Hypotenuse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22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11</m:t>
              </m:r>
            </m:den>
          </m:f>
        </m:oMath>
      </m:oMathPara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Opposite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Adjacent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57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16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57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den>
          </m:f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Finding the sine, cosine and tangent of B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sin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Opposite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Hypotenuse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37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7</m:t>
              </m:r>
            </m:den>
          </m:f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Adjacent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Hypotenuse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7</m:t>
              </m:r>
            </m:den>
          </m:f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Opposite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Adjacent</m:t>
                  </m:r>
                </m:den>
              </m:f>
            </m:e>
          </m:func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37</m:t>
                  </m:r>
                </m:e>
              </m:rad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4</m:t>
              </m:r>
            </m:den>
          </m:f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48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9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36.9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the rules of tangents:</w:t>
      </w:r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60=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den>
              </m:f>
            </m:e>
          </m:func>
        </m:oMath>
      </m:oMathPara>
    </w:p>
    <w:p>
      <w:pPr>
        <w:pStyle w:val="ListParagraph"/>
        <w:rPr>
          <w:rStyle w:val="st"/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x=15</m:t>
          </m:r>
          <m:func>
            <m:func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tan</m:t>
              </m:r>
            </m:fName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60</m:t>
              </m:r>
            </m:e>
          </m:func>
          <m:r>
            <m:rPr>
              <m:sty m:val="p"/>
            </m:rPr>
            <w:rPr>
              <w:rStyle w:val="st"/>
              <w:rFonts w:ascii="Cambria Math" w:hAnsi="Cambria Math" w:cs="Times New Roman"/>
              <w:sz w:val="24"/>
              <w:szCs w:val="24"/>
            </w:rPr>
            <m:t>+5</m:t>
          </m:r>
        </m:oMath>
      </m:oMathPara>
    </w:p>
    <w:p>
      <w:pPr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x=31</m:t>
          </m:r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41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7.7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6.4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28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the sine rule:</w:t>
      </w:r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</m:func>
            </m:den>
          </m:f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38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72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</m:func>
            </m:den>
          </m:f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A=13.0</m:t>
          </m:r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the cosine rule:</w:t>
      </w:r>
    </w:p>
    <w:p>
      <w:pPr>
        <w:pStyle w:val="ListParagraph"/>
        <w:rPr>
          <w:rStyle w:val="st"/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Style w:val="st"/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p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Style w:val="st"/>
              <w:rFonts w:ascii="Cambria Math" w:hAnsi="Cambria Math" w:cs="Times New Roman"/>
              <w:sz w:val="24"/>
              <w:szCs w:val="24"/>
            </w:rPr>
            <m:t>-2bc</m:t>
          </m:r>
          <m:func>
            <m:funcPr>
              <m:ctrlPr>
                <w:rPr>
                  <w:rStyle w:val="st"/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A</m:t>
              </m:r>
            </m:e>
          </m:func>
        </m:oMath>
      </m:oMathPara>
    </w:p>
    <w:p>
      <w:pPr>
        <w:rPr>
          <w:rStyle w:val="st"/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24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Style w:val="st"/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12</m:t>
              </m:r>
            </m:e>
            <m:sup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Style w:val="st"/>
              <w:rFonts w:ascii="Cambria Math" w:hAnsi="Cambria Math" w:cs="Times New Roman"/>
              <w:sz w:val="24"/>
              <w:szCs w:val="24"/>
            </w:rPr>
            <m:t>-2×12×24×</m:t>
          </m:r>
          <m:func>
            <m:funcPr>
              <m:ctrlPr>
                <w:rPr>
                  <w:rStyle w:val="st"/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38</m:t>
              </m:r>
            </m:e>
          </m:func>
        </m:oMath>
      </m:oMathPara>
    </w:p>
    <w:p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a=16.3</m:t>
          </m:r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Using the cosine rule:</w:t>
      </w:r>
    </w:p>
    <w:p>
      <w:pPr>
        <w:ind w:left="360"/>
        <w:rPr>
          <w:rStyle w:val="st"/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k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Style w:val="st"/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p</m:t>
              </m:r>
            </m:e>
            <m:sup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Style w:val="st"/>
              <w:rFonts w:ascii="Cambria Math" w:hAnsi="Cambria Math" w:cs="Times New Roman"/>
              <w:sz w:val="24"/>
              <w:szCs w:val="24"/>
            </w:rPr>
            <m:t>-2lp</m:t>
          </m:r>
          <m:func>
            <m:funcPr>
              <m:ctrlPr>
                <w:rPr>
                  <w:rStyle w:val="st"/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K</m:t>
              </m:r>
            </m:e>
          </m:func>
        </m:oMath>
      </m:oMathPara>
    </w:p>
    <w:p>
      <w:pPr>
        <w:ind w:left="360"/>
        <w:rPr>
          <w:rStyle w:val="st"/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13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8</m:t>
              </m:r>
            </m:e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sup>
          </m:sSup>
          <m:r>
            <m:rPr>
              <m:sty m:val="p"/>
            </m:rPr>
            <w:rPr>
              <w:rStyle w:val="st"/>
              <w:rFonts w:ascii="Cambria Math" w:hAnsi="Cambria Math" w:cs="Times New Roman"/>
              <w:sz w:val="24"/>
              <w:szCs w:val="24"/>
            </w:rPr>
            <m:t>+</m:t>
          </m:r>
          <m:sSup>
            <m:sSupPr>
              <m:ctrl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</m:sSup>
          <m:r>
            <w:rPr>
              <w:rStyle w:val="st"/>
              <w:rFonts w:ascii="Cambria Math" w:hAnsi="Cambria Math" w:cs="Times New Roman"/>
              <w:sz w:val="24"/>
              <w:szCs w:val="24"/>
            </w:rPr>
            <m:t>-2×8×10</m:t>
          </m:r>
          <m:func>
            <m:funcPr>
              <m:ctrlPr>
                <w:rPr>
                  <w:rStyle w:val="st"/>
                  <w:rFonts w:ascii="Cambria Math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cos</m:t>
              </m:r>
            </m:fName>
            <m:e>
              <m:r>
                <w:rPr>
                  <w:rStyle w:val="st"/>
                  <w:rFonts w:ascii="Cambria Math" w:hAnsi="Cambria Math" w:cs="Times New Roman"/>
                  <w:sz w:val="24"/>
                  <w:szCs w:val="24"/>
                </w:rPr>
                <m:t>K</m:t>
              </m:r>
            </m:e>
          </m:func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K=91.8</m:t>
          </m:r>
        </m:oMath>
      </m:oMathPara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the sine rule:</w:t>
      </w:r>
    </w:p>
    <w:p>
      <w:pPr>
        <w:ind w:left="360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a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b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</m:func>
            </m:den>
          </m:f>
        </m:oMath>
      </m:oMathPara>
    </w:p>
    <w:p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/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120</m:t>
                  </m:r>
                </m:e>
              </m:func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8</m:t>
              </m:r>
            </m:num>
            <m:den>
              <m:func>
                <m:fun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e>
              </m:func>
            </m:den>
          </m:f>
        </m:oMath>
      </m:oMathPara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/>
        <m:oMath>
          <m:r>
            <w:rPr>
              <w:rFonts w:ascii="Cambria Math" w:hAnsi="Cambria Math" w:cs="Times New Roman"/>
              <w:sz w:val="24"/>
              <w:szCs w:val="24"/>
            </w:rPr>
            <m:t>A=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43.9</m:t>
          </m:r>
        </m:oMath>
      </m:oMathPara>
    </w:p>
    <w:sectPr>
      <w:pgSz w:w="11906" w:h="16838"/>
      <w:pgMar w:top="1440" w:right="1440" w:bottom="1440" w:left="1440" w:header="708" w:footer="708" w:gutter="0"/>
      <w:cols w:space="708"/>
      <w:docGrid w:linePitch="360"/>
      <w:headerReference w:type="default" r:id="rId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family w:val="roman"/>
    <w:charset w:val="00"/>
    <w:notTrueType w:val="false"/>
    <w:sig w:usb0="00007A87" w:usb1="80000000" w:usb2="00000008" w:usb3="00000001" w:csb0="400001FF" w:csb1="FFFF0000"/>
  </w:font>
  <w:font w:name="Cambria Math">
    <w:panose1 w:val="02040503050406030204"/>
    <w:family w:val="roman"/>
    <w:charset w:val="00"/>
    <w:notTrueType w:val="false"/>
    <w:sig w:usb0="E00002FF" w:usb1="420024FF" w:usb2="00000001" w:usb3="00000001" w:csb0="2000019F" w:csb1="00000001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  <w:jc w:val="right"/>
    </w:pPr>
    <w:r>
      <w:t xml:space="preserve">Surname </w:t>
    </w:r>
    <w:sdt>
      <w:sdtPr>
        <w:id w:val="-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5054e67"/>
    <w:multiLevelType w:val="hybridMultilevel"/>
    <w:tmpl w:val="5c64ceca"/>
    <w:lvl w:ilvl="0" w:tplc="809000f">
      <w:start w:val="1"/>
      <w:lvlText w:val="%1."/>
      <w:lvlJc w:val="left"/>
      <w:pPr>
        <w:ind w:left="720" w:hanging="360"/>
      </w:pPr>
      <w:rPr>
        <w:rFonts w:hint="default"/>
      </w:rPr>
    </w:lvl>
    <w:lvl w:ilvl="1" w:tplc="8090019">
      <w:start w:val="1"/>
      <w:numFmt w:val="lowerLetter"/>
      <w:lvlText w:val="%2."/>
      <w:lvlJc w:val="left"/>
      <w:pPr>
        <w:ind w:left="1440" w:hanging="360"/>
      </w:pPr>
    </w:lvl>
    <w:lvl w:ilvl="2" w:tentative="on" w:tplc="809001b">
      <w:start w:val="1"/>
      <w:numFmt w:val="lowerRoman"/>
      <w:lvlText w:val="%3."/>
      <w:lvlJc w:val="right"/>
      <w:pPr>
        <w:ind w:left="2160" w:hanging="180"/>
      </w:pPr>
    </w:lvl>
    <w:lvl w:ilvl="3" w:tentative="on" w:tplc="809000f">
      <w:start w:val="1"/>
      <w:lvlText w:val="%4."/>
      <w:lvlJc w:val="left"/>
      <w:pPr>
        <w:ind w:left="2880" w:hanging="360"/>
      </w:pPr>
    </w:lvl>
    <w:lvl w:ilvl="4" w:tentative="on" w:tplc="8090019">
      <w:start w:val="1"/>
      <w:numFmt w:val="lowerLetter"/>
      <w:lvlText w:val="%5."/>
      <w:lvlJc w:val="left"/>
      <w:pPr>
        <w:ind w:left="3600" w:hanging="360"/>
      </w:pPr>
    </w:lvl>
    <w:lvl w:ilvl="5" w:tentative="on" w:tplc="809001b">
      <w:start w:val="1"/>
      <w:numFmt w:val="lowerRoman"/>
      <w:lvlText w:val="%6."/>
      <w:lvlJc w:val="right"/>
      <w:pPr>
        <w:ind w:left="4320" w:hanging="180"/>
      </w:pPr>
    </w:lvl>
    <w:lvl w:ilvl="6" w:tentative="on" w:tplc="809000f">
      <w:start w:val="1"/>
      <w:lvlText w:val="%7."/>
      <w:lvlJc w:val="left"/>
      <w:pPr>
        <w:ind w:left="5040" w:hanging="360"/>
      </w:pPr>
    </w:lvl>
    <w:lvl w:ilvl="7" w:tentative="on" w:tplc="8090019">
      <w:start w:val="1"/>
      <w:numFmt w:val="lowerLetter"/>
      <w:lvlText w:val="%8."/>
      <w:lvlJc w:val="left"/>
      <w:pPr>
        <w:ind w:left="5760" w:hanging="360"/>
      </w:pPr>
    </w:lvl>
    <w:lvl w:ilvl="8" w:tentative="on" w:tplc="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20"/>
  <w:doNotUseMarginsForDrawingGridOrigi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GB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GB" w:eastAsia="en-US" w:bidi="ar-SA"/>
        <w:rFonts w:asciiTheme="minorHAnsi" w:eastAsiaTheme="minorHAnsi" w:hAnsiTheme="minorHAnsi" w:cstheme="minorBid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customStyle="1" w:styleId="HeaderChar">
    <w:name w:val="Header Char"/>
    <w:basedOn w:val="defaultParagraphFont"/>
    <w:link w:val="header"/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st">
    <w:name w:val="st"/>
    <w:basedOn w:val="defaultParagraphFont"/>
  </w:style>
  <w:style w:type="paragraph" w:styleId="Header">
    <w:name w:val="header"/>
    <w:basedOn w:val="normal"/>
    <w:link w:val="Header Char"/>
    <w:unhideWhenUsed/>
    <w:pPr>
      <w:tabs>
        <w:tab w:val="center" w:pos="4513"/>
        <w:tab w:val="right" w:pos="9026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fontTable" Target="fontTable.xml" /><Relationship Id="rId5" Type="http://schemas.openxmlformats.org/officeDocument/2006/relationships/webSettings" Target="webSettings.xml" /><Relationship Id="rId6" Type="http://schemas.openxmlformats.org/officeDocument/2006/relationships/numbering" Target="numbering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ThinkFree Mobile Write</Application>
  <Company>Hewlett-Packard</Company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SM-G965U</cp:lastModifiedBy>
  <cp:revision>1</cp:revision>
  <dcterms:created xsi:type="dcterms:W3CDTF">2019-01-10T07:19:00Z</dcterms:created>
  <dcterms:modified xsi:type="dcterms:W3CDTF">2019-01-10T12:35:47Z</dcterms:modified>
  <cp:version>04.2000</cp:version>
</cp:coreProperties>
</file>