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945" w:rsidRDefault="00CE2945" w:rsidP="00CE2945">
      <w:pPr>
        <w:spacing w:line="480" w:lineRule="auto"/>
        <w:jc w:val="center"/>
        <w:rPr>
          <w:rFonts w:ascii="Times New Roman" w:hAnsi="Times New Roman" w:cs="Times New Roman"/>
          <w:sz w:val="24"/>
          <w:szCs w:val="24"/>
        </w:rPr>
      </w:pPr>
    </w:p>
    <w:p w:rsidR="00CE2945" w:rsidRDefault="00CE2945" w:rsidP="00CE2945">
      <w:pPr>
        <w:spacing w:line="480" w:lineRule="auto"/>
        <w:jc w:val="center"/>
        <w:rPr>
          <w:rFonts w:ascii="Times New Roman" w:hAnsi="Times New Roman" w:cs="Times New Roman"/>
          <w:sz w:val="24"/>
          <w:szCs w:val="24"/>
        </w:rPr>
      </w:pPr>
    </w:p>
    <w:p w:rsidR="00CE2945" w:rsidRDefault="00CE2945" w:rsidP="00CE2945">
      <w:pPr>
        <w:spacing w:line="480" w:lineRule="auto"/>
        <w:jc w:val="center"/>
        <w:rPr>
          <w:rFonts w:ascii="Times New Roman" w:hAnsi="Times New Roman" w:cs="Times New Roman"/>
          <w:sz w:val="24"/>
          <w:szCs w:val="24"/>
        </w:rPr>
      </w:pPr>
    </w:p>
    <w:p w:rsidR="00CE2945" w:rsidRDefault="00CE2945" w:rsidP="00CE2945">
      <w:pPr>
        <w:spacing w:line="480" w:lineRule="auto"/>
        <w:jc w:val="center"/>
        <w:rPr>
          <w:rFonts w:ascii="Times New Roman" w:hAnsi="Times New Roman" w:cs="Times New Roman"/>
          <w:sz w:val="24"/>
          <w:szCs w:val="24"/>
        </w:rPr>
      </w:pPr>
      <w:bookmarkStart w:id="0" w:name="_GoBack"/>
      <w:bookmarkEnd w:id="0"/>
    </w:p>
    <w:p w:rsidR="00CE2945" w:rsidRDefault="00CE2945" w:rsidP="00CE2945">
      <w:pPr>
        <w:spacing w:line="480" w:lineRule="auto"/>
        <w:jc w:val="center"/>
        <w:rPr>
          <w:rFonts w:ascii="Times New Roman" w:hAnsi="Times New Roman" w:cs="Times New Roman"/>
          <w:sz w:val="24"/>
          <w:szCs w:val="24"/>
        </w:rPr>
      </w:pPr>
    </w:p>
    <w:p w:rsidR="002E1342" w:rsidRDefault="002E1342" w:rsidP="00CE2945">
      <w:pPr>
        <w:spacing w:line="480" w:lineRule="auto"/>
        <w:jc w:val="center"/>
        <w:rPr>
          <w:rFonts w:ascii="Times New Roman" w:hAnsi="Times New Roman" w:cs="Times New Roman"/>
          <w:sz w:val="24"/>
          <w:szCs w:val="24"/>
        </w:rPr>
      </w:pPr>
      <w:r>
        <w:rPr>
          <w:rFonts w:ascii="Times New Roman" w:hAnsi="Times New Roman" w:cs="Times New Roman"/>
          <w:sz w:val="24"/>
          <w:szCs w:val="24"/>
        </w:rPr>
        <w:t>Young Wether</w:t>
      </w:r>
    </w:p>
    <w:p w:rsidR="002E1342" w:rsidRDefault="002E1342" w:rsidP="00CE294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E1342" w:rsidRDefault="002E1342" w:rsidP="00CE29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2E1342" w:rsidRDefault="002E1342" w:rsidP="00CE294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2E1342" w:rsidRDefault="002E1342" w:rsidP="00CE294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E1342" w:rsidRDefault="002E1342" w:rsidP="002E1342">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2E1342" w:rsidRPr="002E1342" w:rsidRDefault="00AC49C5" w:rsidP="002E1342">
      <w:pPr>
        <w:spacing w:line="480" w:lineRule="auto"/>
        <w:ind w:firstLine="720"/>
        <w:jc w:val="both"/>
        <w:rPr>
          <w:rFonts w:ascii="Times New Roman" w:hAnsi="Times New Roman" w:cs="Times New Roman"/>
          <w:sz w:val="24"/>
          <w:szCs w:val="24"/>
        </w:rPr>
      </w:pPr>
      <w:r w:rsidRPr="002E1342">
        <w:rPr>
          <w:rFonts w:ascii="Times New Roman" w:hAnsi="Times New Roman" w:cs="Times New Roman"/>
          <w:sz w:val="24"/>
          <w:szCs w:val="24"/>
        </w:rPr>
        <w:lastRenderedPageBreak/>
        <w:t xml:space="preserve">Werther through his art proves both his wide range and unity of purpose in maintaining an inner order in every aspect of an individual’s life. All through his </w:t>
      </w:r>
      <w:r w:rsidR="002E1342" w:rsidRPr="002E1342">
        <w:rPr>
          <w:rFonts w:ascii="Times New Roman" w:hAnsi="Times New Roman" w:cs="Times New Roman"/>
          <w:sz w:val="24"/>
          <w:szCs w:val="24"/>
        </w:rPr>
        <w:t>lifetime, his</w:t>
      </w:r>
      <w:r w:rsidRPr="002E1342">
        <w:rPr>
          <w:rFonts w:ascii="Times New Roman" w:hAnsi="Times New Roman" w:cs="Times New Roman"/>
          <w:sz w:val="24"/>
          <w:szCs w:val="24"/>
        </w:rPr>
        <w:t xml:space="preserve"> religious beliefs, love affairs, personal relationships with other people and daily routine of activities are a permanent mystery</w:t>
      </w:r>
      <w:r w:rsidR="00285ABF" w:rsidRPr="002E1342">
        <w:rPr>
          <w:rFonts w:ascii="Times New Roman" w:hAnsi="Times New Roman" w:cs="Times New Roman"/>
          <w:sz w:val="24"/>
          <w:szCs w:val="24"/>
        </w:rPr>
        <w:t xml:space="preserve">. One famous account concerns Goethe and Beethoven, who were as one at a spa resort when they startlingly met a gathering of German eminence in the city. Goethe respectfully stood aside and expelled his cap, while Beethoven kept his cap solidly on his head and pushed through the imperial gathering, driving them to clear a path—which they did, while offering the writer agreeable welcome. Here was a differentiation of demeanors, yet additionally of ages. Goethe had a place with the dignified past, when specialists were the customers of sovereigns, while Beethoven spoke to the Romantic future, when rulers would racket to connect with craftsmen. </w:t>
      </w:r>
    </w:p>
    <w:p w:rsidR="00285ABF" w:rsidRPr="002E1342" w:rsidRDefault="00285ABF" w:rsidP="002E1342">
      <w:pPr>
        <w:spacing w:line="480" w:lineRule="auto"/>
        <w:ind w:firstLine="720"/>
        <w:jc w:val="both"/>
        <w:rPr>
          <w:rFonts w:ascii="Times New Roman" w:hAnsi="Times New Roman" w:cs="Times New Roman"/>
          <w:sz w:val="24"/>
          <w:szCs w:val="24"/>
        </w:rPr>
      </w:pPr>
      <w:r w:rsidRPr="002E1342">
        <w:rPr>
          <w:rFonts w:ascii="Times New Roman" w:hAnsi="Times New Roman" w:cs="Times New Roman"/>
          <w:sz w:val="24"/>
          <w:szCs w:val="24"/>
        </w:rPr>
        <w:t xml:space="preserve">Students of history debate whether the episode really occurred, yet on the off chance that it didn't the story is seemingly considerably all the more noteworthy; the occasion became well known on the grounds that it symbolized the manner in which individuals pondered Goethe and his </w:t>
      </w:r>
      <w:r w:rsidR="002E1342" w:rsidRPr="002E1342">
        <w:rPr>
          <w:rFonts w:ascii="Times New Roman" w:hAnsi="Times New Roman" w:cs="Times New Roman"/>
          <w:sz w:val="24"/>
          <w:szCs w:val="24"/>
        </w:rPr>
        <w:t>values. This</w:t>
      </w:r>
      <w:r w:rsidRPr="002E1342">
        <w:rPr>
          <w:rFonts w:ascii="Times New Roman" w:hAnsi="Times New Roman" w:cs="Times New Roman"/>
          <w:sz w:val="24"/>
          <w:szCs w:val="24"/>
        </w:rPr>
        <w:t xml:space="preserve"> is mostly in light of the fact that Goethe so frequently shrouds his advancement in misleadingly basic </w:t>
      </w:r>
      <w:r w:rsidR="002E1342" w:rsidRPr="002E1342">
        <w:rPr>
          <w:rFonts w:ascii="Times New Roman" w:hAnsi="Times New Roman" w:cs="Times New Roman"/>
          <w:sz w:val="24"/>
          <w:szCs w:val="24"/>
        </w:rPr>
        <w:t>language. This</w:t>
      </w:r>
      <w:r w:rsidRPr="002E1342">
        <w:rPr>
          <w:rFonts w:ascii="Times New Roman" w:hAnsi="Times New Roman" w:cs="Times New Roman"/>
          <w:sz w:val="24"/>
          <w:szCs w:val="24"/>
        </w:rPr>
        <w:t xml:space="preserve"> short novel recounts to the account of </w:t>
      </w:r>
      <w:r w:rsidR="002E1342" w:rsidRPr="002E1342">
        <w:rPr>
          <w:rFonts w:ascii="Times New Roman" w:hAnsi="Times New Roman" w:cs="Times New Roman"/>
          <w:sz w:val="24"/>
          <w:szCs w:val="24"/>
        </w:rPr>
        <w:t>an</w:t>
      </w:r>
      <w:r w:rsidRPr="002E1342">
        <w:rPr>
          <w:rFonts w:ascii="Times New Roman" w:hAnsi="Times New Roman" w:cs="Times New Roman"/>
          <w:sz w:val="24"/>
          <w:szCs w:val="24"/>
        </w:rPr>
        <w:t xml:space="preserve"> unhappy love relationship. Through letters composed by Werther to a companion, we find out about his miserable love for Charlotte, a warm and prudent young lady who is as of now drew in to a commendable man, Albert. After Charlotte and Albert get hitched, Werther feels that he has nothing to live for, and chooses to end it all a choice that he imparts in a gothic song of feeling: "You see, Charlotte, I don't shiver to take the cold and deadly cup, from which I will drink the free for all of death. Your hand offered it to me, and I don't tremble. All, all the desires and an amazing expectations are satisfied. Cold and solid I th</w:t>
      </w:r>
      <w:r w:rsidR="002E1342" w:rsidRPr="002E1342">
        <w:rPr>
          <w:rFonts w:ascii="Times New Roman" w:hAnsi="Times New Roman" w:cs="Times New Roman"/>
          <w:sz w:val="24"/>
          <w:szCs w:val="24"/>
        </w:rPr>
        <w:t>ump at the bold doors of death, (</w:t>
      </w:r>
      <w:r w:rsidR="002E1342" w:rsidRPr="002E1342">
        <w:rPr>
          <w:rFonts w:ascii="Times New Roman" w:hAnsi="Times New Roman" w:cs="Times New Roman"/>
          <w:sz w:val="24"/>
          <w:szCs w:val="24"/>
          <w:shd w:val="clear" w:color="auto" w:fill="FFFFFF"/>
        </w:rPr>
        <w:t xml:space="preserve">Abbott, </w:t>
      </w:r>
      <w:r w:rsidR="002E1342" w:rsidRPr="002E1342">
        <w:rPr>
          <w:rFonts w:ascii="Times New Roman" w:hAnsi="Times New Roman" w:cs="Times New Roman"/>
          <w:sz w:val="24"/>
          <w:szCs w:val="24"/>
          <w:shd w:val="clear" w:color="auto" w:fill="FFFFFF"/>
        </w:rPr>
        <w:t>2014).</w:t>
      </w:r>
    </w:p>
    <w:p w:rsidR="00285ABF" w:rsidRPr="002E1342" w:rsidRDefault="00285ABF" w:rsidP="002E1342">
      <w:pPr>
        <w:spacing w:line="480" w:lineRule="auto"/>
        <w:ind w:firstLine="720"/>
        <w:jc w:val="both"/>
        <w:rPr>
          <w:rFonts w:ascii="Times New Roman" w:hAnsi="Times New Roman" w:cs="Times New Roman"/>
          <w:sz w:val="24"/>
          <w:szCs w:val="24"/>
        </w:rPr>
      </w:pPr>
      <w:r w:rsidRPr="002E1342">
        <w:rPr>
          <w:rFonts w:ascii="Times New Roman" w:hAnsi="Times New Roman" w:cs="Times New Roman"/>
          <w:sz w:val="24"/>
          <w:szCs w:val="24"/>
        </w:rPr>
        <w:lastRenderedPageBreak/>
        <w:t>However,</w:t>
      </w:r>
      <w:r w:rsidR="00AD3B66" w:rsidRPr="002E1342">
        <w:rPr>
          <w:rFonts w:ascii="Times New Roman" w:hAnsi="Times New Roman" w:cs="Times New Roman"/>
          <w:sz w:val="24"/>
          <w:szCs w:val="24"/>
        </w:rPr>
        <w:t xml:space="preserve"> Werther fails in that he is never good to go, on the grounds that he has no earth shattering deed holding back to be performed. Right now, a more current figure than Hamlet, who, all things considered, was brought by a phantom. Werther, similar to us, gets no assistance from the other world in coordinating his means right now.</w:t>
      </w:r>
      <w:r w:rsidR="00F27662" w:rsidRPr="002E1342">
        <w:rPr>
          <w:rFonts w:ascii="Times New Roman" w:hAnsi="Times New Roman" w:cs="Times New Roman"/>
          <w:sz w:val="24"/>
          <w:szCs w:val="24"/>
        </w:rPr>
        <w:t xml:space="preserve"> Werther's stressed triangular relationship with Charlotte, whom he adores, and Albert, whom he regards as a companion, was taken straightforwardly from Goethe's own ensnarement with a lady named Charlotte Buff and her life partner, Johann Kestner. Goethe grafted this story with that of a youngster he scarcely knew, named Karl Jerusalem, who ended it all with a gun acquired from Kestner, similarly as Werther obtains Albert's gun for a similar reason. So firmly did the occasions of the novel mirror those of genuine that its production, and afterward its gigantic achievement, demolished Goethe's relationship with Kestner, who wrote to whine about the way the creator "undermined the genuine people whose highlights you obtain."</w:t>
      </w:r>
    </w:p>
    <w:p w:rsidR="003A179C" w:rsidRPr="002E1342" w:rsidRDefault="003A179C" w:rsidP="002E1342">
      <w:pPr>
        <w:spacing w:line="480" w:lineRule="auto"/>
        <w:ind w:firstLine="720"/>
        <w:jc w:val="both"/>
        <w:rPr>
          <w:rFonts w:ascii="Times New Roman" w:hAnsi="Times New Roman" w:cs="Times New Roman"/>
          <w:sz w:val="24"/>
          <w:szCs w:val="24"/>
        </w:rPr>
      </w:pPr>
      <w:r w:rsidRPr="002E1342">
        <w:rPr>
          <w:rFonts w:ascii="Times New Roman" w:hAnsi="Times New Roman" w:cs="Times New Roman"/>
          <w:sz w:val="24"/>
          <w:szCs w:val="24"/>
        </w:rPr>
        <w:t xml:space="preserve">While references to philosophical ideas and subjects are absolutely inescapable all through his compositions, Blanchot shuns formal argumentation and proposes no orderly philosophical hypothesis of his own. All through his horde references to Levinas, Hegel, Nietzsche, Heidegger, and endless others, Blanchot tries to peruse logicians on their own terms, drawing in with their particular wordings, and working from inside their separate philosophical frameworks so as to feature the manners by which these frameworks definitely open onto an outside. This pressure, between the working of a framework—be it philosophical, political, </w:t>
      </w:r>
      <w:r w:rsidR="002E1342" w:rsidRPr="002E1342">
        <w:rPr>
          <w:rFonts w:ascii="Times New Roman" w:hAnsi="Times New Roman" w:cs="Times New Roman"/>
          <w:sz w:val="24"/>
          <w:szCs w:val="24"/>
        </w:rPr>
        <w:t>and printed</w:t>
      </w:r>
      <w:r w:rsidRPr="002E1342">
        <w:rPr>
          <w:rFonts w:ascii="Times New Roman" w:hAnsi="Times New Roman" w:cs="Times New Roman"/>
          <w:sz w:val="24"/>
          <w:szCs w:val="24"/>
        </w:rPr>
        <w:t xml:space="preserve">—and its anarchic, </w:t>
      </w:r>
      <w:r w:rsidR="002E1342" w:rsidRPr="002E1342">
        <w:rPr>
          <w:rFonts w:ascii="Times New Roman" w:hAnsi="Times New Roman" w:cs="Times New Roman"/>
          <w:sz w:val="24"/>
          <w:szCs w:val="24"/>
        </w:rPr>
        <w:t>unpresentable</w:t>
      </w:r>
      <w:r w:rsidRPr="002E1342">
        <w:rPr>
          <w:rFonts w:ascii="Times New Roman" w:hAnsi="Times New Roman" w:cs="Times New Roman"/>
          <w:sz w:val="24"/>
          <w:szCs w:val="24"/>
        </w:rPr>
        <w:t xml:space="preserve">, outside, is a normally repeating figure of speech inside Blanchot's compositions. He is commonly less worried about favoring one side on philosophical inquiries, than in indicating how any framework or hypothesis that tries to comprehensive totality undermines itself by expecting a beginning stage that goes before, or </w:t>
      </w:r>
      <w:r w:rsidR="002E1342" w:rsidRPr="002E1342">
        <w:rPr>
          <w:rFonts w:ascii="Times New Roman" w:hAnsi="Times New Roman" w:cs="Times New Roman"/>
          <w:sz w:val="24"/>
          <w:szCs w:val="24"/>
        </w:rPr>
        <w:t>surpasses, the framework itself, (</w:t>
      </w:r>
      <w:r w:rsidR="002E1342" w:rsidRPr="002E1342">
        <w:rPr>
          <w:rFonts w:ascii="Times New Roman" w:hAnsi="Times New Roman" w:cs="Times New Roman"/>
          <w:sz w:val="24"/>
          <w:szCs w:val="24"/>
          <w:shd w:val="clear" w:color="auto" w:fill="FFFFFF"/>
        </w:rPr>
        <w:t xml:space="preserve">Silverman, </w:t>
      </w:r>
      <w:r w:rsidR="002E1342" w:rsidRPr="002E1342">
        <w:rPr>
          <w:rFonts w:ascii="Times New Roman" w:hAnsi="Times New Roman" w:cs="Times New Roman"/>
          <w:sz w:val="24"/>
          <w:szCs w:val="24"/>
          <w:shd w:val="clear" w:color="auto" w:fill="FFFFFF"/>
        </w:rPr>
        <w:t>2016).</w:t>
      </w:r>
    </w:p>
    <w:p w:rsidR="003A179C" w:rsidRPr="002E1342" w:rsidRDefault="003A179C" w:rsidP="002E1342">
      <w:pPr>
        <w:spacing w:line="480" w:lineRule="auto"/>
        <w:jc w:val="both"/>
        <w:rPr>
          <w:rFonts w:ascii="Times New Roman" w:hAnsi="Times New Roman" w:cs="Times New Roman"/>
          <w:sz w:val="24"/>
          <w:szCs w:val="24"/>
        </w:rPr>
      </w:pPr>
    </w:p>
    <w:p w:rsidR="00F27662" w:rsidRPr="002E1342" w:rsidRDefault="003A179C" w:rsidP="002E1342">
      <w:pPr>
        <w:spacing w:line="480" w:lineRule="auto"/>
        <w:ind w:firstLine="720"/>
        <w:jc w:val="both"/>
        <w:rPr>
          <w:rFonts w:ascii="Times New Roman" w:hAnsi="Times New Roman" w:cs="Times New Roman"/>
          <w:sz w:val="24"/>
          <w:szCs w:val="24"/>
        </w:rPr>
      </w:pPr>
      <w:r w:rsidRPr="002E1342">
        <w:rPr>
          <w:rFonts w:ascii="Times New Roman" w:hAnsi="Times New Roman" w:cs="Times New Roman"/>
          <w:sz w:val="24"/>
          <w:szCs w:val="24"/>
        </w:rPr>
        <w:t xml:space="preserve">All through his compositions, a few other repetitive subjects can moreover be recognized. These incorporate an investigation of the oddities related with death, redundancy, and time, just as the different </w:t>
      </w:r>
      <w:r w:rsidR="002E1342" w:rsidRPr="002E1342">
        <w:rPr>
          <w:rFonts w:ascii="Times New Roman" w:hAnsi="Times New Roman" w:cs="Times New Roman"/>
          <w:sz w:val="24"/>
          <w:szCs w:val="24"/>
        </w:rPr>
        <w:t>aperies</w:t>
      </w:r>
      <w:r w:rsidRPr="002E1342">
        <w:rPr>
          <w:rFonts w:ascii="Times New Roman" w:hAnsi="Times New Roman" w:cs="Times New Roman"/>
          <w:sz w:val="24"/>
          <w:szCs w:val="24"/>
        </w:rPr>
        <w:t xml:space="preserve"> identified with roots and closures. Blanchot's works demonstrate him to be a scholar extensively dedicated to privileging obscurity and distinction over character and similarity. Despite the fact that his intuition, especially with respect to governmental issues, experiences a progression of huge moves over the course his life, there is a sure consistency to Blanchot's general methodology. His focal concern is to draw reasoning, writing, and hypothesis everywhere, into connection with an otherness, a notorious outside, past its points of confinement</w:t>
      </w:r>
      <w:r w:rsidRPr="002E1342">
        <w:rPr>
          <w:rFonts w:ascii="Times New Roman" w:hAnsi="Times New Roman" w:cs="Times New Roman"/>
          <w:sz w:val="24"/>
          <w:szCs w:val="24"/>
        </w:rPr>
        <w:t xml:space="preserve"> </w:t>
      </w:r>
      <w:r w:rsidRPr="002E1342">
        <w:rPr>
          <w:rFonts w:ascii="Times New Roman" w:hAnsi="Times New Roman" w:cs="Times New Roman"/>
          <w:sz w:val="24"/>
          <w:szCs w:val="24"/>
        </w:rPr>
        <w:t>to which it should continually react.</w:t>
      </w:r>
    </w:p>
    <w:p w:rsidR="002E1342" w:rsidRPr="002E1342" w:rsidRDefault="003A179C" w:rsidP="002E1342">
      <w:pPr>
        <w:spacing w:line="480" w:lineRule="auto"/>
        <w:ind w:firstLine="720"/>
        <w:jc w:val="both"/>
        <w:rPr>
          <w:rFonts w:ascii="Times New Roman" w:hAnsi="Times New Roman" w:cs="Times New Roman"/>
          <w:sz w:val="24"/>
          <w:szCs w:val="24"/>
        </w:rPr>
      </w:pPr>
      <w:r w:rsidRPr="002E1342">
        <w:rPr>
          <w:rFonts w:ascii="Times New Roman" w:hAnsi="Times New Roman" w:cs="Times New Roman"/>
          <w:sz w:val="24"/>
          <w:szCs w:val="24"/>
        </w:rPr>
        <w:t xml:space="preserve">In spite of the fact that it might show up along these lines, he is in reality doing the polar opposite; into Werther's suicide, Goethe weaves gallantry, compassion, and </w:t>
      </w:r>
      <w:r w:rsidR="002E1342" w:rsidRPr="002E1342">
        <w:rPr>
          <w:rFonts w:ascii="Times New Roman" w:hAnsi="Times New Roman" w:cs="Times New Roman"/>
          <w:sz w:val="24"/>
          <w:szCs w:val="24"/>
        </w:rPr>
        <w:t>honor. Throughout</w:t>
      </w:r>
      <w:r w:rsidRPr="002E1342">
        <w:rPr>
          <w:rFonts w:ascii="Times New Roman" w:hAnsi="Times New Roman" w:cs="Times New Roman"/>
          <w:sz w:val="24"/>
          <w:szCs w:val="24"/>
        </w:rPr>
        <w:t xml:space="preserve"> his life, Werther has been asked to grasp objectivity and thoroughly consider things. At last, in any case, he understands that he can't control his interests; despite what might be expected, his interests control him. Werther meets another like him, who can't control himself either: "his energy for the lady… had day by day developed on him, to the extent that he at long last had not realized what to do… He had not had the option to eat, to drink or rest; he had felt as though something was gagging him." Werther, as well, feels as though some higher power is controlling his activities. Werther isn't rebuffed for letting his energy rule him; he ends his life, and this is the thing that he has ached for more than anything. He greets passing wholeheartedly: he "shivered with </w:t>
      </w:r>
      <w:r w:rsidR="002E1342" w:rsidRPr="002E1342">
        <w:rPr>
          <w:rFonts w:ascii="Times New Roman" w:hAnsi="Times New Roman" w:cs="Times New Roman"/>
          <w:sz w:val="24"/>
          <w:szCs w:val="24"/>
        </w:rPr>
        <w:t>cunningness</w:t>
      </w:r>
      <w:r w:rsidRPr="002E1342">
        <w:rPr>
          <w:rFonts w:ascii="Times New Roman" w:hAnsi="Times New Roman" w:cs="Times New Roman"/>
          <w:sz w:val="24"/>
          <w:szCs w:val="24"/>
        </w:rPr>
        <w:t xml:space="preserve"> and</w:t>
      </w:r>
      <w:r w:rsidR="002E1342" w:rsidRPr="002E1342">
        <w:rPr>
          <w:rFonts w:ascii="Times New Roman" w:hAnsi="Times New Roman" w:cs="Times New Roman"/>
          <w:sz w:val="24"/>
          <w:szCs w:val="24"/>
        </w:rPr>
        <w:t xml:space="preserve"> furthermore with aching", (</w:t>
      </w:r>
      <w:r w:rsidR="002E1342" w:rsidRPr="002E1342">
        <w:rPr>
          <w:rFonts w:ascii="Times New Roman" w:hAnsi="Times New Roman" w:cs="Times New Roman"/>
          <w:sz w:val="24"/>
          <w:szCs w:val="24"/>
          <w:shd w:val="clear" w:color="auto" w:fill="FFFFFF"/>
        </w:rPr>
        <w:t xml:space="preserve">Bennett and Royle, </w:t>
      </w:r>
      <w:r w:rsidR="002E1342" w:rsidRPr="002E1342">
        <w:rPr>
          <w:rFonts w:ascii="Times New Roman" w:hAnsi="Times New Roman" w:cs="Times New Roman"/>
          <w:sz w:val="24"/>
          <w:szCs w:val="24"/>
          <w:shd w:val="clear" w:color="auto" w:fill="FFFFFF"/>
        </w:rPr>
        <w:t>2004).</w:t>
      </w:r>
    </w:p>
    <w:p w:rsidR="002E1342" w:rsidRDefault="002E1342" w:rsidP="002E1342">
      <w:pPr>
        <w:spacing w:line="480" w:lineRule="auto"/>
        <w:ind w:firstLine="720"/>
        <w:jc w:val="both"/>
        <w:rPr>
          <w:rFonts w:ascii="Times New Roman" w:hAnsi="Times New Roman" w:cs="Times New Roman"/>
          <w:sz w:val="24"/>
          <w:szCs w:val="24"/>
        </w:rPr>
      </w:pPr>
    </w:p>
    <w:p w:rsidR="003A179C" w:rsidRPr="002E1342" w:rsidRDefault="003A179C" w:rsidP="002E1342">
      <w:pPr>
        <w:spacing w:line="480" w:lineRule="auto"/>
        <w:ind w:firstLine="720"/>
        <w:jc w:val="both"/>
        <w:rPr>
          <w:rFonts w:ascii="Times New Roman" w:hAnsi="Times New Roman" w:cs="Times New Roman"/>
          <w:sz w:val="24"/>
          <w:szCs w:val="24"/>
        </w:rPr>
      </w:pPr>
      <w:r w:rsidRPr="002E1342">
        <w:rPr>
          <w:rFonts w:ascii="Times New Roman" w:hAnsi="Times New Roman" w:cs="Times New Roman"/>
          <w:sz w:val="24"/>
          <w:szCs w:val="24"/>
        </w:rPr>
        <w:lastRenderedPageBreak/>
        <w:t>Werther's demise is brave, at any rate in his eyes; this is demonstrated when he peruses from certain melodies of Ossian to Lotte. He says, "Tall thou craftsmanship on the slope; reasonable among the children of the vale. Be that as it may, thou shalt fall like Morar; the griever will sit on thy tomb". He imagines his own passing as comparably courageous, with Lotte sobbing for him on his grave, since he was valiant enough to end his own life. He contends lavishly with Albert, Lotte's better half, when Albert says that suicide is frail: "For it is absolutely simpler to kick the bucket than courageously to shoulder an existence of hopelessness</w:t>
      </w:r>
      <w:r w:rsidR="002E1342" w:rsidRPr="002E1342">
        <w:rPr>
          <w:rFonts w:ascii="Times New Roman" w:hAnsi="Times New Roman" w:cs="Times New Roman"/>
          <w:sz w:val="24"/>
          <w:szCs w:val="24"/>
        </w:rPr>
        <w:t xml:space="preserve">”. </w:t>
      </w:r>
      <w:r w:rsidRPr="002E1342">
        <w:rPr>
          <w:rFonts w:ascii="Times New Roman" w:hAnsi="Times New Roman" w:cs="Times New Roman"/>
          <w:sz w:val="24"/>
          <w:szCs w:val="24"/>
        </w:rPr>
        <w:t>Werther never changes his view regarding this matter, accepting that suicide is amazing. Goethe likewise utilizes the epistolary structure to celebrate Werther's demise. It is regular for legends to be portrayed as god-like, unfading, and impenetrable. Since the letters show the progression of time and end with Werther's passing, Werther is dropped to the position of an insignificant human. In any case, he is as yet a legend, and the way that his demise is impending just proposes that he is typical: an everyman saint. Right now, are urged to identify with Werther, and to grasp his sentimental thoughts.</w:t>
      </w:r>
    </w:p>
    <w:p w:rsidR="002E1342" w:rsidRDefault="002E1342" w:rsidP="002E13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A179C" w:rsidRPr="002E1342" w:rsidRDefault="003A179C" w:rsidP="002E1342">
      <w:pPr>
        <w:spacing w:line="480" w:lineRule="auto"/>
        <w:jc w:val="center"/>
        <w:rPr>
          <w:rFonts w:ascii="Times New Roman" w:hAnsi="Times New Roman" w:cs="Times New Roman"/>
          <w:sz w:val="24"/>
          <w:szCs w:val="24"/>
        </w:rPr>
      </w:pPr>
      <w:r w:rsidRPr="002E1342">
        <w:rPr>
          <w:rFonts w:ascii="Times New Roman" w:hAnsi="Times New Roman" w:cs="Times New Roman"/>
          <w:sz w:val="24"/>
          <w:szCs w:val="24"/>
        </w:rPr>
        <w:lastRenderedPageBreak/>
        <w:t>Reference</w:t>
      </w:r>
    </w:p>
    <w:p w:rsidR="003A179C" w:rsidRPr="002E1342" w:rsidRDefault="003A179C" w:rsidP="002E1342">
      <w:pPr>
        <w:spacing w:line="480" w:lineRule="auto"/>
        <w:jc w:val="both"/>
        <w:rPr>
          <w:rFonts w:ascii="Times New Roman" w:hAnsi="Times New Roman" w:cs="Times New Roman"/>
          <w:sz w:val="24"/>
          <w:szCs w:val="24"/>
          <w:shd w:val="clear" w:color="auto" w:fill="FFFFFF"/>
        </w:rPr>
      </w:pPr>
      <w:r w:rsidRPr="002E1342">
        <w:rPr>
          <w:rFonts w:ascii="Times New Roman" w:hAnsi="Times New Roman" w:cs="Times New Roman"/>
          <w:sz w:val="24"/>
          <w:szCs w:val="24"/>
          <w:shd w:val="clear" w:color="auto" w:fill="FFFFFF"/>
        </w:rPr>
        <w:t>Bennett, A., &amp; Royle, N. (2004). Literature, criticism and theory. </w:t>
      </w:r>
      <w:r w:rsidRPr="002E1342">
        <w:rPr>
          <w:rFonts w:ascii="Times New Roman" w:hAnsi="Times New Roman" w:cs="Times New Roman"/>
          <w:i/>
          <w:iCs/>
          <w:sz w:val="24"/>
          <w:szCs w:val="24"/>
          <w:shd w:val="clear" w:color="auto" w:fill="FFFFFF"/>
        </w:rPr>
        <w:t>Harlow, UK: Pearson</w:t>
      </w:r>
      <w:r w:rsidRPr="002E1342">
        <w:rPr>
          <w:rFonts w:ascii="Times New Roman" w:hAnsi="Times New Roman" w:cs="Times New Roman"/>
          <w:sz w:val="24"/>
          <w:szCs w:val="24"/>
          <w:shd w:val="clear" w:color="auto" w:fill="FFFFFF"/>
        </w:rPr>
        <w:t>.</w:t>
      </w:r>
    </w:p>
    <w:p w:rsidR="003A179C" w:rsidRPr="002E1342" w:rsidRDefault="003A179C" w:rsidP="002E1342">
      <w:pPr>
        <w:spacing w:line="480" w:lineRule="auto"/>
        <w:jc w:val="both"/>
        <w:rPr>
          <w:rFonts w:ascii="Times New Roman" w:hAnsi="Times New Roman" w:cs="Times New Roman"/>
          <w:sz w:val="24"/>
          <w:szCs w:val="24"/>
          <w:shd w:val="clear" w:color="auto" w:fill="FFFFFF"/>
        </w:rPr>
      </w:pPr>
      <w:r w:rsidRPr="002E1342">
        <w:rPr>
          <w:rFonts w:ascii="Times New Roman" w:hAnsi="Times New Roman" w:cs="Times New Roman"/>
          <w:sz w:val="24"/>
          <w:szCs w:val="24"/>
          <w:shd w:val="clear" w:color="auto" w:fill="FFFFFF"/>
        </w:rPr>
        <w:t xml:space="preserve">Abbott, S. (2014). The Sufferings of Young Werther by Johann Wolfgang von Goethe, Trans. and </w:t>
      </w:r>
      <w:r w:rsidR="002E1342">
        <w:rPr>
          <w:rFonts w:ascii="Times New Roman" w:hAnsi="Times New Roman" w:cs="Times New Roman"/>
          <w:sz w:val="24"/>
          <w:szCs w:val="24"/>
          <w:shd w:val="clear" w:color="auto" w:fill="FFFFFF"/>
        </w:rPr>
        <w:tab/>
      </w:r>
      <w:r w:rsidRPr="002E1342">
        <w:rPr>
          <w:rFonts w:ascii="Times New Roman" w:hAnsi="Times New Roman" w:cs="Times New Roman"/>
          <w:sz w:val="24"/>
          <w:szCs w:val="24"/>
          <w:shd w:val="clear" w:color="auto" w:fill="FFFFFF"/>
        </w:rPr>
        <w:t>ed. by Stanley Corngold. </w:t>
      </w:r>
      <w:r w:rsidRPr="002E1342">
        <w:rPr>
          <w:rFonts w:ascii="Times New Roman" w:hAnsi="Times New Roman" w:cs="Times New Roman"/>
          <w:i/>
          <w:iCs/>
          <w:sz w:val="24"/>
          <w:szCs w:val="24"/>
          <w:shd w:val="clear" w:color="auto" w:fill="FFFFFF"/>
        </w:rPr>
        <w:t>Goethe Yearbook</w:t>
      </w:r>
      <w:r w:rsidRPr="002E1342">
        <w:rPr>
          <w:rFonts w:ascii="Times New Roman" w:hAnsi="Times New Roman" w:cs="Times New Roman"/>
          <w:sz w:val="24"/>
          <w:szCs w:val="24"/>
          <w:shd w:val="clear" w:color="auto" w:fill="FFFFFF"/>
        </w:rPr>
        <w:t>, </w:t>
      </w:r>
      <w:r w:rsidRPr="002E1342">
        <w:rPr>
          <w:rFonts w:ascii="Times New Roman" w:hAnsi="Times New Roman" w:cs="Times New Roman"/>
          <w:i/>
          <w:iCs/>
          <w:sz w:val="24"/>
          <w:szCs w:val="24"/>
          <w:shd w:val="clear" w:color="auto" w:fill="FFFFFF"/>
        </w:rPr>
        <w:t>21</w:t>
      </w:r>
      <w:r w:rsidRPr="002E1342">
        <w:rPr>
          <w:rFonts w:ascii="Times New Roman" w:hAnsi="Times New Roman" w:cs="Times New Roman"/>
          <w:sz w:val="24"/>
          <w:szCs w:val="24"/>
          <w:shd w:val="clear" w:color="auto" w:fill="FFFFFF"/>
        </w:rPr>
        <w:t>(1), 255-256.</w:t>
      </w:r>
    </w:p>
    <w:p w:rsidR="002E1342" w:rsidRPr="002E1342" w:rsidRDefault="002E1342" w:rsidP="002E1342">
      <w:pPr>
        <w:spacing w:line="480" w:lineRule="auto"/>
        <w:jc w:val="both"/>
        <w:rPr>
          <w:rFonts w:ascii="Times New Roman" w:hAnsi="Times New Roman" w:cs="Times New Roman"/>
          <w:sz w:val="24"/>
          <w:szCs w:val="24"/>
          <w:shd w:val="clear" w:color="auto" w:fill="FFFFFF"/>
        </w:rPr>
      </w:pPr>
      <w:r w:rsidRPr="002E1342">
        <w:rPr>
          <w:rFonts w:ascii="Times New Roman" w:hAnsi="Times New Roman" w:cs="Times New Roman"/>
          <w:sz w:val="24"/>
          <w:szCs w:val="24"/>
          <w:shd w:val="clear" w:color="auto" w:fill="FFFFFF"/>
        </w:rPr>
        <w:t xml:space="preserve">Silverman, M. A. (2016). The sorrows of young Werther and Goethe’s understanding of </w:t>
      </w:r>
      <w:r>
        <w:rPr>
          <w:rFonts w:ascii="Times New Roman" w:hAnsi="Times New Roman" w:cs="Times New Roman"/>
          <w:sz w:val="24"/>
          <w:szCs w:val="24"/>
          <w:shd w:val="clear" w:color="auto" w:fill="FFFFFF"/>
        </w:rPr>
        <w:tab/>
      </w:r>
      <w:r w:rsidRPr="002E1342">
        <w:rPr>
          <w:rFonts w:ascii="Times New Roman" w:hAnsi="Times New Roman" w:cs="Times New Roman"/>
          <w:sz w:val="24"/>
          <w:szCs w:val="24"/>
          <w:shd w:val="clear" w:color="auto" w:fill="FFFFFF"/>
        </w:rPr>
        <w:t>melancholia. </w:t>
      </w:r>
      <w:r w:rsidRPr="002E1342">
        <w:rPr>
          <w:rFonts w:ascii="Times New Roman" w:hAnsi="Times New Roman" w:cs="Times New Roman"/>
          <w:i/>
          <w:iCs/>
          <w:sz w:val="24"/>
          <w:szCs w:val="24"/>
          <w:shd w:val="clear" w:color="auto" w:fill="FFFFFF"/>
        </w:rPr>
        <w:t>The Psychoanalytic Quarterly</w:t>
      </w:r>
      <w:r w:rsidRPr="002E1342">
        <w:rPr>
          <w:rFonts w:ascii="Times New Roman" w:hAnsi="Times New Roman" w:cs="Times New Roman"/>
          <w:sz w:val="24"/>
          <w:szCs w:val="24"/>
          <w:shd w:val="clear" w:color="auto" w:fill="FFFFFF"/>
        </w:rPr>
        <w:t>, </w:t>
      </w:r>
      <w:r w:rsidRPr="002E1342">
        <w:rPr>
          <w:rFonts w:ascii="Times New Roman" w:hAnsi="Times New Roman" w:cs="Times New Roman"/>
          <w:i/>
          <w:iCs/>
          <w:sz w:val="24"/>
          <w:szCs w:val="24"/>
          <w:shd w:val="clear" w:color="auto" w:fill="FFFFFF"/>
        </w:rPr>
        <w:t>85</w:t>
      </w:r>
      <w:r w:rsidRPr="002E1342">
        <w:rPr>
          <w:rFonts w:ascii="Times New Roman" w:hAnsi="Times New Roman" w:cs="Times New Roman"/>
          <w:sz w:val="24"/>
          <w:szCs w:val="24"/>
          <w:shd w:val="clear" w:color="auto" w:fill="FFFFFF"/>
        </w:rPr>
        <w:t>(1), 199-209.</w:t>
      </w:r>
    </w:p>
    <w:p w:rsidR="002E1342" w:rsidRPr="002E1342" w:rsidRDefault="002E1342" w:rsidP="002E1342">
      <w:pPr>
        <w:spacing w:line="480" w:lineRule="auto"/>
        <w:jc w:val="both"/>
        <w:rPr>
          <w:rFonts w:ascii="Times New Roman" w:hAnsi="Times New Roman" w:cs="Times New Roman"/>
          <w:sz w:val="24"/>
          <w:szCs w:val="24"/>
        </w:rPr>
      </w:pPr>
      <w:r w:rsidRPr="002E1342">
        <w:rPr>
          <w:rFonts w:ascii="Times New Roman" w:hAnsi="Times New Roman" w:cs="Times New Roman"/>
          <w:sz w:val="24"/>
          <w:szCs w:val="24"/>
          <w:shd w:val="clear" w:color="auto" w:fill="FFFFFF"/>
        </w:rPr>
        <w:t>Sykes, J. D. (2018). The Sorrows of Young Werther: Confessions Without Confession. In </w:t>
      </w:r>
      <w:r w:rsidRPr="002E1342">
        <w:rPr>
          <w:rFonts w:ascii="Times New Roman" w:hAnsi="Times New Roman" w:cs="Times New Roman"/>
          <w:i/>
          <w:iCs/>
          <w:sz w:val="24"/>
          <w:szCs w:val="24"/>
          <w:shd w:val="clear" w:color="auto" w:fill="FFFFFF"/>
        </w:rPr>
        <w:t xml:space="preserve">God </w:t>
      </w:r>
      <w:r>
        <w:rPr>
          <w:rFonts w:ascii="Times New Roman" w:hAnsi="Times New Roman" w:cs="Times New Roman"/>
          <w:i/>
          <w:iCs/>
          <w:sz w:val="24"/>
          <w:szCs w:val="24"/>
          <w:shd w:val="clear" w:color="auto" w:fill="FFFFFF"/>
        </w:rPr>
        <w:tab/>
      </w:r>
      <w:r w:rsidRPr="002E1342">
        <w:rPr>
          <w:rFonts w:ascii="Times New Roman" w:hAnsi="Times New Roman" w:cs="Times New Roman"/>
          <w:i/>
          <w:iCs/>
          <w:sz w:val="24"/>
          <w:szCs w:val="24"/>
          <w:shd w:val="clear" w:color="auto" w:fill="FFFFFF"/>
        </w:rPr>
        <w:t>and Self in the Confessional Novel</w:t>
      </w:r>
      <w:r w:rsidRPr="002E1342">
        <w:rPr>
          <w:rFonts w:ascii="Times New Roman" w:hAnsi="Times New Roman" w:cs="Times New Roman"/>
          <w:sz w:val="24"/>
          <w:szCs w:val="24"/>
          <w:shd w:val="clear" w:color="auto" w:fill="FFFFFF"/>
        </w:rPr>
        <w:t> (pp. 39-60). Palgrave Macmillan, Cham.</w:t>
      </w:r>
    </w:p>
    <w:sectPr w:rsidR="002E1342" w:rsidRPr="002E1342" w:rsidSect="00CE29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E69" w:rsidRDefault="00237E69" w:rsidP="00CE2945">
      <w:pPr>
        <w:spacing w:after="0" w:line="240" w:lineRule="auto"/>
      </w:pPr>
      <w:r>
        <w:separator/>
      </w:r>
    </w:p>
  </w:endnote>
  <w:endnote w:type="continuationSeparator" w:id="0">
    <w:p w:rsidR="00237E69" w:rsidRDefault="00237E69" w:rsidP="00CE2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E69" w:rsidRDefault="00237E69" w:rsidP="00CE2945">
      <w:pPr>
        <w:spacing w:after="0" w:line="240" w:lineRule="auto"/>
      </w:pPr>
      <w:r>
        <w:separator/>
      </w:r>
    </w:p>
  </w:footnote>
  <w:footnote w:type="continuationSeparator" w:id="0">
    <w:p w:rsidR="00237E69" w:rsidRDefault="00237E69" w:rsidP="00CE2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144899"/>
      <w:docPartObj>
        <w:docPartGallery w:val="Page Numbers (Top of Page)"/>
        <w:docPartUnique/>
      </w:docPartObj>
    </w:sdtPr>
    <w:sdtEndPr>
      <w:rPr>
        <w:noProof/>
      </w:rPr>
    </w:sdtEndPr>
    <w:sdtContent>
      <w:p w:rsidR="00CE2945" w:rsidRPr="00CE2945" w:rsidRDefault="00CE2945" w:rsidP="00CE2945">
        <w:pPr>
          <w:spacing w:line="480" w:lineRule="auto"/>
          <w:rPr>
            <w:rFonts w:ascii="Times New Roman" w:hAnsi="Times New Roman" w:cs="Times New Roman"/>
            <w:sz w:val="24"/>
            <w:szCs w:val="24"/>
          </w:rPr>
        </w:pPr>
        <w:r>
          <w:rPr>
            <w:rFonts w:ascii="Times New Roman" w:hAnsi="Times New Roman" w:cs="Times New Roman"/>
            <w:sz w:val="24"/>
            <w:szCs w:val="24"/>
          </w:rPr>
          <w:t xml:space="preserve">YOUNG WETHER                                                                                                                          </w:t>
        </w:r>
        <w:r>
          <w:fldChar w:fldCharType="begin"/>
        </w:r>
        <w:r>
          <w:instrText xml:space="preserve"> PAGE   \* MERGEFORMAT </w:instrText>
        </w:r>
        <w:r>
          <w:fldChar w:fldCharType="separate"/>
        </w:r>
        <w:r>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945" w:rsidRDefault="00CE2945">
    <w:pPr>
      <w:pStyle w:val="Header"/>
    </w:pPr>
    <w:r>
      <w:t xml:space="preserve">Running Head: </w:t>
    </w:r>
    <w:r>
      <w:rPr>
        <w:rFonts w:ascii="Times New Roman" w:hAnsi="Times New Roman" w:cs="Times New Roman"/>
        <w:sz w:val="24"/>
        <w:szCs w:val="24"/>
      </w:rPr>
      <w:t xml:space="preserve">YOUNG WETHER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2MDM0NLW0tDA3MDFT0lEKTi0uzszPAykwrAUAd57BjSwAAAA="/>
  </w:docVars>
  <w:rsids>
    <w:rsidRoot w:val="00AC49C5"/>
    <w:rsid w:val="00237E69"/>
    <w:rsid w:val="00285ABF"/>
    <w:rsid w:val="002E1342"/>
    <w:rsid w:val="003A179C"/>
    <w:rsid w:val="00AC49C5"/>
    <w:rsid w:val="00AD3B66"/>
    <w:rsid w:val="00CE2945"/>
    <w:rsid w:val="00D269C6"/>
    <w:rsid w:val="00DE28DC"/>
    <w:rsid w:val="00F27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F344E-ABB7-462F-BE58-A55649EF3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945"/>
  </w:style>
  <w:style w:type="paragraph" w:styleId="Footer">
    <w:name w:val="footer"/>
    <w:basedOn w:val="Normal"/>
    <w:link w:val="FooterChar"/>
    <w:uiPriority w:val="99"/>
    <w:unhideWhenUsed/>
    <w:rsid w:val="00CE2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6</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2020-02-27T19:41:00Z</dcterms:created>
  <dcterms:modified xsi:type="dcterms:W3CDTF">2020-02-28T00:10:00Z</dcterms:modified>
</cp:coreProperties>
</file>