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D43" w:rsidRDefault="00FD144C" w:rsidP="00C90D43">
      <w:pPr>
        <w:spacing w:line="48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Name </w:t>
      </w:r>
    </w:p>
    <w:p w:rsidR="00C90D43" w:rsidRDefault="00C90D43" w:rsidP="00C90D43">
      <w:pPr>
        <w:spacing w:line="48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Tutor</w:t>
      </w:r>
    </w:p>
    <w:p w:rsidR="00C90D43" w:rsidRDefault="00C90D43" w:rsidP="00C90D43">
      <w:pPr>
        <w:spacing w:line="48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C90D43" w:rsidRDefault="00C90D43" w:rsidP="00C90D43">
      <w:pPr>
        <w:spacing w:line="48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C90D43" w:rsidRPr="00C90D43" w:rsidRDefault="00C90D43" w:rsidP="00C90D43">
      <w:pPr>
        <w:spacing w:line="480" w:lineRule="auto"/>
        <w:contextualSpacing/>
        <w:jc w:val="center"/>
        <w:rPr>
          <w:rFonts w:ascii="Times New Roman" w:hAnsi="Times New Roman" w:cs="Times New Roman"/>
          <w:b/>
          <w:color w:val="000000" w:themeColor="text1"/>
          <w:sz w:val="24"/>
          <w:szCs w:val="24"/>
          <w:shd w:val="clear" w:color="auto" w:fill="FFFFFF"/>
        </w:rPr>
      </w:pPr>
      <w:r w:rsidRPr="00C90D43">
        <w:rPr>
          <w:rFonts w:ascii="Times New Roman" w:hAnsi="Times New Roman" w:cs="Times New Roman"/>
          <w:b/>
          <w:color w:val="000000" w:themeColor="text1"/>
          <w:sz w:val="24"/>
          <w:szCs w:val="24"/>
          <w:shd w:val="clear" w:color="auto" w:fill="FFFFFF"/>
        </w:rPr>
        <w:t>The Patient Portal and Health Information</w:t>
      </w:r>
    </w:p>
    <w:p w:rsidR="00C90D43" w:rsidRPr="00C92FC2" w:rsidRDefault="00697522" w:rsidP="00C90D43">
      <w:pPr>
        <w:spacing w:line="480" w:lineRule="auto"/>
        <w:ind w:firstLine="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Patient portal and health information is one major discussion which is composed of the activities and the lives of the patient. Based on this patient portal and health information, the patients have been diagnosed to have </w:t>
      </w:r>
      <w:r w:rsidR="007604D7">
        <w:rPr>
          <w:rFonts w:ascii="Times New Roman" w:hAnsi="Times New Roman" w:cs="Times New Roman"/>
          <w:color w:val="000000" w:themeColor="text1"/>
          <w:sz w:val="24"/>
          <w:szCs w:val="24"/>
        </w:rPr>
        <w:t xml:space="preserve">diabetes and more details have offered to the different ways through which the people who suffer from this diseases have been treated. </w:t>
      </w:r>
      <w:r w:rsidR="00C90D43" w:rsidRPr="00C92FC2">
        <w:rPr>
          <w:rFonts w:ascii="Times New Roman" w:hAnsi="Times New Roman" w:cs="Times New Roman"/>
          <w:color w:val="000000" w:themeColor="text1"/>
          <w:sz w:val="24"/>
          <w:szCs w:val="24"/>
        </w:rPr>
        <w:t>Where prevention has not been successful, the next step is to effectively manage illness and promote wellness of the patient. In order to be able to successfully manage illness, there are several components of care that must be used together to ensure the highest quality of care and in instances of hospitalisation, safe discharge as soon as possible. In order to fulfil complete holistic nursing, all aspects of the patient must be taken into consideration. This means not only concentrating on the physical ailment but also the psychological, sociological, spiritual, cultural and traditional needs of the patient. By taking all these aspects, effective patient-centred care can be fulfilled. Furthermore, in order for patient care to be consistent and efficient, communication must be thorough amongst all the disciplines. As such, the nursing process must be</w:t>
      </w:r>
      <w:r w:rsidR="00C90D43">
        <w:rPr>
          <w:rFonts w:ascii="Times New Roman" w:hAnsi="Times New Roman" w:cs="Times New Roman"/>
          <w:color w:val="000000" w:themeColor="text1"/>
          <w:sz w:val="24"/>
          <w:szCs w:val="24"/>
        </w:rPr>
        <w:t xml:space="preserve"> </w:t>
      </w:r>
    </w:p>
    <w:p w:rsidR="00C90D43" w:rsidRPr="00C92FC2" w:rsidRDefault="00C90D43" w:rsidP="00C90D43">
      <w:pPr>
        <w:spacing w:line="480" w:lineRule="auto"/>
        <w:contextualSpacing/>
        <w:jc w:val="both"/>
        <w:rPr>
          <w:rFonts w:ascii="Times New Roman" w:hAnsi="Times New Roman" w:cs="Times New Roman"/>
          <w:b/>
          <w:color w:val="000000" w:themeColor="text1"/>
          <w:sz w:val="24"/>
          <w:szCs w:val="24"/>
        </w:rPr>
      </w:pPr>
      <w:r w:rsidRPr="00C92FC2">
        <w:rPr>
          <w:rFonts w:ascii="Times New Roman" w:hAnsi="Times New Roman" w:cs="Times New Roman"/>
          <w:b/>
          <w:color w:val="000000" w:themeColor="text1"/>
          <w:sz w:val="24"/>
          <w:szCs w:val="24"/>
        </w:rPr>
        <w:t>Discussion</w:t>
      </w:r>
    </w:p>
    <w:p w:rsidR="0047730A" w:rsidRDefault="00C90D43" w:rsidP="00C90D43">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At the discussion level, the major thing that will be considered is more description about the condition and various ways which lead to its occurrence. This would also involve the implementation of various methods in trying to find more light regarding the solutions to the condition.</w:t>
      </w:r>
      <w:r w:rsidR="0047730A">
        <w:rPr>
          <w:rFonts w:ascii="Times New Roman" w:hAnsi="Times New Roman" w:cs="Times New Roman"/>
          <w:color w:val="000000" w:themeColor="text1"/>
          <w:sz w:val="24"/>
          <w:szCs w:val="24"/>
        </w:rPr>
        <w:t xml:space="preserve"> </w:t>
      </w:r>
      <w:r w:rsidRPr="00C92FC2">
        <w:rPr>
          <w:rFonts w:ascii="Times New Roman" w:hAnsi="Times New Roman" w:cs="Times New Roman"/>
          <w:color w:val="000000" w:themeColor="text1"/>
          <w:sz w:val="24"/>
          <w:szCs w:val="24"/>
        </w:rPr>
        <w:t xml:space="preserve">(CSDH) is considered a collection of the watery blood between the arachnoid the brain layer and dura and is imagined to occur as a result of the damage caused by the </w:t>
      </w:r>
      <w:r w:rsidRPr="00C92FC2">
        <w:rPr>
          <w:rFonts w:ascii="Times New Roman" w:hAnsi="Times New Roman" w:cs="Times New Roman"/>
          <w:color w:val="000000" w:themeColor="text1"/>
          <w:sz w:val="24"/>
          <w:szCs w:val="24"/>
        </w:rPr>
        <w:lastRenderedPageBreak/>
        <w:t>bridging veins intersecting the subdural space</w:t>
      </w:r>
      <w:r w:rsidR="00697522">
        <w:rPr>
          <w:rFonts w:ascii="Times New Roman" w:hAnsi="Times New Roman" w:cs="Times New Roman"/>
          <w:color w:val="000000" w:themeColor="text1"/>
          <w:sz w:val="24"/>
          <w:szCs w:val="24"/>
        </w:rPr>
        <w:t xml:space="preserve"> (</w:t>
      </w:r>
      <w:r w:rsidR="00697522" w:rsidRPr="00DD0825">
        <w:rPr>
          <w:rFonts w:ascii="Times New Roman" w:hAnsi="Times New Roman" w:cs="Times New Roman"/>
          <w:color w:val="000000" w:themeColor="text1"/>
          <w:sz w:val="24"/>
          <w:szCs w:val="24"/>
          <w:shd w:val="clear" w:color="auto" w:fill="FFFFFF"/>
        </w:rPr>
        <w:t>Lyles</w:t>
      </w:r>
      <w:r w:rsidR="00697522">
        <w:rPr>
          <w:rFonts w:ascii="Times New Roman" w:hAnsi="Times New Roman" w:cs="Times New Roman"/>
          <w:color w:val="000000" w:themeColor="text1"/>
          <w:sz w:val="24"/>
          <w:szCs w:val="24"/>
          <w:shd w:val="clear" w:color="auto" w:fill="FFFFFF"/>
        </w:rPr>
        <w:t xml:space="preserve"> 543)</w:t>
      </w:r>
      <w:r w:rsidRPr="00C92FC2">
        <w:rPr>
          <w:rFonts w:ascii="Times New Roman" w:hAnsi="Times New Roman" w:cs="Times New Roman"/>
          <w:color w:val="000000" w:themeColor="text1"/>
          <w:sz w:val="24"/>
          <w:szCs w:val="24"/>
        </w:rPr>
        <w:t>. The injury in the head is a common risk factor observed in the research conducted between one thousand patients. Apart from the head injury being risk factors observed in the research conducted with one thousand patients being the point of reference, other risk factors also existed, and they are observed as antiplatelet use, coagulopathy and the malformations of the vascular. From the conducted research or study,(CSDH) has always been observed or associated with presenting itself numerous weeks or periods after the bleeding of the index, this is because as the first or the primary acute haematoma becomes watery, it broadens. The up surging volume then results to the effec</w:t>
      </w:r>
      <w:r w:rsidR="008735E0">
        <w:rPr>
          <w:rFonts w:ascii="Times New Roman" w:hAnsi="Times New Roman" w:cs="Times New Roman"/>
          <w:color w:val="000000" w:themeColor="text1"/>
          <w:sz w:val="24"/>
          <w:szCs w:val="24"/>
        </w:rPr>
        <w:t xml:space="preserve">t which establishes clinically. </w:t>
      </w:r>
    </w:p>
    <w:p w:rsidR="00DD0825" w:rsidRDefault="00C90D43" w:rsidP="00C90D43">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 xml:space="preserve">There are two major applications which have been proposed to facilitate the clot controlling of the mechanism. The first principle which has been implemented is that the watering clot upsurges the content of the protein which later exerts osmotic consequence through the enlarged oncotic gravity. However, the liquid clot’s osmolality is annually the same to the blood and the cerebrospinal fluid. The second principle argues that the bleeding happens from the irregular and widened blood vein in the capsule that exists around the haematoma. The existing evidence from the readings of radiolabelling and the existing reflection of the congealing aberrations within the (CSDH) itself assist this specific principle. High absorption of the </w:t>
      </w:r>
      <w:r w:rsidRPr="00C92FC2">
        <w:rPr>
          <w:rFonts w:ascii="Times New Roman" w:hAnsi="Times New Roman" w:cs="Times New Roman"/>
          <w:i/>
          <w:color w:val="000000" w:themeColor="text1"/>
          <w:sz w:val="24"/>
          <w:szCs w:val="24"/>
        </w:rPr>
        <w:t>(vascular endothelial growth factor)</w:t>
      </w:r>
      <w:r w:rsidRPr="00C92FC2">
        <w:rPr>
          <w:rFonts w:ascii="Times New Roman" w:hAnsi="Times New Roman" w:cs="Times New Roman"/>
          <w:color w:val="000000" w:themeColor="text1"/>
          <w:sz w:val="24"/>
          <w:szCs w:val="24"/>
        </w:rPr>
        <w:t xml:space="preserve"> has also been shown within the subdural fluid supporting the principle that the current continuing angiogenesis and hyper-permeability of the vessels leads to the haematoma. In the dissertation, the drainage of the hematoma and irrigation through the burr holes is considered to be important or effective since it facilitates the reduction in the size</w:t>
      </w:r>
      <w:r w:rsidR="00697522">
        <w:rPr>
          <w:rFonts w:ascii="Times New Roman" w:hAnsi="Times New Roman" w:cs="Times New Roman"/>
          <w:color w:val="000000" w:themeColor="text1"/>
          <w:sz w:val="24"/>
          <w:szCs w:val="24"/>
        </w:rPr>
        <w:t xml:space="preserve"> and speed of the reabsorption (</w:t>
      </w:r>
      <w:r w:rsidR="00697522" w:rsidRPr="00DD0825">
        <w:rPr>
          <w:rFonts w:ascii="Times New Roman" w:hAnsi="Times New Roman" w:cs="Times New Roman"/>
          <w:color w:val="000000" w:themeColor="text1"/>
          <w:sz w:val="24"/>
          <w:szCs w:val="24"/>
          <w:shd w:val="clear" w:color="auto" w:fill="FFFFFF"/>
        </w:rPr>
        <w:t>Lyles</w:t>
      </w:r>
      <w:r w:rsidR="00697522">
        <w:rPr>
          <w:rFonts w:ascii="Times New Roman" w:hAnsi="Times New Roman" w:cs="Times New Roman"/>
          <w:color w:val="000000" w:themeColor="text1"/>
          <w:sz w:val="24"/>
          <w:szCs w:val="24"/>
          <w:shd w:val="clear" w:color="auto" w:fill="FFFFFF"/>
        </w:rPr>
        <w:t xml:space="preserve"> 543)</w:t>
      </w:r>
      <w:r w:rsidR="00697522" w:rsidRPr="00C92FC2">
        <w:rPr>
          <w:rFonts w:ascii="Times New Roman" w:hAnsi="Times New Roman" w:cs="Times New Roman"/>
          <w:color w:val="000000" w:themeColor="text1"/>
          <w:sz w:val="24"/>
          <w:szCs w:val="24"/>
        </w:rPr>
        <w:t>.</w:t>
      </w:r>
    </w:p>
    <w:p w:rsidR="00C90D43" w:rsidRPr="00C92FC2" w:rsidRDefault="00C90D43" w:rsidP="00C90D43">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 xml:space="preserve">Hematoma shape and size guides the location of the burr holes. On the operation table, the patient will be placed with his or her affected side facing up. The two burr holes suffice in numerous cases; the parietal and the frontal placement at the anterior and </w:t>
      </w:r>
      <w:r w:rsidRPr="00C92FC2">
        <w:rPr>
          <w:rFonts w:ascii="Times New Roman" w:hAnsi="Times New Roman" w:cs="Times New Roman"/>
          <w:color w:val="000000" w:themeColor="text1"/>
          <w:sz w:val="24"/>
          <w:szCs w:val="24"/>
        </w:rPr>
        <w:lastRenderedPageBreak/>
        <w:t>subsequent margins of the group usually performs effectively. Above the anterior burr hole, the Dura exists, and it is first opened to avoid the breaking of the subdural space. During the opening session of the Dura, a fat hematoma membrane is met. The configuration of the hematoma differs with the blood age, from the clot which is fresh to the other which is xanthochromic fluid. In numerous cases, the hematoma has the intermediate appearance and has been defined as looking like crankcase oil. With the presence of the high intracranial pressure, the considerable fluid leakage will then happen, and the brain will also expand regularly. However, the irrigation will be considered in the residual fluid; catheters with numerous fenestrations threaded into the subdural spaces</w:t>
      </w:r>
      <w:r w:rsidR="00DD0825">
        <w:rPr>
          <w:rFonts w:ascii="Times New Roman" w:hAnsi="Times New Roman" w:cs="Times New Roman"/>
          <w:color w:val="000000" w:themeColor="text1"/>
          <w:sz w:val="24"/>
          <w:szCs w:val="24"/>
        </w:rPr>
        <w:t xml:space="preserve"> (</w:t>
      </w:r>
      <w:r w:rsidR="00DD0825" w:rsidRPr="00DD0825">
        <w:rPr>
          <w:rFonts w:ascii="Times New Roman" w:hAnsi="Times New Roman" w:cs="Times New Roman"/>
          <w:color w:val="000000" w:themeColor="text1"/>
          <w:sz w:val="24"/>
          <w:szCs w:val="24"/>
          <w:shd w:val="clear" w:color="auto" w:fill="FFFFFF"/>
        </w:rPr>
        <w:t>Lyles</w:t>
      </w:r>
      <w:r w:rsidR="00DD0825">
        <w:rPr>
          <w:rFonts w:ascii="Times New Roman" w:hAnsi="Times New Roman" w:cs="Times New Roman"/>
          <w:color w:val="000000" w:themeColor="text1"/>
          <w:sz w:val="24"/>
          <w:szCs w:val="24"/>
          <w:shd w:val="clear" w:color="auto" w:fill="FFFFFF"/>
        </w:rPr>
        <w:t xml:space="preserve"> 543)</w:t>
      </w:r>
      <w:r w:rsidRPr="00C92FC2">
        <w:rPr>
          <w:rFonts w:ascii="Times New Roman" w:hAnsi="Times New Roman" w:cs="Times New Roman"/>
          <w:color w:val="000000" w:themeColor="text1"/>
          <w:sz w:val="24"/>
          <w:szCs w:val="24"/>
        </w:rPr>
        <w:t>. Once the irrigation solution fails to interconnect between the burr holes proposes interrupted solid clot or fibrous septations. Additionally (burr holes or craniotomy) might then be essential, as enthusiastic irrigation is risky. In case cortical surface stays well under the endurance the irrigation is complete, then the subdural space should be able to be drained till the postoperative neuroimaging researchers are complete. The open drainage systems should be avoided due to the pneumocephalus and infection risk; closed drainage by magnitude or tender pull into a germ-free vessel is preferred.</w:t>
      </w:r>
    </w:p>
    <w:p w:rsidR="00C90D43" w:rsidRPr="00C92FC2" w:rsidRDefault="00C90D43" w:rsidP="00C90D43">
      <w:pPr>
        <w:spacing w:line="480" w:lineRule="auto"/>
        <w:ind w:firstLine="720"/>
        <w:contextualSpacing/>
        <w:jc w:val="both"/>
        <w:rPr>
          <w:rFonts w:ascii="Times New Roman" w:hAnsi="Times New Roman" w:cs="Times New Roman"/>
          <w:color w:val="000000" w:themeColor="text1"/>
          <w:sz w:val="24"/>
          <w:szCs w:val="24"/>
        </w:rPr>
      </w:pPr>
    </w:p>
    <w:p w:rsidR="00C90D43" w:rsidRPr="00C92FC2" w:rsidRDefault="00C90D43" w:rsidP="00C90D43">
      <w:pPr>
        <w:spacing w:line="480" w:lineRule="auto"/>
        <w:contextualSpacing/>
        <w:jc w:val="both"/>
        <w:rPr>
          <w:rFonts w:ascii="Times New Roman" w:hAnsi="Times New Roman" w:cs="Times New Roman"/>
          <w:b/>
          <w:color w:val="000000" w:themeColor="text1"/>
          <w:sz w:val="24"/>
          <w:szCs w:val="24"/>
        </w:rPr>
      </w:pPr>
      <w:r w:rsidRPr="00C92FC2">
        <w:rPr>
          <w:rFonts w:ascii="Times New Roman" w:hAnsi="Times New Roman" w:cs="Times New Roman"/>
          <w:b/>
          <w:color w:val="000000" w:themeColor="text1"/>
          <w:sz w:val="24"/>
          <w:szCs w:val="24"/>
        </w:rPr>
        <w:t>Nursing Process</w:t>
      </w:r>
    </w:p>
    <w:p w:rsidR="00C90D43" w:rsidRPr="00C92FC2" w:rsidRDefault="00C90D43" w:rsidP="00C90D43">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Clinical presentation</w:t>
      </w:r>
    </w:p>
    <w:p w:rsidR="00C90D43" w:rsidRPr="00C92FC2" w:rsidRDefault="00C90D43" w:rsidP="0047730A">
      <w:pPr>
        <w:pStyle w:val="NormalWeb"/>
        <w:spacing w:line="480" w:lineRule="auto"/>
        <w:ind w:firstLine="720"/>
        <w:contextualSpacing/>
        <w:jc w:val="both"/>
        <w:rPr>
          <w:color w:val="000000" w:themeColor="text1"/>
          <w:shd w:val="clear" w:color="auto" w:fill="FFFFFF"/>
        </w:rPr>
      </w:pPr>
      <w:r w:rsidRPr="00C92FC2">
        <w:rPr>
          <w:color w:val="000000" w:themeColor="text1"/>
        </w:rPr>
        <w:t xml:space="preserve">The patients with the condition of the hematomas can show in very many methods and means including the symptoms and progression can range from weeks to months or from days to numerous weeks. Most of the elderly individuals always present the condition with numerous symptoms that may try to resemble or copy the stroke. In a research which showed the analysis done on the 1000 patients, the symptoms that were observed on them included headaches, disturbance on the behavior and weakness on their </w:t>
      </w:r>
      <w:r w:rsidR="0047730A">
        <w:rPr>
          <w:color w:val="000000" w:themeColor="text1"/>
        </w:rPr>
        <w:t>limbs</w:t>
      </w:r>
      <w:r w:rsidRPr="00C92FC2">
        <w:rPr>
          <w:color w:val="000000" w:themeColor="text1"/>
        </w:rPr>
        <w:t xml:space="preserve">. Most of these patients </w:t>
      </w:r>
      <w:r w:rsidRPr="00C92FC2">
        <w:rPr>
          <w:color w:val="000000" w:themeColor="text1"/>
        </w:rPr>
        <w:lastRenderedPageBreak/>
        <w:t>were also observed to have a reduced conscious level while the elderly people who have this same condition do not always show the coma. Bilateral subdural haematomas might be available in twenty five percent of the whole patients, but without making or leading to the principal neurological shortages. Midline changes may also be slight with the joint (CSDH), but significant effect in mass can still be exerted by haematomas. This may lead to the increase or the upsurge of the quick corrosion so that the deliberation may be awarded the advanced surgical drai</w:t>
      </w:r>
      <w:r w:rsidR="0047730A">
        <w:rPr>
          <w:color w:val="000000" w:themeColor="text1"/>
        </w:rPr>
        <w:t>nage in these specific patients.</w:t>
      </w:r>
    </w:p>
    <w:p w:rsidR="00C90D43" w:rsidRPr="00C92FC2" w:rsidRDefault="00C90D43" w:rsidP="00C90D43">
      <w:pPr>
        <w:spacing w:line="480" w:lineRule="auto"/>
        <w:ind w:firstLine="720"/>
        <w:contextualSpacing/>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39"/>
        <w:gridCol w:w="4603"/>
      </w:tblGrid>
      <w:tr w:rsidR="00C90D43" w:rsidRPr="00C92FC2" w:rsidTr="00BA052A">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b/>
                <w:color w:val="000000" w:themeColor="text1"/>
                <w:sz w:val="24"/>
                <w:szCs w:val="24"/>
              </w:rPr>
            </w:pPr>
            <w:r w:rsidRPr="00C92FC2">
              <w:rPr>
                <w:rFonts w:ascii="Times New Roman" w:hAnsi="Times New Roman" w:cs="Times New Roman"/>
                <w:b/>
                <w:color w:val="000000" w:themeColor="text1"/>
                <w:sz w:val="24"/>
                <w:szCs w:val="24"/>
              </w:rPr>
              <w:t>Findings</w:t>
            </w:r>
          </w:p>
        </w:tc>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b/>
                <w:color w:val="000000" w:themeColor="text1"/>
                <w:sz w:val="24"/>
                <w:szCs w:val="24"/>
              </w:rPr>
            </w:pPr>
            <w:r w:rsidRPr="00C92FC2">
              <w:rPr>
                <w:rFonts w:ascii="Times New Roman" w:hAnsi="Times New Roman" w:cs="Times New Roman"/>
                <w:b/>
                <w:color w:val="000000" w:themeColor="text1"/>
                <w:sz w:val="24"/>
                <w:szCs w:val="24"/>
              </w:rPr>
              <w:t>N (%)</w:t>
            </w:r>
          </w:p>
        </w:tc>
      </w:tr>
      <w:tr w:rsidR="00C90D43" w:rsidRPr="00C92FC2" w:rsidTr="00BA052A">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Altered level of consciousness</w:t>
            </w:r>
          </w:p>
        </w:tc>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241 (66)</w:t>
            </w:r>
          </w:p>
        </w:tc>
      </w:tr>
      <w:tr w:rsidR="00C90D43" w:rsidRPr="00C92FC2" w:rsidTr="00BA052A">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Focal neurological deficits</w:t>
            </w:r>
          </w:p>
        </w:tc>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183 (50)</w:t>
            </w:r>
          </w:p>
        </w:tc>
      </w:tr>
      <w:tr w:rsidR="00C90D43" w:rsidRPr="00C92FC2" w:rsidTr="00BA052A">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Documented trauma</w:t>
            </w:r>
          </w:p>
        </w:tc>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201 (55)</w:t>
            </w:r>
          </w:p>
        </w:tc>
      </w:tr>
      <w:tr w:rsidR="00C90D43" w:rsidRPr="00C92FC2" w:rsidTr="00BA052A">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Bilateral hematoma</w:t>
            </w:r>
          </w:p>
        </w:tc>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49 (13)</w:t>
            </w:r>
          </w:p>
        </w:tc>
      </w:tr>
      <w:tr w:rsidR="00C90D43" w:rsidRPr="00C92FC2" w:rsidTr="00BA052A">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Seizure</w:t>
            </w:r>
          </w:p>
        </w:tc>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12 (3.3)</w:t>
            </w:r>
          </w:p>
        </w:tc>
      </w:tr>
      <w:tr w:rsidR="00C90D43" w:rsidRPr="00C92FC2" w:rsidTr="00BA052A">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Coma</w:t>
            </w:r>
          </w:p>
        </w:tc>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5 (1.4)</w:t>
            </w:r>
          </w:p>
        </w:tc>
      </w:tr>
      <w:tr w:rsidR="00C90D43" w:rsidRPr="00C92FC2" w:rsidTr="00BA052A">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Quadriparesis</w:t>
            </w:r>
          </w:p>
        </w:tc>
        <w:tc>
          <w:tcPr>
            <w:tcW w:w="4788" w:type="dxa"/>
            <w:shd w:val="clear" w:color="auto" w:fill="auto"/>
          </w:tcPr>
          <w:p w:rsidR="00C90D43" w:rsidRPr="00C92FC2" w:rsidRDefault="00C90D43" w:rsidP="00BA052A">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2 (0.54)</w:t>
            </w:r>
          </w:p>
        </w:tc>
      </w:tr>
    </w:tbl>
    <w:p w:rsidR="00C90D43" w:rsidRPr="00C92FC2" w:rsidRDefault="00C90D43" w:rsidP="00C90D43">
      <w:pPr>
        <w:spacing w:line="480" w:lineRule="auto"/>
        <w:contextualSpacing/>
        <w:jc w:val="both"/>
        <w:rPr>
          <w:rFonts w:ascii="Times New Roman" w:hAnsi="Times New Roman" w:cs="Times New Roman"/>
          <w:color w:val="000000" w:themeColor="text1"/>
          <w:sz w:val="24"/>
          <w:szCs w:val="24"/>
        </w:rPr>
      </w:pPr>
    </w:p>
    <w:p w:rsidR="00C90D43" w:rsidRPr="00C92FC2" w:rsidRDefault="00DE5046" w:rsidP="00C90D43">
      <w:pPr>
        <w:spacing w:line="480" w:lineRule="auto"/>
        <w:contextualSpacing/>
        <w:jc w:val="both"/>
        <w:rPr>
          <w:rFonts w:ascii="Times New Roman" w:hAnsi="Times New Roman" w:cs="Times New Roman"/>
          <w:color w:val="000000" w:themeColor="text1"/>
          <w:sz w:val="24"/>
          <w:szCs w:val="24"/>
        </w:rPr>
      </w:pPr>
      <w:hyperlink r:id="rId6" w:history="1">
        <w:r w:rsidR="00C90D43" w:rsidRPr="00C92FC2">
          <w:rPr>
            <w:rStyle w:val="Hyperlink"/>
            <w:rFonts w:ascii="Times New Roman" w:hAnsi="Times New Roman" w:cs="Times New Roman"/>
            <w:color w:val="000000" w:themeColor="text1"/>
            <w:sz w:val="24"/>
            <w:szCs w:val="24"/>
          </w:rPr>
          <w:t>http://www.nmcth.edu/images/gallery/Editorial/UCA69nk_khadka.pdf</w:t>
        </w:r>
      </w:hyperlink>
    </w:p>
    <w:p w:rsidR="00C90D43" w:rsidRPr="00C92FC2" w:rsidRDefault="00C90D43" w:rsidP="00C90D43">
      <w:pPr>
        <w:spacing w:line="480" w:lineRule="auto"/>
        <w:contextualSpacing/>
        <w:jc w:val="both"/>
        <w:rPr>
          <w:rFonts w:ascii="Times New Roman" w:hAnsi="Times New Roman" w:cs="Times New Roman"/>
          <w:color w:val="000000" w:themeColor="text1"/>
          <w:sz w:val="24"/>
          <w:szCs w:val="24"/>
        </w:rPr>
      </w:pPr>
    </w:p>
    <w:p w:rsidR="00C90D43" w:rsidRPr="00C92FC2" w:rsidRDefault="00C90D43" w:rsidP="00C90D43">
      <w:pPr>
        <w:spacing w:line="480" w:lineRule="auto"/>
        <w:contextualSpacing/>
        <w:jc w:val="both"/>
        <w:rPr>
          <w:rFonts w:ascii="Times New Roman" w:hAnsi="Times New Roman" w:cs="Times New Roman"/>
          <w:b/>
          <w:color w:val="000000" w:themeColor="text1"/>
          <w:sz w:val="24"/>
          <w:szCs w:val="24"/>
        </w:rPr>
      </w:pPr>
      <w:r w:rsidRPr="00C92FC2">
        <w:rPr>
          <w:rFonts w:ascii="Times New Roman" w:hAnsi="Times New Roman" w:cs="Times New Roman"/>
          <w:b/>
          <w:color w:val="000000" w:themeColor="text1"/>
          <w:sz w:val="24"/>
          <w:szCs w:val="24"/>
        </w:rPr>
        <w:t>PATHOPHYSIOLOGY</w:t>
      </w:r>
    </w:p>
    <w:p w:rsidR="00C90D43" w:rsidRPr="00C92FC2" w:rsidRDefault="00C90D43" w:rsidP="00C90D43">
      <w:pPr>
        <w:spacing w:line="480" w:lineRule="auto"/>
        <w:contextualSpacing/>
        <w:jc w:val="both"/>
        <w:rPr>
          <w:rFonts w:ascii="Times New Roman" w:hAnsi="Times New Roman" w:cs="Times New Roman"/>
          <w:b/>
          <w:color w:val="000000" w:themeColor="text1"/>
          <w:sz w:val="24"/>
          <w:szCs w:val="24"/>
        </w:rPr>
      </w:pPr>
      <w:r w:rsidRPr="00C92FC2">
        <w:rPr>
          <w:rFonts w:ascii="Times New Roman" w:hAnsi="Times New Roman" w:cs="Times New Roman"/>
          <w:i/>
          <w:color w:val="000000" w:themeColor="text1"/>
          <w:sz w:val="24"/>
          <w:szCs w:val="24"/>
        </w:rPr>
        <w:t>Management</w:t>
      </w:r>
    </w:p>
    <w:p w:rsidR="00C90D43" w:rsidRPr="00C92FC2" w:rsidRDefault="00C90D43" w:rsidP="00C90D43">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Surgical management</w:t>
      </w:r>
    </w:p>
    <w:p w:rsidR="00C90D43" w:rsidRPr="00C92FC2" w:rsidRDefault="00C90D43" w:rsidP="00C90D43">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 xml:space="preserve">(Surgical haematoma evacuation) Is shown in the patients who deteriorate, surgery can lead to an improvement in the favorable results in more than eighty percent of the patients. However, the most important or productive surgical method is uncertain. The three </w:t>
      </w:r>
      <w:r w:rsidRPr="00C92FC2">
        <w:rPr>
          <w:rFonts w:ascii="Times New Roman" w:hAnsi="Times New Roman" w:cs="Times New Roman"/>
          <w:color w:val="000000" w:themeColor="text1"/>
          <w:sz w:val="24"/>
          <w:szCs w:val="24"/>
        </w:rPr>
        <w:lastRenderedPageBreak/>
        <w:t xml:space="preserve">recognized methods are known as; TDC </w:t>
      </w:r>
      <w:r w:rsidRPr="00C92FC2">
        <w:rPr>
          <w:rFonts w:ascii="Times New Roman" w:hAnsi="Times New Roman" w:cs="Times New Roman"/>
          <w:i/>
          <w:color w:val="000000" w:themeColor="text1"/>
          <w:sz w:val="24"/>
          <w:szCs w:val="24"/>
        </w:rPr>
        <w:t>(twist-drill craniotomy)</w:t>
      </w:r>
      <w:r w:rsidRPr="00C92FC2">
        <w:rPr>
          <w:rFonts w:ascii="Times New Roman" w:hAnsi="Times New Roman" w:cs="Times New Roman"/>
          <w:color w:val="000000" w:themeColor="text1"/>
          <w:sz w:val="24"/>
          <w:szCs w:val="24"/>
        </w:rPr>
        <w:t>, burr hole craniotomy (BHC) and craniotomy. TDC majorly entails conducting an opening into the skull 30 mm and can be done at the bedside. BHC and craniotomy is conducted in the theater where the operations are conducted; the previous consists of making holes (one or two) which 30mm into the skull of the patient, while craniotomy is overly defined as forming a 30mm diameter bony defect which can be replaced once the procedure is concluded. Numerous researches including the current prospective multi-center audit of the (CSDH) management in the U.K found (BHC) to be the highest commonly applied method of the surgical drainage.</w:t>
      </w:r>
    </w:p>
    <w:p w:rsidR="00C90D43" w:rsidRPr="00C92FC2" w:rsidRDefault="00C90D43" w:rsidP="00C90D43">
      <w:pPr>
        <w:spacing w:line="480" w:lineRule="auto"/>
        <w:contextualSpacing/>
        <w:jc w:val="both"/>
        <w:rPr>
          <w:rFonts w:ascii="Times New Roman" w:hAnsi="Times New Roman" w:cs="Times New Roman"/>
          <w:i/>
          <w:color w:val="000000" w:themeColor="text1"/>
          <w:sz w:val="24"/>
          <w:szCs w:val="24"/>
        </w:rPr>
      </w:pPr>
      <w:r w:rsidRPr="00C92FC2">
        <w:rPr>
          <w:rFonts w:ascii="Times New Roman" w:hAnsi="Times New Roman" w:cs="Times New Roman"/>
          <w:i/>
          <w:color w:val="000000" w:themeColor="text1"/>
          <w:sz w:val="24"/>
          <w:szCs w:val="24"/>
        </w:rPr>
        <w:t>Anaesthesia choice</w:t>
      </w:r>
    </w:p>
    <w:p w:rsidR="00DD0825" w:rsidRDefault="00C90D43" w:rsidP="00C90D43">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A few researches have been able to give an explanation of the effects that have been caused by (LA) and the anesthesia on the surgical evacuation. A retrospective research on the patients with more than sixty years undergoing through (BHC for CSDH) showed that cardiac complications were significantly more in the GA class or category, which consequently had significantly longer hospital stays. However, in an extra single centered reflective series of 1000 surgically treated patients, there was no important variance in the results between examined anesthesia and the GA, even though only ten percent of the patients in the research went through GA. Making a comparison between GA and regional anaesthesia have been conducted in a non-neurosurgical practice</w:t>
      </w:r>
      <w:r w:rsidR="00DD0825">
        <w:rPr>
          <w:rFonts w:ascii="Times New Roman" w:hAnsi="Times New Roman" w:cs="Times New Roman"/>
          <w:color w:val="000000" w:themeColor="text1"/>
          <w:sz w:val="24"/>
          <w:szCs w:val="24"/>
        </w:rPr>
        <w:t xml:space="preserve"> (</w:t>
      </w:r>
      <w:r w:rsidR="00DD0825" w:rsidRPr="00DD0825">
        <w:rPr>
          <w:rFonts w:ascii="Times New Roman" w:hAnsi="Times New Roman" w:cs="Times New Roman"/>
          <w:color w:val="000000" w:themeColor="text1"/>
          <w:sz w:val="24"/>
          <w:szCs w:val="24"/>
          <w:shd w:val="clear" w:color="auto" w:fill="FFFFFF"/>
        </w:rPr>
        <w:t>Lyles</w:t>
      </w:r>
      <w:r w:rsidR="00DD0825">
        <w:rPr>
          <w:rFonts w:ascii="Times New Roman" w:hAnsi="Times New Roman" w:cs="Times New Roman"/>
          <w:color w:val="000000" w:themeColor="text1"/>
          <w:sz w:val="24"/>
          <w:szCs w:val="24"/>
          <w:shd w:val="clear" w:color="auto" w:fill="FFFFFF"/>
        </w:rPr>
        <w:t xml:space="preserve"> 342)</w:t>
      </w:r>
      <w:r w:rsidRPr="00C92FC2">
        <w:rPr>
          <w:rFonts w:ascii="Times New Roman" w:hAnsi="Times New Roman" w:cs="Times New Roman"/>
          <w:color w:val="000000" w:themeColor="text1"/>
          <w:sz w:val="24"/>
          <w:szCs w:val="24"/>
        </w:rPr>
        <w:t xml:space="preserve">. For example, a review of the patients adding to 18,715 with the geriatric condition taking the surgery of a fractured hip resolved that backbone anaesthesia is related to the significantly reduced early impermanence and a reduced risk of (venous thromboembolism, myocardial delirium, pneumonia and post-operative hypoxia). </w:t>
      </w:r>
    </w:p>
    <w:p w:rsidR="00C90D43" w:rsidRPr="00C92FC2" w:rsidRDefault="00C90D43" w:rsidP="00DD0825">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 xml:space="preserve">Nevertheless, the trial of GALA does not succeed in showing the results between LA and GALA in the patients undertaking the surgery. Fascinatingly, the statistics obtained from the patients in U.K national audit of the (CSDH) proposed that most of them had same </w:t>
      </w:r>
      <w:r w:rsidRPr="00C92FC2">
        <w:rPr>
          <w:rFonts w:ascii="Times New Roman" w:hAnsi="Times New Roman" w:cs="Times New Roman"/>
          <w:color w:val="000000" w:themeColor="text1"/>
          <w:sz w:val="24"/>
          <w:szCs w:val="24"/>
        </w:rPr>
        <w:lastRenderedPageBreak/>
        <w:t>baseline features to those other ones involved in the trial of GALA. Currently, the anaesthetist and surgeon, in talks with the patient, must make a decision on which anaesthetic method to be applied to every patient. Shortly, if it can be confirmed that a solitary (TDC or BHC) with subdural drain is as operative as more wide processes, then the admissibility a</w:t>
      </w:r>
      <w:r w:rsidR="0047730A">
        <w:rPr>
          <w:rFonts w:ascii="Times New Roman" w:hAnsi="Times New Roman" w:cs="Times New Roman"/>
          <w:color w:val="000000" w:themeColor="text1"/>
          <w:sz w:val="24"/>
          <w:szCs w:val="24"/>
        </w:rPr>
        <w:t>nd adequacy of LA may upsurge.</w:t>
      </w:r>
    </w:p>
    <w:p w:rsidR="00C90D43" w:rsidRPr="00C92FC2" w:rsidRDefault="00C90D43" w:rsidP="00C90D43">
      <w:pPr>
        <w:spacing w:line="480" w:lineRule="auto"/>
        <w:contextualSpacing/>
        <w:rPr>
          <w:rFonts w:ascii="Times New Roman" w:hAnsi="Times New Roman" w:cs="Times New Roman"/>
          <w:color w:val="000000" w:themeColor="text1"/>
          <w:sz w:val="24"/>
          <w:szCs w:val="24"/>
        </w:rPr>
      </w:pPr>
    </w:p>
    <w:p w:rsidR="00C90D43" w:rsidRPr="00C92FC2" w:rsidRDefault="00C90D43" w:rsidP="00C90D43">
      <w:pPr>
        <w:spacing w:line="480" w:lineRule="auto"/>
        <w:contextualSpacing/>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Patient Presentation</w:t>
      </w:r>
    </w:p>
    <w:p w:rsidR="00C90D43" w:rsidRPr="00C92FC2" w:rsidRDefault="00C90D43" w:rsidP="00C90D43">
      <w:pPr>
        <w:spacing w:line="480" w:lineRule="auto"/>
        <w:ind w:left="720"/>
        <w:contextualSpacing/>
        <w:jc w:val="both"/>
        <w:rPr>
          <w:rFonts w:ascii="Times New Roman" w:hAnsi="Times New Roman" w:cs="Times New Roman"/>
          <w:b/>
          <w:color w:val="000000" w:themeColor="text1"/>
          <w:sz w:val="24"/>
          <w:szCs w:val="24"/>
        </w:rPr>
      </w:pPr>
      <w:r w:rsidRPr="00C92FC2">
        <w:rPr>
          <w:rFonts w:ascii="Times New Roman" w:hAnsi="Times New Roman" w:cs="Times New Roman"/>
          <w:b/>
          <w:color w:val="000000" w:themeColor="text1"/>
          <w:sz w:val="24"/>
          <w:szCs w:val="24"/>
        </w:rPr>
        <w:t>Social History and Biographical Data</w:t>
      </w:r>
    </w:p>
    <w:p w:rsidR="00C90D43" w:rsidRPr="00C92FC2" w:rsidRDefault="00C90D43" w:rsidP="00C90D43">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Patient confidentiality is a key aspect within nursing. As clearly established in the National Health Service (NHS) Code of Practice (2003), the distribution of patient information must only occur when it is absolutely necessary. In order to protect the identity of the patient used in this case study and to respect their privacy, a pseudonym will be used. For the purposes of this work, the patient will be referred to as “Mr Smith”. As stated in the NHS Constitution (2015), a patient has the right to be informed when their medical information is going to be utilised and for what purpose. Informed consent was therefore requested by myself and granted by the patient in order for medical records to be reviewed and information to be withdrawn for purposes of construction a complet</w:t>
      </w:r>
      <w:r w:rsidR="0047730A">
        <w:rPr>
          <w:rFonts w:ascii="Times New Roman" w:hAnsi="Times New Roman" w:cs="Times New Roman"/>
          <w:color w:val="000000" w:themeColor="text1"/>
          <w:sz w:val="24"/>
          <w:szCs w:val="24"/>
        </w:rPr>
        <w:t>e patient presentation profile</w:t>
      </w:r>
      <w:r w:rsidR="00DD0825">
        <w:rPr>
          <w:rFonts w:ascii="Times New Roman" w:hAnsi="Times New Roman" w:cs="Times New Roman"/>
          <w:color w:val="000000" w:themeColor="text1"/>
          <w:sz w:val="24"/>
          <w:szCs w:val="24"/>
          <w:shd w:val="clear" w:color="auto" w:fill="FFFFFF"/>
        </w:rPr>
        <w:t xml:space="preserve"> (</w:t>
      </w:r>
      <w:r w:rsidR="00DD0825" w:rsidRPr="00DD0825">
        <w:rPr>
          <w:rFonts w:ascii="Times New Roman" w:hAnsi="Times New Roman" w:cs="Times New Roman"/>
          <w:color w:val="000000" w:themeColor="text1"/>
          <w:sz w:val="24"/>
          <w:szCs w:val="24"/>
          <w:shd w:val="clear" w:color="auto" w:fill="FFFFFF"/>
        </w:rPr>
        <w:t>Lyles</w:t>
      </w:r>
      <w:r w:rsidR="00DD0825">
        <w:rPr>
          <w:rFonts w:ascii="Times New Roman" w:hAnsi="Times New Roman" w:cs="Times New Roman"/>
          <w:color w:val="000000" w:themeColor="text1"/>
          <w:sz w:val="24"/>
          <w:szCs w:val="24"/>
          <w:shd w:val="clear" w:color="auto" w:fill="FFFFFF"/>
        </w:rPr>
        <w:t xml:space="preserve"> 431).</w:t>
      </w:r>
    </w:p>
    <w:p w:rsidR="00C90D43" w:rsidRPr="00C92FC2" w:rsidRDefault="00C90D43" w:rsidP="0047730A">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Mr Smith, an 80 year old man was admitted to Peterborough City Hospital via the emergency unit with a diagnosis of reduced oral intake, hypoglycaemia and reduced mobility due to grade 4 necrotic infected heels. He had a past medical history of Type 2 diabetes mellitus, diabetic retinopathy, heart failure and end stage renal failure on haemodialysis. Having been admitted from a nursing home, information was handed over by the carers that Mr Smith needed assistance with eating and drinking. Furthermore, due to reduced mobility, was unable to manage continence independently. In regards to communication, Mr Smith was only able to communicate verbally but not capable of written communication.</w:t>
      </w:r>
    </w:p>
    <w:p w:rsidR="00C90D43" w:rsidRPr="00C92FC2" w:rsidRDefault="00C90D43" w:rsidP="00C90D43">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lastRenderedPageBreak/>
        <w:t>After having been admitted via the emergency unit, Mr Smith was then transf</w:t>
      </w:r>
      <w:r w:rsidR="00DD0825">
        <w:rPr>
          <w:rFonts w:ascii="Times New Roman" w:hAnsi="Times New Roman" w:cs="Times New Roman"/>
          <w:color w:val="000000" w:themeColor="text1"/>
          <w:sz w:val="24"/>
          <w:szCs w:val="24"/>
        </w:rPr>
        <w:t>erred to the renal unit</w:t>
      </w:r>
      <w:r w:rsidRPr="00C92FC2">
        <w:rPr>
          <w:rFonts w:ascii="Times New Roman" w:hAnsi="Times New Roman" w:cs="Times New Roman"/>
          <w:color w:val="000000" w:themeColor="text1"/>
          <w:sz w:val="24"/>
          <w:szCs w:val="24"/>
        </w:rPr>
        <w:t>. When I commenced care for Mr Smith, he had been on ward A8 for a week.</w:t>
      </w:r>
    </w:p>
    <w:p w:rsidR="00C90D43" w:rsidRPr="00C92FC2" w:rsidRDefault="00C90D43" w:rsidP="00C90D43">
      <w:pPr>
        <w:spacing w:line="480" w:lineRule="auto"/>
        <w:ind w:left="720"/>
        <w:contextualSpacing/>
        <w:jc w:val="both"/>
        <w:rPr>
          <w:rFonts w:ascii="Times New Roman" w:hAnsi="Times New Roman" w:cs="Times New Roman"/>
          <w:b/>
          <w:color w:val="000000" w:themeColor="text1"/>
          <w:sz w:val="24"/>
          <w:szCs w:val="24"/>
        </w:rPr>
      </w:pPr>
      <w:r w:rsidRPr="00C92FC2">
        <w:rPr>
          <w:rFonts w:ascii="Times New Roman" w:hAnsi="Times New Roman" w:cs="Times New Roman"/>
          <w:b/>
          <w:color w:val="000000" w:themeColor="text1"/>
          <w:sz w:val="24"/>
          <w:szCs w:val="24"/>
        </w:rPr>
        <w:t>Diagnosis and Treatment Plan</w:t>
      </w:r>
    </w:p>
    <w:p w:rsidR="00C90D43" w:rsidRPr="00C92FC2" w:rsidRDefault="00C90D43" w:rsidP="00C90D43">
      <w:pPr>
        <w:spacing w:line="480" w:lineRule="auto"/>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As Mr Smith was a type 2 diabetic and he was diagnosed with reduced oral intake, when assembling his care bundles and paperwork, he had a food chart and a fluid balance chart put in place immediately to monitor and</w:t>
      </w:r>
      <w:r w:rsidR="0047730A">
        <w:rPr>
          <w:rFonts w:ascii="Times New Roman" w:hAnsi="Times New Roman" w:cs="Times New Roman"/>
          <w:color w:val="000000" w:themeColor="text1"/>
          <w:sz w:val="24"/>
          <w:szCs w:val="24"/>
        </w:rPr>
        <w:t xml:space="preserve"> assess intake</w:t>
      </w:r>
      <w:r w:rsidRPr="00C92FC2">
        <w:rPr>
          <w:rFonts w:ascii="Times New Roman" w:hAnsi="Times New Roman" w:cs="Times New Roman"/>
          <w:color w:val="000000" w:themeColor="text1"/>
          <w:sz w:val="24"/>
          <w:szCs w:val="24"/>
          <w:shd w:val="clear" w:color="auto" w:fill="FFFFFF"/>
        </w:rPr>
        <w:t>.</w:t>
      </w:r>
      <w:r w:rsidRPr="00C92FC2">
        <w:rPr>
          <w:rFonts w:ascii="Times New Roman" w:hAnsi="Times New Roman" w:cs="Times New Roman"/>
          <w:color w:val="000000" w:themeColor="text1"/>
          <w:sz w:val="24"/>
          <w:szCs w:val="24"/>
        </w:rPr>
        <w:t xml:space="preserve"> According to medical classification, type 2 diabetes mellitus occurs when insufficient levels of insulin are produced within the body or the mechanism to distribute insulin where needed in the body do</w:t>
      </w:r>
      <w:r w:rsidR="0047730A">
        <w:rPr>
          <w:rFonts w:ascii="Times New Roman" w:hAnsi="Times New Roman" w:cs="Times New Roman"/>
          <w:color w:val="000000" w:themeColor="text1"/>
          <w:sz w:val="24"/>
          <w:szCs w:val="24"/>
        </w:rPr>
        <w:t>es not work</w:t>
      </w:r>
      <w:r w:rsidRPr="00C92FC2">
        <w:rPr>
          <w:rFonts w:ascii="Times New Roman" w:hAnsi="Times New Roman" w:cs="Times New Roman"/>
          <w:color w:val="000000" w:themeColor="text1"/>
          <w:sz w:val="24"/>
          <w:szCs w:val="24"/>
        </w:rPr>
        <w:t xml:space="preserve">. The priority was therefore to have Mr Smith’s hypoglycaemia reviewed. </w:t>
      </w:r>
    </w:p>
    <w:p w:rsidR="00C90D43" w:rsidRPr="00C92FC2" w:rsidRDefault="00C90D43" w:rsidP="00C90D43">
      <w:pPr>
        <w:spacing w:line="480" w:lineRule="auto"/>
        <w:contextualSpacing/>
        <w:rPr>
          <w:rFonts w:ascii="Times New Roman" w:hAnsi="Times New Roman" w:cs="Times New Roman"/>
          <w:b/>
          <w:color w:val="000000" w:themeColor="text1"/>
          <w:sz w:val="24"/>
          <w:szCs w:val="24"/>
        </w:rPr>
      </w:pPr>
      <w:r w:rsidRPr="00C92FC2">
        <w:rPr>
          <w:rFonts w:ascii="Times New Roman" w:hAnsi="Times New Roman" w:cs="Times New Roman"/>
          <w:b/>
          <w:color w:val="000000" w:themeColor="text1"/>
          <w:sz w:val="24"/>
          <w:szCs w:val="24"/>
        </w:rPr>
        <w:t>ASSESSMENT</w:t>
      </w:r>
    </w:p>
    <w:p w:rsidR="00C90D43" w:rsidRPr="00C92FC2" w:rsidRDefault="00C90D43" w:rsidP="00FD144C">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The method was mainly used in the last four years for the treatment of approximately 224 patients who suffered from the condition of (cSDH).These surgeons or authors also made a document concerning the post-operative morbidity in 3 patients. Additionally, there has been a publication offering more support to the sub glacial drainage. In this particular research or publication presented, numerous reports of the 183 symptomatic (cSDH) were drained in more than 147 patients. Peri-operative impermanence rate was recorded at 3.4%, while the recurrence happened in 13.1% of cases, demanding for the second intervention in the 9.3 of the ex</w:t>
      </w:r>
      <w:r w:rsidR="0047730A">
        <w:rPr>
          <w:rFonts w:ascii="Times New Roman" w:hAnsi="Times New Roman" w:cs="Times New Roman"/>
          <w:color w:val="000000" w:themeColor="text1"/>
          <w:sz w:val="24"/>
          <w:szCs w:val="24"/>
        </w:rPr>
        <w:t>isting cases</w:t>
      </w:r>
      <w:r w:rsidRPr="00C92FC2">
        <w:rPr>
          <w:rFonts w:ascii="Times New Roman" w:hAnsi="Times New Roman" w:cs="Times New Roman"/>
          <w:color w:val="000000" w:themeColor="text1"/>
          <w:sz w:val="24"/>
          <w:szCs w:val="24"/>
          <w:shd w:val="clear" w:color="auto" w:fill="FFFFFF"/>
        </w:rPr>
        <w:t xml:space="preserve">. </w:t>
      </w:r>
      <w:r w:rsidRPr="00C92FC2">
        <w:rPr>
          <w:rFonts w:ascii="Times New Roman" w:hAnsi="Times New Roman" w:cs="Times New Roman"/>
          <w:color w:val="000000" w:themeColor="text1"/>
          <w:sz w:val="24"/>
          <w:szCs w:val="24"/>
        </w:rPr>
        <w:t xml:space="preserve">A document of post -operative seizure rate of approximately 6.6% and 1.6% infection rate were also documented by the publishers or the authors. The efficiency and safety of the subperiosteal were supported by all these documents produced due to the drainage of (cSDH).Even the persisted drainage as a result of the (cSDH) drainage is assisted or supported by the current discussion, extra research is essential to make a comparison amongst the complication rates and the recurrence between the patients undertaking subperiosteal and the drainage </w:t>
      </w:r>
      <w:r w:rsidR="00DD0825">
        <w:rPr>
          <w:rFonts w:ascii="Times New Roman" w:hAnsi="Times New Roman" w:cs="Times New Roman"/>
          <w:color w:val="000000" w:themeColor="text1"/>
          <w:sz w:val="24"/>
          <w:szCs w:val="24"/>
        </w:rPr>
        <w:t>(</w:t>
      </w:r>
      <w:r w:rsidR="00DD0825" w:rsidRPr="0047730A">
        <w:rPr>
          <w:rFonts w:ascii="Times New Roman" w:hAnsi="Times New Roman" w:cs="Times New Roman"/>
          <w:color w:val="222222"/>
          <w:sz w:val="24"/>
          <w:szCs w:val="24"/>
          <w:shd w:val="clear" w:color="auto" w:fill="FFFFFF"/>
        </w:rPr>
        <w:t>Turvey</w:t>
      </w:r>
      <w:r w:rsidR="00DD0825">
        <w:rPr>
          <w:rFonts w:ascii="Times New Roman" w:hAnsi="Times New Roman" w:cs="Times New Roman"/>
          <w:color w:val="222222"/>
          <w:sz w:val="24"/>
          <w:szCs w:val="24"/>
          <w:shd w:val="clear" w:color="auto" w:fill="FFFFFF"/>
        </w:rPr>
        <w:t xml:space="preserve"> 342).</w:t>
      </w:r>
    </w:p>
    <w:p w:rsidR="00C90D43" w:rsidRPr="00C92FC2" w:rsidRDefault="00C90D43" w:rsidP="00C90D43">
      <w:pPr>
        <w:spacing w:line="480" w:lineRule="auto"/>
        <w:contextualSpacing/>
        <w:jc w:val="both"/>
        <w:rPr>
          <w:rFonts w:ascii="Times New Roman" w:hAnsi="Times New Roman" w:cs="Times New Roman"/>
          <w:b/>
          <w:i/>
          <w:color w:val="000000" w:themeColor="text1"/>
          <w:sz w:val="24"/>
          <w:szCs w:val="24"/>
        </w:rPr>
      </w:pPr>
      <w:r w:rsidRPr="00C92FC2">
        <w:rPr>
          <w:rFonts w:ascii="Times New Roman" w:hAnsi="Times New Roman" w:cs="Times New Roman"/>
          <w:b/>
          <w:i/>
          <w:color w:val="000000" w:themeColor="text1"/>
          <w:sz w:val="24"/>
          <w:szCs w:val="24"/>
        </w:rPr>
        <w:t>Twist-drill craniotomy</w:t>
      </w:r>
    </w:p>
    <w:p w:rsidR="00C90D43" w:rsidRPr="00C92FC2" w:rsidRDefault="00C90D43" w:rsidP="00C90D43">
      <w:pPr>
        <w:spacing w:line="480" w:lineRule="auto"/>
        <w:contextualSpacing/>
        <w:jc w:val="both"/>
        <w:rPr>
          <w:rFonts w:ascii="Times New Roman" w:hAnsi="Times New Roman" w:cs="Times New Roman"/>
          <w:color w:val="000000" w:themeColor="text1"/>
          <w:sz w:val="24"/>
          <w:szCs w:val="24"/>
        </w:rPr>
      </w:pPr>
    </w:p>
    <w:p w:rsidR="00C90D43" w:rsidRPr="00C92FC2" w:rsidRDefault="00C90D43" w:rsidP="00C90D43">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In making a complete comparison, (TDC) can either be conducted while somebody or the patient stays in bed under the use of anesthesia or in the operation theaters. Since (TDC) can be conducted while one stays in bed, it is considered by the elderly people with the various health complications, this is because they do not have to travel a long distance going to the health cen</w:t>
      </w:r>
      <w:r w:rsidR="0047730A">
        <w:rPr>
          <w:rFonts w:ascii="Times New Roman" w:hAnsi="Times New Roman" w:cs="Times New Roman"/>
          <w:color w:val="000000" w:themeColor="text1"/>
          <w:sz w:val="24"/>
          <w:szCs w:val="24"/>
        </w:rPr>
        <w:t>ter</w:t>
      </w:r>
      <w:r w:rsidRPr="00C92FC2">
        <w:rPr>
          <w:rFonts w:ascii="Times New Roman" w:hAnsi="Times New Roman" w:cs="Times New Roman"/>
          <w:color w:val="000000" w:themeColor="text1"/>
          <w:sz w:val="24"/>
          <w:szCs w:val="24"/>
        </w:rPr>
        <w:t xml:space="preserve">. However, the drainage of the (TDC) is highly significant in the (cSDH) cases where the blood in the body is almost completely liquefied, and there is the existence of the high chances of the risk infections of the contaminations which are done by the bedside. Additionally, a closed drainage system is constructed by the bedside during the period of the surgery to promote post -operative expansion of the brain, particularly to the old people who </w:t>
      </w:r>
      <w:r w:rsidR="0047730A">
        <w:rPr>
          <w:rFonts w:ascii="Times New Roman" w:hAnsi="Times New Roman" w:cs="Times New Roman"/>
          <w:color w:val="000000" w:themeColor="text1"/>
          <w:sz w:val="24"/>
          <w:szCs w:val="24"/>
        </w:rPr>
        <w:t>suffer from the brain diseases.</w:t>
      </w:r>
    </w:p>
    <w:p w:rsidR="00C90D43" w:rsidRPr="00C92FC2" w:rsidRDefault="00C90D43" w:rsidP="00C90D43">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b/>
          <w:color w:val="000000" w:themeColor="text1"/>
          <w:sz w:val="24"/>
          <w:szCs w:val="24"/>
        </w:rPr>
        <w:t>PLANNING</w:t>
      </w:r>
    </w:p>
    <w:p w:rsidR="00C90D43" w:rsidRPr="00C92FC2" w:rsidRDefault="00C90D43" w:rsidP="00C90D43">
      <w:pPr>
        <w:pStyle w:val="NormalWeb"/>
        <w:spacing w:line="480" w:lineRule="auto"/>
        <w:ind w:firstLine="720"/>
        <w:contextualSpacing/>
        <w:jc w:val="both"/>
        <w:rPr>
          <w:color w:val="000000" w:themeColor="text1"/>
        </w:rPr>
      </w:pPr>
      <w:r w:rsidRPr="00C92FC2">
        <w:rPr>
          <w:color w:val="000000" w:themeColor="text1"/>
        </w:rPr>
        <w:t>At this stage, there is the identification of the need to review in which case the research is specifying the research questions in</w:t>
      </w:r>
      <w:r>
        <w:rPr>
          <w:color w:val="000000" w:themeColor="text1"/>
        </w:rPr>
        <w:t xml:space="preserve"> the cases of standalone review. </w:t>
      </w:r>
      <w:r w:rsidRPr="00C92FC2">
        <w:rPr>
          <w:color w:val="000000" w:themeColor="text1"/>
        </w:rPr>
        <w:t>Additionally, the planning stage also involves the topics that that the research questions will cover in the case of supporting review. The first stage is also critical in the development and the validation of a review protocol. The level of planning defines how explicit and systematic the f</w:t>
      </w:r>
      <w:r>
        <w:rPr>
          <w:color w:val="000000" w:themeColor="text1"/>
        </w:rPr>
        <w:t>inal literature review becomes.</w:t>
      </w:r>
    </w:p>
    <w:p w:rsidR="00C90D43" w:rsidRPr="00C92FC2" w:rsidRDefault="00C90D43" w:rsidP="00C90D43">
      <w:pPr>
        <w:spacing w:line="480" w:lineRule="auto"/>
        <w:contextualSpacing/>
        <w:rPr>
          <w:rFonts w:ascii="Times New Roman" w:hAnsi="Times New Roman" w:cs="Times New Roman"/>
          <w:b/>
          <w:color w:val="000000" w:themeColor="text1"/>
          <w:sz w:val="24"/>
          <w:szCs w:val="24"/>
        </w:rPr>
      </w:pPr>
      <w:r w:rsidRPr="00C92FC2">
        <w:rPr>
          <w:rFonts w:ascii="Times New Roman" w:hAnsi="Times New Roman" w:cs="Times New Roman"/>
          <w:b/>
          <w:color w:val="000000" w:themeColor="text1"/>
          <w:sz w:val="24"/>
          <w:szCs w:val="24"/>
        </w:rPr>
        <w:t>INTERVENTIONS</w:t>
      </w:r>
    </w:p>
    <w:p w:rsidR="00C90D43" w:rsidRPr="00C92FC2" w:rsidRDefault="00C90D43" w:rsidP="00C90D43">
      <w:pPr>
        <w:spacing w:line="480" w:lineRule="auto"/>
        <w:contextualSpacing/>
        <w:jc w:val="both"/>
        <w:rPr>
          <w:rFonts w:ascii="Times New Roman" w:hAnsi="Times New Roman" w:cs="Times New Roman"/>
          <w:b/>
          <w:i/>
          <w:color w:val="000000" w:themeColor="text1"/>
          <w:sz w:val="24"/>
          <w:szCs w:val="24"/>
        </w:rPr>
      </w:pPr>
      <w:r w:rsidRPr="00C92FC2">
        <w:rPr>
          <w:rFonts w:ascii="Times New Roman" w:hAnsi="Times New Roman" w:cs="Times New Roman"/>
          <w:b/>
          <w:i/>
          <w:color w:val="000000" w:themeColor="text1"/>
          <w:sz w:val="24"/>
          <w:szCs w:val="24"/>
        </w:rPr>
        <w:t>Craniotomy</w:t>
      </w:r>
    </w:p>
    <w:p w:rsidR="00C90D43" w:rsidRPr="00C92FC2" w:rsidRDefault="00C90D43" w:rsidP="00C90D43">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 xml:space="preserve">Before the current imaging methods, (cSDH) evacuation was majorly developed through a craniotomy. The method majorly shows a big brain portion thus the surgeon is exposed to the operative nature. This will also be important since it will show the major surgeon parts of the brain that are of major concern during the surgery procedure. Even </w:t>
      </w:r>
      <w:r w:rsidRPr="00C92FC2">
        <w:rPr>
          <w:rFonts w:ascii="Times New Roman" w:hAnsi="Times New Roman" w:cs="Times New Roman"/>
          <w:color w:val="000000" w:themeColor="text1"/>
          <w:sz w:val="24"/>
          <w:szCs w:val="24"/>
        </w:rPr>
        <w:lastRenderedPageBreak/>
        <w:t>though the formation of the craniotomy occurs under the overall anesthesia, and is considered as the most invasive of the options for the (cSDH)  treatment, encompassing the biggest operative duration or period as well as the blood volume which is lost. In spite of the risk upsurge, a craniotomy is still the best option for the evacuation of</w:t>
      </w:r>
      <w:r>
        <w:rPr>
          <w:rFonts w:ascii="Times New Roman" w:hAnsi="Times New Roman" w:cs="Times New Roman"/>
          <w:color w:val="000000" w:themeColor="text1"/>
          <w:sz w:val="24"/>
          <w:szCs w:val="24"/>
        </w:rPr>
        <w:t xml:space="preserve"> the organized, thick membranes.</w:t>
      </w:r>
      <w:r w:rsidR="00561335">
        <w:rPr>
          <w:rFonts w:ascii="Times New Roman" w:hAnsi="Times New Roman" w:cs="Times New Roman"/>
          <w:color w:val="000000" w:themeColor="text1"/>
          <w:sz w:val="24"/>
          <w:szCs w:val="24"/>
        </w:rPr>
        <w:t xml:space="preserve"> </w:t>
      </w:r>
      <w:r w:rsidR="00561335" w:rsidRPr="00C92FC2">
        <w:rPr>
          <w:rFonts w:ascii="Times New Roman" w:hAnsi="Times New Roman" w:cs="Times New Roman"/>
          <w:color w:val="000000" w:themeColor="text1"/>
          <w:sz w:val="24"/>
          <w:szCs w:val="24"/>
        </w:rPr>
        <w:t>The randomization of these patients took place in two different cohorts, initial remaining supine for the three days considering the operation, and the second cohort presumed a sitting posture is starting immediately post-operatively. In the supine group, the scholars or the research realized that the recurrence rate was 19% as compared to the other sitting category, and this particular variance reached the statistical importance. The repeat surgery was only promoted or facilitated by one recurrence. While checking at the complications, there was no variance or differ</w:t>
      </w:r>
      <w:r w:rsidR="00561335">
        <w:rPr>
          <w:rFonts w:ascii="Times New Roman" w:hAnsi="Times New Roman" w:cs="Times New Roman"/>
          <w:color w:val="000000" w:themeColor="text1"/>
          <w:sz w:val="24"/>
          <w:szCs w:val="24"/>
        </w:rPr>
        <w:t xml:space="preserve">ence between the shown cohorts. </w:t>
      </w:r>
      <w:r w:rsidR="00561335" w:rsidRPr="00C92FC2">
        <w:rPr>
          <w:rFonts w:ascii="Times New Roman" w:hAnsi="Times New Roman" w:cs="Times New Roman"/>
          <w:color w:val="000000" w:themeColor="text1"/>
          <w:sz w:val="24"/>
          <w:szCs w:val="24"/>
        </w:rPr>
        <w:t>An important difference or variance between these researches is complicated by the important research heterogeneity, same to the little shape and size of the cohorts. For example, the first research totally shows a difference from the other research regarding the lack of the closed system drainage.</w:t>
      </w:r>
      <w:bookmarkStart w:id="0" w:name="_GoBack"/>
      <w:bookmarkEnd w:id="0"/>
    </w:p>
    <w:p w:rsidR="00C90D43" w:rsidRPr="00C92FC2" w:rsidRDefault="00C90D43" w:rsidP="00C90D43">
      <w:pPr>
        <w:spacing w:line="480" w:lineRule="auto"/>
        <w:contextualSpacing/>
        <w:jc w:val="both"/>
        <w:rPr>
          <w:rFonts w:ascii="Times New Roman" w:hAnsi="Times New Roman" w:cs="Times New Roman"/>
          <w:b/>
          <w:i/>
          <w:color w:val="000000" w:themeColor="text1"/>
          <w:sz w:val="24"/>
          <w:szCs w:val="24"/>
        </w:rPr>
      </w:pPr>
      <w:r w:rsidRPr="00C92FC2">
        <w:rPr>
          <w:rFonts w:ascii="Times New Roman" w:hAnsi="Times New Roman" w:cs="Times New Roman"/>
          <w:b/>
          <w:i/>
          <w:color w:val="000000" w:themeColor="text1"/>
          <w:sz w:val="24"/>
          <w:szCs w:val="24"/>
        </w:rPr>
        <w:t>Burr-hole craniotomy</w:t>
      </w:r>
    </w:p>
    <w:p w:rsidR="00C90D43" w:rsidRPr="00C92FC2" w:rsidRDefault="00C90D43" w:rsidP="00FD144C">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 xml:space="preserve">(BHC) Is the most surgical treatment technique which is employed by the (cSDH).According to the survey or research conducted in Canada in the year, 2005, (BHC) treatment of (cSDH)  was preferred by 85% of the total respondent. The process is always conducted with the use of anesthesia. There are various variations of the (BHC) treatment procedure. Some of the surgeons give burr-holes more credit by stating as the best while other surgeons prefer to use the two, and no conclusive evidence supporting </w:t>
      </w:r>
      <w:r>
        <w:rPr>
          <w:rFonts w:ascii="Times New Roman" w:hAnsi="Times New Roman" w:cs="Times New Roman"/>
          <w:color w:val="000000" w:themeColor="text1"/>
          <w:sz w:val="24"/>
          <w:szCs w:val="24"/>
        </w:rPr>
        <w:t>the evidence has been developed</w:t>
      </w:r>
      <w:r w:rsidRPr="00C92FC2">
        <w:rPr>
          <w:rFonts w:ascii="Times New Roman" w:hAnsi="Times New Roman" w:cs="Times New Roman"/>
          <w:color w:val="000000" w:themeColor="text1"/>
          <w:sz w:val="24"/>
          <w:szCs w:val="24"/>
        </w:rPr>
        <w:t xml:space="preserve">. For example, research or study conducted by one of the scholars stated that the patients who underwent through the burr hole had more or higher recurrence rate with more average hospitalization duration, and the infection rate of the wound </w:t>
      </w:r>
      <w:r>
        <w:rPr>
          <w:rFonts w:ascii="Times New Roman" w:hAnsi="Times New Roman" w:cs="Times New Roman"/>
          <w:color w:val="000000" w:themeColor="text1"/>
          <w:sz w:val="24"/>
          <w:szCs w:val="24"/>
        </w:rPr>
        <w:t xml:space="preserve">was also high. </w:t>
      </w:r>
      <w:r w:rsidRPr="00C92FC2">
        <w:rPr>
          <w:rFonts w:ascii="Times New Roman" w:hAnsi="Times New Roman" w:cs="Times New Roman"/>
          <w:color w:val="000000" w:themeColor="text1"/>
          <w:sz w:val="24"/>
          <w:szCs w:val="24"/>
        </w:rPr>
        <w:lastRenderedPageBreak/>
        <w:t>However, other different conducted research have failed to show the suggestions on the significant variance in the patients who are treated with two burr holes as compared to the other with regards to recurren</w:t>
      </w:r>
      <w:r w:rsidR="00DD0825">
        <w:rPr>
          <w:rFonts w:ascii="Times New Roman" w:hAnsi="Times New Roman" w:cs="Times New Roman"/>
          <w:color w:val="000000" w:themeColor="text1"/>
          <w:sz w:val="24"/>
          <w:szCs w:val="24"/>
        </w:rPr>
        <w:t>ce or result (</w:t>
      </w:r>
      <w:r w:rsidR="00DD0825" w:rsidRPr="0047730A">
        <w:rPr>
          <w:rFonts w:ascii="Times New Roman" w:hAnsi="Times New Roman" w:cs="Times New Roman"/>
          <w:color w:val="222222"/>
          <w:sz w:val="24"/>
          <w:szCs w:val="24"/>
          <w:shd w:val="clear" w:color="auto" w:fill="FFFFFF"/>
        </w:rPr>
        <w:t>Ancker</w:t>
      </w:r>
      <w:r w:rsidR="00DD0825" w:rsidRPr="00C92FC2">
        <w:rPr>
          <w:rFonts w:ascii="Times New Roman" w:hAnsi="Times New Roman" w:cs="Times New Roman"/>
          <w:color w:val="000000" w:themeColor="text1"/>
          <w:sz w:val="24"/>
          <w:szCs w:val="24"/>
        </w:rPr>
        <w:t xml:space="preserve"> </w:t>
      </w:r>
      <w:r w:rsidR="00DD0825">
        <w:rPr>
          <w:rFonts w:ascii="Times New Roman" w:hAnsi="Times New Roman" w:cs="Times New Roman"/>
          <w:color w:val="000000" w:themeColor="text1"/>
          <w:sz w:val="24"/>
          <w:szCs w:val="24"/>
        </w:rPr>
        <w:t xml:space="preserve"> 687). </w:t>
      </w:r>
      <w:r w:rsidRPr="00C92FC2">
        <w:rPr>
          <w:rFonts w:ascii="Times New Roman" w:hAnsi="Times New Roman" w:cs="Times New Roman"/>
          <w:color w:val="000000" w:themeColor="text1"/>
          <w:sz w:val="24"/>
          <w:szCs w:val="24"/>
        </w:rPr>
        <w:t>Another thing that leads to the reduction in the succulence rate is the application or the implementation of the closed system drainage after (BHC).In some of the articles or studies that have majorly discussed this issue, the scholars printed a randomized trial which indicated the important advantage not only in the reappearance, but also, the discharge and the mortality results for the sick people with the subdural drain placement after the (cSDH) evacuation wit</w:t>
      </w:r>
      <w:r>
        <w:rPr>
          <w:rFonts w:ascii="Times New Roman" w:hAnsi="Times New Roman" w:cs="Times New Roman"/>
          <w:color w:val="000000" w:themeColor="text1"/>
          <w:sz w:val="24"/>
          <w:szCs w:val="24"/>
        </w:rPr>
        <w:t xml:space="preserve">h the use of two burr holes. </w:t>
      </w:r>
      <w:r w:rsidRPr="00C92FC2">
        <w:rPr>
          <w:rFonts w:ascii="Times New Roman" w:hAnsi="Times New Roman" w:cs="Times New Roman"/>
          <w:color w:val="000000" w:themeColor="text1"/>
          <w:sz w:val="24"/>
          <w:szCs w:val="24"/>
        </w:rPr>
        <w:t>Even though in the currently conducted study, a portion of the neurosurgeons have favored the act of not placing the drain due to the (cSDH)  burr hole drainage, this establishment or the publication of the practice will automatically transform the practice across numerous centers. However, sub glacial have been referred by other surgeons as one of the best or alternatives to the subdural catheters. One of the major examples of the application of this technique can be observed in the report which was presented by the surgeons whereby, Jackson drain got inserted into the sub deal space for the (post-o</w:t>
      </w:r>
      <w:r w:rsidR="00DD0825">
        <w:rPr>
          <w:rFonts w:ascii="Times New Roman" w:hAnsi="Times New Roman" w:cs="Times New Roman"/>
          <w:color w:val="000000" w:themeColor="text1"/>
          <w:sz w:val="24"/>
          <w:szCs w:val="24"/>
        </w:rPr>
        <w:t>perative drainage) continuation (</w:t>
      </w:r>
      <w:r w:rsidR="00DD0825" w:rsidRPr="0047730A">
        <w:rPr>
          <w:rFonts w:ascii="Times New Roman" w:hAnsi="Times New Roman" w:cs="Times New Roman"/>
          <w:color w:val="222222"/>
          <w:sz w:val="24"/>
          <w:szCs w:val="24"/>
          <w:shd w:val="clear" w:color="auto" w:fill="FFFFFF"/>
        </w:rPr>
        <w:t>Turvey</w:t>
      </w:r>
      <w:r w:rsidR="00DD0825">
        <w:rPr>
          <w:rFonts w:ascii="Times New Roman" w:hAnsi="Times New Roman" w:cs="Times New Roman"/>
          <w:color w:val="222222"/>
          <w:sz w:val="24"/>
          <w:szCs w:val="24"/>
          <w:shd w:val="clear" w:color="auto" w:fill="FFFFFF"/>
        </w:rPr>
        <w:t xml:space="preserve"> 645).</w:t>
      </w:r>
    </w:p>
    <w:p w:rsidR="00C90D43" w:rsidRPr="00C92FC2" w:rsidRDefault="00C90D43" w:rsidP="00C90D43">
      <w:pPr>
        <w:spacing w:line="480" w:lineRule="auto"/>
        <w:contextualSpacing/>
        <w:rPr>
          <w:rFonts w:ascii="Times New Roman" w:hAnsi="Times New Roman" w:cs="Times New Roman"/>
          <w:b/>
          <w:color w:val="000000" w:themeColor="text1"/>
          <w:sz w:val="24"/>
          <w:szCs w:val="24"/>
        </w:rPr>
      </w:pPr>
      <w:r w:rsidRPr="00C92FC2">
        <w:rPr>
          <w:rFonts w:ascii="Times New Roman" w:hAnsi="Times New Roman" w:cs="Times New Roman"/>
          <w:b/>
          <w:color w:val="000000" w:themeColor="text1"/>
          <w:sz w:val="24"/>
          <w:szCs w:val="24"/>
        </w:rPr>
        <w:t>EVALUATION</w:t>
      </w:r>
    </w:p>
    <w:p w:rsidR="00C90D43" w:rsidRPr="00C92FC2" w:rsidRDefault="00C90D43" w:rsidP="00C90D43">
      <w:pPr>
        <w:spacing w:line="480" w:lineRule="auto"/>
        <w:contextualSpacing/>
        <w:jc w:val="center"/>
        <w:rPr>
          <w:rFonts w:ascii="Times New Roman" w:hAnsi="Times New Roman" w:cs="Times New Roman"/>
          <w:b/>
          <w:color w:val="000000" w:themeColor="text1"/>
          <w:sz w:val="24"/>
          <w:szCs w:val="24"/>
          <w:shd w:val="clear" w:color="auto" w:fill="FFFFFF"/>
        </w:rPr>
      </w:pPr>
      <w:r w:rsidRPr="00C92FC2">
        <w:rPr>
          <w:rFonts w:ascii="Times New Roman" w:hAnsi="Times New Roman" w:cs="Times New Roman"/>
          <w:b/>
          <w:color w:val="000000" w:themeColor="text1"/>
          <w:sz w:val="24"/>
          <w:szCs w:val="24"/>
          <w:shd w:val="clear" w:color="auto" w:fill="FFFFFF"/>
        </w:rPr>
        <w:t>Mobilization of patients following cSDH drainage</w:t>
      </w:r>
    </w:p>
    <w:p w:rsidR="00C90D43" w:rsidRPr="00C92FC2" w:rsidRDefault="00C90D43" w:rsidP="00C90D43">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 xml:space="preserve">Patients mobilization through the </w:t>
      </w:r>
      <w:r w:rsidRPr="00C92FC2">
        <w:rPr>
          <w:rFonts w:ascii="Times New Roman" w:hAnsi="Times New Roman" w:cs="Times New Roman"/>
          <w:i/>
          <w:color w:val="000000" w:themeColor="text1"/>
          <w:sz w:val="24"/>
          <w:szCs w:val="24"/>
        </w:rPr>
        <w:t>(CSDH)</w:t>
      </w:r>
      <w:r w:rsidRPr="00C92FC2">
        <w:rPr>
          <w:rFonts w:ascii="Times New Roman" w:hAnsi="Times New Roman" w:cs="Times New Roman"/>
          <w:color w:val="000000" w:themeColor="text1"/>
          <w:sz w:val="24"/>
          <w:szCs w:val="24"/>
        </w:rPr>
        <w:t xml:space="preserve"> is also considered as another paramount factor which is viewed to be motivating in the (post-operative care).This is specifically more relevant to the old people who mostly constitute to the higher number of people or patients getting the treatment for the </w:t>
      </w:r>
      <w:r w:rsidRPr="00C92FC2">
        <w:rPr>
          <w:rFonts w:ascii="Times New Roman" w:hAnsi="Times New Roman" w:cs="Times New Roman"/>
          <w:i/>
          <w:color w:val="000000" w:themeColor="text1"/>
          <w:sz w:val="24"/>
          <w:szCs w:val="24"/>
        </w:rPr>
        <w:t>(cSDH)</w:t>
      </w:r>
      <w:r w:rsidRPr="00C92FC2">
        <w:rPr>
          <w:rFonts w:ascii="Times New Roman" w:hAnsi="Times New Roman" w:cs="Times New Roman"/>
          <w:color w:val="000000" w:themeColor="text1"/>
          <w:sz w:val="24"/>
          <w:szCs w:val="24"/>
        </w:rPr>
        <w:t xml:space="preserve"> as they are also more vulnerable to the immobility situations such as the </w:t>
      </w:r>
      <w:r>
        <w:rPr>
          <w:rFonts w:ascii="Times New Roman" w:hAnsi="Times New Roman" w:cs="Times New Roman"/>
          <w:color w:val="000000" w:themeColor="text1"/>
          <w:sz w:val="24"/>
          <w:szCs w:val="24"/>
        </w:rPr>
        <w:t xml:space="preserve">venous thrombosis and pneumonia. </w:t>
      </w:r>
      <w:r w:rsidRPr="00C92FC2">
        <w:rPr>
          <w:rFonts w:ascii="Times New Roman" w:hAnsi="Times New Roman" w:cs="Times New Roman"/>
          <w:color w:val="000000" w:themeColor="text1"/>
          <w:sz w:val="24"/>
          <w:szCs w:val="24"/>
        </w:rPr>
        <w:t xml:space="preserve">Despite the theoretical advantages represented by the early mobilization, a portion of the researchers tend to give more favor to the delayed mobilization following the recumbency duration or time with the continuos closed drainage system, in the hopes of advancing the expansion of the brain, and therefore it </w:t>
      </w:r>
      <w:r w:rsidRPr="00C92FC2">
        <w:rPr>
          <w:rFonts w:ascii="Times New Roman" w:hAnsi="Times New Roman" w:cs="Times New Roman"/>
          <w:color w:val="000000" w:themeColor="text1"/>
          <w:sz w:val="24"/>
          <w:szCs w:val="24"/>
        </w:rPr>
        <w:lastRenderedPageBreak/>
        <w:t xml:space="preserve">prevents the recurrence of the </w:t>
      </w:r>
      <w:r w:rsidRPr="00C92FC2">
        <w:rPr>
          <w:rFonts w:ascii="Times New Roman" w:hAnsi="Times New Roman" w:cs="Times New Roman"/>
          <w:i/>
          <w:color w:val="000000" w:themeColor="text1"/>
          <w:sz w:val="24"/>
          <w:szCs w:val="24"/>
        </w:rPr>
        <w:t>(cSDH).</w:t>
      </w:r>
      <w:r w:rsidRPr="00C92FC2">
        <w:rPr>
          <w:rFonts w:ascii="Times New Roman" w:hAnsi="Times New Roman" w:cs="Times New Roman"/>
          <w:color w:val="000000" w:themeColor="text1"/>
          <w:sz w:val="24"/>
          <w:szCs w:val="24"/>
        </w:rPr>
        <w:t xml:space="preserve">Single-center have been used to give more analysis or explanation </w:t>
      </w:r>
      <w:r w:rsidRPr="00C92FC2">
        <w:rPr>
          <w:rFonts w:ascii="Times New Roman" w:hAnsi="Times New Roman" w:cs="Times New Roman"/>
          <w:i/>
          <w:color w:val="000000" w:themeColor="text1"/>
          <w:sz w:val="24"/>
          <w:szCs w:val="24"/>
        </w:rPr>
        <w:t>(sCDH)</w:t>
      </w:r>
      <w:r w:rsidRPr="00C92FC2">
        <w:rPr>
          <w:rFonts w:ascii="Times New Roman" w:hAnsi="Times New Roman" w:cs="Times New Roman"/>
          <w:color w:val="000000" w:themeColor="text1"/>
          <w:sz w:val="24"/>
          <w:szCs w:val="24"/>
        </w:rPr>
        <w:t xml:space="preserve"> recurrence rate with about the post-functional positioning and have concluded or confirmed on the recurrence rate or level of the </w:t>
      </w:r>
      <w:r w:rsidRPr="00C92FC2">
        <w:rPr>
          <w:rFonts w:ascii="Times New Roman" w:hAnsi="Times New Roman" w:cs="Times New Roman"/>
          <w:i/>
          <w:color w:val="000000" w:themeColor="text1"/>
          <w:sz w:val="24"/>
          <w:szCs w:val="24"/>
        </w:rPr>
        <w:t>(cSDH)</w:t>
      </w:r>
      <w:r w:rsidRPr="00C92FC2">
        <w:rPr>
          <w:rFonts w:ascii="Times New Roman" w:hAnsi="Times New Roman" w:cs="Times New Roman"/>
          <w:color w:val="000000" w:themeColor="text1"/>
          <w:sz w:val="24"/>
          <w:szCs w:val="24"/>
        </w:rPr>
        <w:t xml:space="preserve"> to be independent</w:t>
      </w:r>
      <w:r w:rsidR="00DD0825">
        <w:rPr>
          <w:rFonts w:ascii="Times New Roman" w:hAnsi="Times New Roman" w:cs="Times New Roman"/>
          <w:color w:val="000000" w:themeColor="text1"/>
          <w:sz w:val="24"/>
          <w:szCs w:val="24"/>
        </w:rPr>
        <w:t xml:space="preserve"> of the post-operative position (</w:t>
      </w:r>
      <w:r w:rsidR="00DD0825" w:rsidRPr="0047730A">
        <w:rPr>
          <w:rFonts w:ascii="Times New Roman" w:hAnsi="Times New Roman" w:cs="Times New Roman"/>
          <w:color w:val="222222"/>
          <w:sz w:val="24"/>
          <w:szCs w:val="24"/>
          <w:shd w:val="clear" w:color="auto" w:fill="FFFFFF"/>
        </w:rPr>
        <w:t>Turvey</w:t>
      </w:r>
      <w:r w:rsidR="00DD0825">
        <w:rPr>
          <w:rFonts w:ascii="Times New Roman" w:hAnsi="Times New Roman" w:cs="Times New Roman"/>
          <w:color w:val="222222"/>
          <w:sz w:val="24"/>
          <w:szCs w:val="24"/>
          <w:shd w:val="clear" w:color="auto" w:fill="FFFFFF"/>
        </w:rPr>
        <w:t xml:space="preserve"> 342).</w:t>
      </w:r>
    </w:p>
    <w:p w:rsidR="00C90D43" w:rsidRDefault="00C90D43" w:rsidP="00C90D43">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 xml:space="preserve">Additionally, many scholars also conducted a randomized research of a given number of the patients with the condition of the </w:t>
      </w:r>
      <w:r w:rsidRPr="00C92FC2">
        <w:rPr>
          <w:rFonts w:ascii="Times New Roman" w:hAnsi="Times New Roman" w:cs="Times New Roman"/>
          <w:i/>
          <w:color w:val="000000" w:themeColor="text1"/>
          <w:sz w:val="24"/>
          <w:szCs w:val="24"/>
        </w:rPr>
        <w:t>(cSDH)</w:t>
      </w:r>
      <w:r w:rsidRPr="00C92FC2">
        <w:rPr>
          <w:rFonts w:ascii="Times New Roman" w:hAnsi="Times New Roman" w:cs="Times New Roman"/>
          <w:color w:val="000000" w:themeColor="text1"/>
          <w:sz w:val="24"/>
          <w:szCs w:val="24"/>
        </w:rPr>
        <w:t xml:space="preserve"> treated surgically applying a simple burr hole with the closed drainage system. There was no important reappearance degree observed among the patients who persisted to be recumbent for three days post functional about those others who presumed a sitting position on the exact day of the operation or performance. In a different research, a prospective study of a total of 182 patients was conducted who were sixty-five years and above, and they undertook the single burr-hole draina</w:t>
      </w:r>
      <w:r w:rsidR="00DD0825">
        <w:rPr>
          <w:rFonts w:ascii="Times New Roman" w:hAnsi="Times New Roman" w:cs="Times New Roman"/>
          <w:color w:val="000000" w:themeColor="text1"/>
          <w:sz w:val="24"/>
          <w:szCs w:val="24"/>
        </w:rPr>
        <w:t>ge (</w:t>
      </w:r>
      <w:r w:rsidR="00DD0825" w:rsidRPr="0047730A">
        <w:rPr>
          <w:rFonts w:ascii="Times New Roman" w:hAnsi="Times New Roman" w:cs="Times New Roman"/>
          <w:color w:val="222222"/>
          <w:sz w:val="24"/>
          <w:szCs w:val="24"/>
          <w:shd w:val="clear" w:color="auto" w:fill="FFFFFF"/>
        </w:rPr>
        <w:t>Ancker</w:t>
      </w:r>
      <w:r w:rsidR="00DD0825">
        <w:rPr>
          <w:rFonts w:ascii="Times New Roman" w:hAnsi="Times New Roman" w:cs="Times New Roman"/>
          <w:color w:val="222222"/>
          <w:sz w:val="24"/>
          <w:szCs w:val="24"/>
          <w:shd w:val="clear" w:color="auto" w:fill="FFFFFF"/>
        </w:rPr>
        <w:t xml:space="preserve"> 679).</w:t>
      </w:r>
    </w:p>
    <w:p w:rsidR="00C90D43" w:rsidRDefault="00C90D43" w:rsidP="00C90D43">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 xml:space="preserve">The instances of the complications were compared amongst the patients who maintained in a supine position with the continuous drainage and the 91 patients who got mobilized on the surgery day, and those who had their drains discontinued immediately the surgery was concluded. There was no major difference realized between the cohorts in the recurrence rate which happened six out of the ninety-one patients in the delayed or restricted cohort and eight of the ninety-one sick people in the previous cohort. However, the instance of the complications related to medical issues, for example, pneumonia, was higher in the category of the patients who were to undergo the delayed mobilizations. In difference, the single research stated that the post-operative had developed an effect or the post-operative creates an influence on the recurrence rates. The research mainly analyzed more than eight four patients who went through the single burr-hole drainage and </w:t>
      </w:r>
      <w:r>
        <w:rPr>
          <w:rFonts w:ascii="Times New Roman" w:hAnsi="Times New Roman" w:cs="Times New Roman"/>
          <w:color w:val="000000" w:themeColor="text1"/>
          <w:sz w:val="24"/>
          <w:szCs w:val="24"/>
        </w:rPr>
        <w:t>closed semen drainage placement.</w:t>
      </w:r>
    </w:p>
    <w:p w:rsidR="00C90D43" w:rsidRPr="00C92FC2" w:rsidRDefault="00C90D43" w:rsidP="00C90D43">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 xml:space="preserve"> The randomization of these patients took place in two different cohorts, initial remaining supine for the three days considering the operation, and the second cohort </w:t>
      </w:r>
      <w:r w:rsidRPr="00C92FC2">
        <w:rPr>
          <w:rFonts w:ascii="Times New Roman" w:hAnsi="Times New Roman" w:cs="Times New Roman"/>
          <w:color w:val="000000" w:themeColor="text1"/>
          <w:sz w:val="24"/>
          <w:szCs w:val="24"/>
        </w:rPr>
        <w:lastRenderedPageBreak/>
        <w:t>presumed a sitting posture is starting immediately post-operatively. In the supine group, the scholars or the research realized that the recurrence rate was 19% as compared to the other sitting category, and this particular variance reached the statistical importance. The repeat surgery was only promoted or facilitated by one recurrence. While checking at the complications, there was no variance or differ</w:t>
      </w:r>
      <w:r>
        <w:rPr>
          <w:rFonts w:ascii="Times New Roman" w:hAnsi="Times New Roman" w:cs="Times New Roman"/>
          <w:color w:val="000000" w:themeColor="text1"/>
          <w:sz w:val="24"/>
          <w:szCs w:val="24"/>
        </w:rPr>
        <w:t xml:space="preserve">ence between the shown cohorts. </w:t>
      </w:r>
      <w:r w:rsidRPr="00C92FC2">
        <w:rPr>
          <w:rFonts w:ascii="Times New Roman" w:hAnsi="Times New Roman" w:cs="Times New Roman"/>
          <w:color w:val="000000" w:themeColor="text1"/>
          <w:sz w:val="24"/>
          <w:szCs w:val="24"/>
        </w:rPr>
        <w:t xml:space="preserve">An important difference or variance between these researches is complicated by the important research heterogeneity, same to the little shape and size of the cohorts. For example, the first research totally shows a difference from the other research regarding the lack of the closed system drainage. Even though a different study or research conducted by different scholars employed the same surgical paradigms, they are totally difference according to the age of the patients they both </w:t>
      </w:r>
      <w:r w:rsidR="00DD0825">
        <w:rPr>
          <w:rFonts w:ascii="Times New Roman" w:hAnsi="Times New Roman" w:cs="Times New Roman"/>
          <w:color w:val="000000" w:themeColor="text1"/>
          <w:sz w:val="24"/>
          <w:szCs w:val="24"/>
        </w:rPr>
        <w:t>analyse (</w:t>
      </w:r>
      <w:r w:rsidR="00DD0825" w:rsidRPr="0047730A">
        <w:rPr>
          <w:rFonts w:ascii="Times New Roman" w:hAnsi="Times New Roman" w:cs="Times New Roman"/>
          <w:color w:val="222222"/>
          <w:sz w:val="24"/>
          <w:szCs w:val="24"/>
          <w:shd w:val="clear" w:color="auto" w:fill="FFFFFF"/>
        </w:rPr>
        <w:t>Kruse</w:t>
      </w:r>
      <w:r w:rsidR="00DD0825">
        <w:rPr>
          <w:rFonts w:ascii="Times New Roman" w:hAnsi="Times New Roman" w:cs="Times New Roman"/>
          <w:color w:val="222222"/>
          <w:sz w:val="24"/>
          <w:szCs w:val="24"/>
          <w:shd w:val="clear" w:color="auto" w:fill="FFFFFF"/>
        </w:rPr>
        <w:t xml:space="preserve"> 231).</w:t>
      </w:r>
      <w:r w:rsidRPr="00C92FC2">
        <w:rPr>
          <w:rFonts w:ascii="Times New Roman" w:hAnsi="Times New Roman" w:cs="Times New Roman"/>
          <w:color w:val="000000" w:themeColor="text1"/>
          <w:sz w:val="24"/>
          <w:szCs w:val="24"/>
        </w:rPr>
        <w:t xml:space="preserve"> The average age of the patients discussed in the first analysis was supposed to be 77.3 years while the median age of the patients analyzed in the second research was supposed to be 56.5 years. This observed difference in the ages may be the major result why there is a difference in the recurrence rate observed once the research is concluded. Additional large-scale, potential, randomized mobilization methods research concerning </w:t>
      </w:r>
      <w:r w:rsidRPr="00C92FC2">
        <w:rPr>
          <w:rFonts w:ascii="Times New Roman" w:hAnsi="Times New Roman" w:cs="Times New Roman"/>
          <w:i/>
          <w:color w:val="000000" w:themeColor="text1"/>
          <w:sz w:val="24"/>
          <w:szCs w:val="24"/>
        </w:rPr>
        <w:t>(cSDH)</w:t>
      </w:r>
      <w:r w:rsidRPr="00C92FC2">
        <w:rPr>
          <w:rFonts w:ascii="Times New Roman" w:hAnsi="Times New Roman" w:cs="Times New Roman"/>
          <w:color w:val="000000" w:themeColor="text1"/>
          <w:sz w:val="24"/>
          <w:szCs w:val="24"/>
        </w:rPr>
        <w:t xml:space="preserve"> drainage, with the closed system drainage, need to be conducted to purify decisive references on this significant </w:t>
      </w:r>
      <w:r w:rsidRPr="00C92FC2">
        <w:rPr>
          <w:rFonts w:ascii="Times New Roman" w:hAnsi="Times New Roman" w:cs="Times New Roman"/>
          <w:i/>
          <w:color w:val="000000" w:themeColor="text1"/>
          <w:sz w:val="24"/>
          <w:szCs w:val="24"/>
        </w:rPr>
        <w:t>(cSDH)</w:t>
      </w:r>
      <w:r w:rsidRPr="00C92FC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management aspect.</w:t>
      </w:r>
    </w:p>
    <w:p w:rsidR="00C90D43" w:rsidRPr="00C92FC2" w:rsidRDefault="00C90D43" w:rsidP="00C90D43">
      <w:pPr>
        <w:pStyle w:val="NormalWeb"/>
        <w:spacing w:line="480" w:lineRule="auto"/>
        <w:ind w:firstLine="720"/>
        <w:contextualSpacing/>
        <w:jc w:val="both"/>
        <w:rPr>
          <w:rFonts w:eastAsia="Calibri"/>
          <w:color w:val="000000" w:themeColor="text1"/>
        </w:rPr>
      </w:pPr>
      <w:r w:rsidRPr="00C92FC2">
        <w:rPr>
          <w:rFonts w:eastAsia="Calibri"/>
          <w:color w:val="000000" w:themeColor="text1"/>
        </w:rPr>
        <w:t>The interest for the settlement on this topic was informed by the desire to gauge the effectiveness of the use of the burr hole washout in patients, particularly when the procedure takes place early enough when the CSDH is detected in an individual. The treatment procedures that are used in the neurosurgical units are complex and it most of the professionals in this area only follow the procedures because they are the standard policies in</w:t>
      </w:r>
      <w:r>
        <w:rPr>
          <w:rFonts w:eastAsia="Calibri"/>
          <w:color w:val="000000" w:themeColor="text1"/>
        </w:rPr>
        <w:t xml:space="preserve"> the hospitals where they work</w:t>
      </w:r>
      <w:r w:rsidR="00DD0825">
        <w:rPr>
          <w:rFonts w:eastAsia="Calibri"/>
          <w:color w:val="000000" w:themeColor="text1"/>
        </w:rPr>
        <w:t xml:space="preserve"> (</w:t>
      </w:r>
      <w:r w:rsidR="00DD0825" w:rsidRPr="0047730A">
        <w:rPr>
          <w:color w:val="222222"/>
          <w:shd w:val="clear" w:color="auto" w:fill="FFFFFF"/>
        </w:rPr>
        <w:t>Furukawa</w:t>
      </w:r>
      <w:r w:rsidR="00DD0825">
        <w:rPr>
          <w:color w:val="222222"/>
          <w:shd w:val="clear" w:color="auto" w:fill="FFFFFF"/>
        </w:rPr>
        <w:t xml:space="preserve"> 1680)</w:t>
      </w:r>
      <w:r>
        <w:rPr>
          <w:rFonts w:eastAsia="Calibri"/>
          <w:color w:val="000000" w:themeColor="text1"/>
        </w:rPr>
        <w:t xml:space="preserve">. </w:t>
      </w:r>
      <w:r w:rsidRPr="00C92FC2">
        <w:rPr>
          <w:rFonts w:eastAsia="Calibri"/>
          <w:color w:val="000000" w:themeColor="text1"/>
        </w:rPr>
        <w:t xml:space="preserve">However, they fail to do thorough studies to establish the efficiencies of these procedures and are mostly in the dark as far as the technologies and the procedures that they use on a daily basis are concerned. It is in this light </w:t>
      </w:r>
      <w:r w:rsidRPr="00C92FC2">
        <w:rPr>
          <w:rFonts w:eastAsia="Calibri"/>
          <w:color w:val="000000" w:themeColor="text1"/>
        </w:rPr>
        <w:lastRenderedPageBreak/>
        <w:t xml:space="preserve">that this topic was favored for the sake of this study. The hospital where I am engaged in (Hong Kong) favors the use of the burr holes in the management of chronic subdural hematoma (CSDH). Accordingly, this study is informed by the need to gauge the effectiveness of the application of the burr holes procedure in the management of the chronic subdural hematoma (CSDH). </w:t>
      </w:r>
    </w:p>
    <w:p w:rsidR="00C90D43" w:rsidRPr="00C92FC2" w:rsidRDefault="00C90D43" w:rsidP="00C90D43">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eastAsia="Calibri" w:hAnsi="Times New Roman" w:cs="Times New Roman"/>
          <w:color w:val="000000" w:themeColor="text1"/>
          <w:sz w:val="24"/>
          <w:szCs w:val="24"/>
        </w:rPr>
        <w:t>Hospitals play perhaps one of the most important roles that institutions in the communi</w:t>
      </w:r>
      <w:r>
        <w:rPr>
          <w:rFonts w:ascii="Times New Roman" w:eastAsia="Calibri" w:hAnsi="Times New Roman" w:cs="Times New Roman"/>
          <w:color w:val="000000" w:themeColor="text1"/>
          <w:sz w:val="24"/>
          <w:szCs w:val="24"/>
        </w:rPr>
        <w:t xml:space="preserve">ties we live in will ever play. </w:t>
      </w:r>
      <w:r w:rsidRPr="00C92FC2">
        <w:rPr>
          <w:rFonts w:ascii="Times New Roman" w:eastAsia="Calibri" w:hAnsi="Times New Roman" w:cs="Times New Roman"/>
          <w:color w:val="000000" w:themeColor="text1"/>
          <w:sz w:val="24"/>
          <w:szCs w:val="24"/>
        </w:rPr>
        <w:t>The hospitals are charged with the responsibility of ensuring that the citizens remain healthy and where possible, the healthcare professionals have to everything in their power to guarantee that people remain healthy. In this light, therefore, it is imperative that the professionals understand what they do, the ethics involved and the effectiveness of the methods that they use in</w:t>
      </w:r>
      <w:r>
        <w:rPr>
          <w:rFonts w:ascii="Times New Roman" w:eastAsia="Calibri" w:hAnsi="Times New Roman" w:cs="Times New Roman"/>
          <w:color w:val="000000" w:themeColor="text1"/>
          <w:sz w:val="24"/>
          <w:szCs w:val="24"/>
        </w:rPr>
        <w:t xml:space="preserve"> the treatment of the patients. </w:t>
      </w:r>
      <w:r w:rsidRPr="00C92FC2">
        <w:rPr>
          <w:rFonts w:ascii="Times New Roman" w:eastAsia="Calibri" w:hAnsi="Times New Roman" w:cs="Times New Roman"/>
          <w:color w:val="000000" w:themeColor="text1"/>
          <w:sz w:val="24"/>
          <w:szCs w:val="24"/>
        </w:rPr>
        <w:t xml:space="preserve">The Hospital Authority Annual Plan is a significant undertaking that hospitals engage in as they aspire to better the way that they deliver services to their clients (patients). This study, therefore, intends to avail a detailed report to the Hospital Authority Annual Plan on the use of the burr holes in treating CSDH because this is the procedure that the hospital prioritizes in the management of CSDH. This is an important thing for the hospital since it will have adequate knowledge concerning the effectiveness of the burr holes when the intervention comes early </w:t>
      </w:r>
      <w:r w:rsidR="00DD0825">
        <w:rPr>
          <w:rFonts w:ascii="Times New Roman" w:eastAsia="Calibri" w:hAnsi="Times New Roman" w:cs="Times New Roman"/>
          <w:color w:val="000000" w:themeColor="text1"/>
          <w:sz w:val="24"/>
          <w:szCs w:val="24"/>
        </w:rPr>
        <w:t>after the detection of the CSDH (</w:t>
      </w:r>
      <w:r w:rsidR="00DD0825" w:rsidRPr="0047730A">
        <w:rPr>
          <w:rFonts w:ascii="Times New Roman" w:hAnsi="Times New Roman" w:cs="Times New Roman"/>
          <w:color w:val="222222"/>
          <w:sz w:val="24"/>
          <w:szCs w:val="24"/>
          <w:shd w:val="clear" w:color="auto" w:fill="FFFFFF"/>
        </w:rPr>
        <w:t>Irizarry</w:t>
      </w:r>
      <w:r w:rsidR="00DD0825">
        <w:rPr>
          <w:rFonts w:ascii="Times New Roman" w:hAnsi="Times New Roman" w:cs="Times New Roman"/>
          <w:color w:val="222222"/>
          <w:sz w:val="24"/>
          <w:szCs w:val="24"/>
          <w:shd w:val="clear" w:color="auto" w:fill="FFFFFF"/>
        </w:rPr>
        <w:t xml:space="preserve"> 689).</w:t>
      </w:r>
    </w:p>
    <w:p w:rsidR="00C90D43" w:rsidRPr="00C92FC2" w:rsidRDefault="00C90D43" w:rsidP="00C90D43">
      <w:pPr>
        <w:spacing w:line="480" w:lineRule="auto"/>
        <w:contextualSpacing/>
        <w:rPr>
          <w:rFonts w:ascii="Times New Roman" w:hAnsi="Times New Roman" w:cs="Times New Roman"/>
          <w:b/>
          <w:color w:val="000000" w:themeColor="text1"/>
          <w:sz w:val="24"/>
          <w:szCs w:val="24"/>
        </w:rPr>
      </w:pPr>
      <w:r w:rsidRPr="00C92FC2">
        <w:rPr>
          <w:rFonts w:ascii="Times New Roman" w:hAnsi="Times New Roman" w:cs="Times New Roman"/>
          <w:b/>
          <w:color w:val="000000" w:themeColor="text1"/>
          <w:sz w:val="24"/>
          <w:szCs w:val="24"/>
        </w:rPr>
        <w:t>CONCLUSION</w:t>
      </w:r>
    </w:p>
    <w:p w:rsidR="00C90D43" w:rsidRDefault="00C90D43" w:rsidP="00C90D43">
      <w:pPr>
        <w:spacing w:line="480" w:lineRule="auto"/>
        <w:ind w:firstLine="720"/>
        <w:contextualSpacing/>
        <w:jc w:val="both"/>
        <w:rPr>
          <w:rFonts w:ascii="Times New Roman" w:hAnsi="Times New Roman" w:cs="Times New Roman"/>
          <w:color w:val="000000" w:themeColor="text1"/>
          <w:sz w:val="24"/>
          <w:szCs w:val="24"/>
        </w:rPr>
      </w:pPr>
      <w:r w:rsidRPr="00C92FC2">
        <w:rPr>
          <w:rFonts w:ascii="Times New Roman" w:hAnsi="Times New Roman" w:cs="Times New Roman"/>
          <w:color w:val="000000" w:themeColor="text1"/>
          <w:sz w:val="24"/>
          <w:szCs w:val="24"/>
        </w:rPr>
        <w:t xml:space="preserve">In summation, there are several components of care that must be used together to ensure the highest quality of care and in instances of hospitalisation, safe discharge as soon as possible. In order to fulfil complete holistic nursing, all aspects of the patient must be taken into consideration. This means not only concentrating on the physical ailment but also the psychological, sociological, spiritual, cultural and traditional needs of the patient. By taking all these aspects, effective patient-centred care can be fulfilled. Furthermore, in order for </w:t>
      </w:r>
      <w:r w:rsidRPr="00C92FC2">
        <w:rPr>
          <w:rFonts w:ascii="Times New Roman" w:hAnsi="Times New Roman" w:cs="Times New Roman"/>
          <w:color w:val="000000" w:themeColor="text1"/>
          <w:sz w:val="24"/>
          <w:szCs w:val="24"/>
        </w:rPr>
        <w:lastRenderedPageBreak/>
        <w:t xml:space="preserve">patient care to be consistent and efficient, communication must be thorough amongst all the disciplines. </w:t>
      </w:r>
      <w:r w:rsidR="00AB50EA" w:rsidRPr="00C92FC2">
        <w:rPr>
          <w:rFonts w:ascii="Times New Roman" w:hAnsi="Times New Roman" w:cs="Times New Roman"/>
          <w:color w:val="000000" w:themeColor="text1"/>
          <w:sz w:val="24"/>
          <w:szCs w:val="24"/>
        </w:rPr>
        <w:t>Hematoma shape and size guides the location of the burr holes. On the operation table, the patient will be placed with his or her affected side facing up. The two burr holes suffice in numerous cases; the parietal and the frontal placement at the anterior and subsequent margins of the group usually performs effectively. Above the anterior burr hole, the Dura exists, and it is first opened to avoid the breaking of the subdural space. During the opening session of the Dura, a fat hematoma membrane is met. The configuration of the hematoma differs with the blood age, from the clot which is fresh to the other which is xanthochromic fluid. In numerous cases, the hematoma has the intermediate appearance and has been defined as looking like crankcase oil.</w:t>
      </w:r>
    </w:p>
    <w:p w:rsidR="003F4F4A" w:rsidRDefault="003F4F4A" w:rsidP="00C90D43">
      <w:pPr>
        <w:spacing w:line="480" w:lineRule="auto"/>
        <w:ind w:firstLine="720"/>
        <w:contextualSpacing/>
        <w:jc w:val="both"/>
        <w:rPr>
          <w:rFonts w:ascii="Times New Roman" w:hAnsi="Times New Roman" w:cs="Times New Roman"/>
          <w:color w:val="000000" w:themeColor="text1"/>
          <w:sz w:val="24"/>
          <w:szCs w:val="24"/>
        </w:rPr>
      </w:pPr>
    </w:p>
    <w:p w:rsidR="003F4F4A" w:rsidRDefault="003F4F4A" w:rsidP="00C90D43">
      <w:pPr>
        <w:spacing w:line="480" w:lineRule="auto"/>
        <w:ind w:firstLine="720"/>
        <w:contextualSpacing/>
        <w:jc w:val="both"/>
        <w:rPr>
          <w:rFonts w:ascii="Times New Roman" w:hAnsi="Times New Roman" w:cs="Times New Roman"/>
          <w:color w:val="000000" w:themeColor="text1"/>
          <w:sz w:val="24"/>
          <w:szCs w:val="24"/>
        </w:rPr>
      </w:pPr>
    </w:p>
    <w:p w:rsidR="003F4F4A" w:rsidRDefault="003F4F4A" w:rsidP="00C90D43">
      <w:pPr>
        <w:spacing w:line="480" w:lineRule="auto"/>
        <w:ind w:firstLine="720"/>
        <w:contextualSpacing/>
        <w:jc w:val="both"/>
        <w:rPr>
          <w:rFonts w:ascii="Times New Roman" w:hAnsi="Times New Roman" w:cs="Times New Roman"/>
          <w:color w:val="000000" w:themeColor="text1"/>
          <w:sz w:val="24"/>
          <w:szCs w:val="24"/>
        </w:rPr>
      </w:pPr>
    </w:p>
    <w:p w:rsidR="003F4F4A" w:rsidRDefault="003F4F4A" w:rsidP="00C90D43">
      <w:pPr>
        <w:spacing w:line="480" w:lineRule="auto"/>
        <w:ind w:firstLine="720"/>
        <w:contextualSpacing/>
        <w:jc w:val="both"/>
        <w:rPr>
          <w:rFonts w:ascii="Times New Roman" w:hAnsi="Times New Roman" w:cs="Times New Roman"/>
          <w:color w:val="000000" w:themeColor="text1"/>
          <w:sz w:val="24"/>
          <w:szCs w:val="24"/>
        </w:rPr>
      </w:pPr>
    </w:p>
    <w:p w:rsidR="003F4F4A" w:rsidRDefault="003F4F4A" w:rsidP="00C90D43">
      <w:pPr>
        <w:spacing w:line="480" w:lineRule="auto"/>
        <w:ind w:firstLine="720"/>
        <w:contextualSpacing/>
        <w:jc w:val="both"/>
        <w:rPr>
          <w:rFonts w:ascii="Times New Roman" w:hAnsi="Times New Roman" w:cs="Times New Roman"/>
          <w:color w:val="000000" w:themeColor="text1"/>
          <w:sz w:val="24"/>
          <w:szCs w:val="24"/>
        </w:rPr>
      </w:pPr>
    </w:p>
    <w:p w:rsidR="003F4F4A" w:rsidRDefault="003F4F4A" w:rsidP="00C90D43">
      <w:pPr>
        <w:spacing w:line="480" w:lineRule="auto"/>
        <w:ind w:firstLine="720"/>
        <w:contextualSpacing/>
        <w:jc w:val="both"/>
        <w:rPr>
          <w:rFonts w:ascii="Times New Roman" w:hAnsi="Times New Roman" w:cs="Times New Roman"/>
          <w:color w:val="000000" w:themeColor="text1"/>
          <w:sz w:val="24"/>
          <w:szCs w:val="24"/>
        </w:rPr>
      </w:pPr>
    </w:p>
    <w:p w:rsidR="003F4F4A" w:rsidRDefault="003F4F4A" w:rsidP="00C90D43">
      <w:pPr>
        <w:spacing w:line="480" w:lineRule="auto"/>
        <w:ind w:firstLine="720"/>
        <w:contextualSpacing/>
        <w:jc w:val="both"/>
        <w:rPr>
          <w:rFonts w:ascii="Times New Roman" w:hAnsi="Times New Roman" w:cs="Times New Roman"/>
          <w:color w:val="000000" w:themeColor="text1"/>
          <w:sz w:val="24"/>
          <w:szCs w:val="24"/>
        </w:rPr>
      </w:pPr>
    </w:p>
    <w:p w:rsidR="003F4F4A" w:rsidRDefault="003F4F4A" w:rsidP="00C90D43">
      <w:pPr>
        <w:spacing w:line="480" w:lineRule="auto"/>
        <w:ind w:firstLine="720"/>
        <w:contextualSpacing/>
        <w:jc w:val="both"/>
        <w:rPr>
          <w:rFonts w:ascii="Times New Roman" w:hAnsi="Times New Roman" w:cs="Times New Roman"/>
          <w:color w:val="000000" w:themeColor="text1"/>
          <w:sz w:val="24"/>
          <w:szCs w:val="24"/>
        </w:rPr>
      </w:pPr>
    </w:p>
    <w:p w:rsidR="003F4F4A" w:rsidRDefault="003F4F4A" w:rsidP="00C90D43">
      <w:pPr>
        <w:spacing w:line="480" w:lineRule="auto"/>
        <w:ind w:firstLine="720"/>
        <w:contextualSpacing/>
        <w:jc w:val="both"/>
        <w:rPr>
          <w:rFonts w:ascii="Times New Roman" w:hAnsi="Times New Roman" w:cs="Times New Roman"/>
          <w:color w:val="000000" w:themeColor="text1"/>
          <w:sz w:val="24"/>
          <w:szCs w:val="24"/>
        </w:rPr>
      </w:pPr>
    </w:p>
    <w:p w:rsidR="003F4F4A" w:rsidRDefault="003F4F4A" w:rsidP="00C90D43">
      <w:pPr>
        <w:spacing w:line="480" w:lineRule="auto"/>
        <w:ind w:firstLine="720"/>
        <w:contextualSpacing/>
        <w:jc w:val="both"/>
        <w:rPr>
          <w:rFonts w:ascii="Times New Roman" w:hAnsi="Times New Roman" w:cs="Times New Roman"/>
          <w:color w:val="000000" w:themeColor="text1"/>
          <w:sz w:val="24"/>
          <w:szCs w:val="24"/>
        </w:rPr>
      </w:pPr>
    </w:p>
    <w:p w:rsidR="003F4F4A" w:rsidRDefault="003F4F4A" w:rsidP="00C90D43">
      <w:pPr>
        <w:spacing w:line="480" w:lineRule="auto"/>
        <w:ind w:firstLine="720"/>
        <w:contextualSpacing/>
        <w:jc w:val="both"/>
        <w:rPr>
          <w:rFonts w:ascii="Times New Roman" w:hAnsi="Times New Roman" w:cs="Times New Roman"/>
          <w:color w:val="000000" w:themeColor="text1"/>
          <w:sz w:val="24"/>
          <w:szCs w:val="24"/>
        </w:rPr>
      </w:pPr>
    </w:p>
    <w:p w:rsidR="003F4F4A" w:rsidRDefault="003F4F4A" w:rsidP="00C90D43">
      <w:pPr>
        <w:spacing w:line="480" w:lineRule="auto"/>
        <w:ind w:firstLine="720"/>
        <w:contextualSpacing/>
        <w:jc w:val="both"/>
        <w:rPr>
          <w:rFonts w:ascii="Times New Roman" w:hAnsi="Times New Roman" w:cs="Times New Roman"/>
          <w:color w:val="000000" w:themeColor="text1"/>
          <w:sz w:val="24"/>
          <w:szCs w:val="24"/>
        </w:rPr>
      </w:pPr>
    </w:p>
    <w:p w:rsidR="003F4F4A" w:rsidRDefault="003F4F4A" w:rsidP="00C90D43">
      <w:pPr>
        <w:spacing w:line="480" w:lineRule="auto"/>
        <w:ind w:firstLine="720"/>
        <w:contextualSpacing/>
        <w:jc w:val="both"/>
        <w:rPr>
          <w:rFonts w:ascii="Times New Roman" w:hAnsi="Times New Roman" w:cs="Times New Roman"/>
          <w:color w:val="000000" w:themeColor="text1"/>
          <w:sz w:val="24"/>
          <w:szCs w:val="24"/>
        </w:rPr>
      </w:pPr>
    </w:p>
    <w:p w:rsidR="003F4F4A" w:rsidRDefault="003F4F4A" w:rsidP="00C90D43">
      <w:pPr>
        <w:spacing w:line="480" w:lineRule="auto"/>
        <w:ind w:firstLine="720"/>
        <w:contextualSpacing/>
        <w:jc w:val="both"/>
        <w:rPr>
          <w:rFonts w:ascii="Times New Roman" w:hAnsi="Times New Roman" w:cs="Times New Roman"/>
          <w:color w:val="000000" w:themeColor="text1"/>
          <w:sz w:val="24"/>
          <w:szCs w:val="24"/>
        </w:rPr>
      </w:pPr>
    </w:p>
    <w:p w:rsidR="00C90D43" w:rsidRDefault="00C90D43">
      <w:pPr>
        <w:rPr>
          <w:rFonts w:ascii="Times New Roman" w:hAnsi="Times New Roman" w:cs="Times New Roman"/>
          <w:color w:val="000000" w:themeColor="text1"/>
          <w:sz w:val="24"/>
          <w:szCs w:val="24"/>
        </w:rPr>
      </w:pPr>
    </w:p>
    <w:p w:rsidR="002E798D" w:rsidRDefault="00C90D43" w:rsidP="00883AF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Work Cited</w:t>
      </w:r>
    </w:p>
    <w:p w:rsidR="00C90D43" w:rsidRPr="0047730A" w:rsidRDefault="0047730A" w:rsidP="0047730A">
      <w:pPr>
        <w:spacing w:line="480" w:lineRule="auto"/>
        <w:ind w:left="720" w:hanging="720"/>
        <w:rPr>
          <w:rFonts w:ascii="Times New Roman" w:hAnsi="Times New Roman" w:cs="Times New Roman"/>
          <w:color w:val="222222"/>
          <w:sz w:val="24"/>
          <w:szCs w:val="24"/>
          <w:shd w:val="clear" w:color="auto" w:fill="FFFFFF"/>
        </w:rPr>
      </w:pPr>
      <w:r w:rsidRPr="0047730A">
        <w:rPr>
          <w:rFonts w:ascii="Times New Roman" w:hAnsi="Times New Roman" w:cs="Times New Roman"/>
          <w:color w:val="222222"/>
          <w:sz w:val="24"/>
          <w:szCs w:val="24"/>
          <w:shd w:val="clear" w:color="auto" w:fill="FFFFFF"/>
        </w:rPr>
        <w:t>Furukawa, Michael F., et al. "Despite substantial progress in EHR adoption, health information exchange and patient engagement remain low in office settings." </w:t>
      </w:r>
      <w:r w:rsidRPr="0047730A">
        <w:rPr>
          <w:rFonts w:ascii="Times New Roman" w:hAnsi="Times New Roman" w:cs="Times New Roman"/>
          <w:i/>
          <w:iCs/>
          <w:color w:val="222222"/>
          <w:sz w:val="24"/>
          <w:szCs w:val="24"/>
          <w:shd w:val="clear" w:color="auto" w:fill="FFFFFF"/>
        </w:rPr>
        <w:t>Health Affairs</w:t>
      </w:r>
      <w:r w:rsidRPr="0047730A">
        <w:rPr>
          <w:rFonts w:ascii="Times New Roman" w:hAnsi="Times New Roman" w:cs="Times New Roman"/>
          <w:color w:val="222222"/>
          <w:sz w:val="24"/>
          <w:szCs w:val="24"/>
          <w:shd w:val="clear" w:color="auto" w:fill="FFFFFF"/>
        </w:rPr>
        <w:t> 33.9 (2014): 1672-1679.</w:t>
      </w:r>
    </w:p>
    <w:p w:rsidR="0047730A" w:rsidRPr="0047730A" w:rsidRDefault="0047730A" w:rsidP="0047730A">
      <w:pPr>
        <w:spacing w:line="480" w:lineRule="auto"/>
        <w:ind w:left="720" w:hanging="720"/>
        <w:rPr>
          <w:rFonts w:ascii="Times New Roman" w:hAnsi="Times New Roman" w:cs="Times New Roman"/>
          <w:color w:val="222222"/>
          <w:sz w:val="24"/>
          <w:szCs w:val="24"/>
          <w:shd w:val="clear" w:color="auto" w:fill="FFFFFF"/>
        </w:rPr>
      </w:pPr>
      <w:r w:rsidRPr="0047730A">
        <w:rPr>
          <w:rFonts w:ascii="Times New Roman" w:hAnsi="Times New Roman" w:cs="Times New Roman"/>
          <w:color w:val="222222"/>
          <w:sz w:val="24"/>
          <w:szCs w:val="24"/>
          <w:shd w:val="clear" w:color="auto" w:fill="FFFFFF"/>
        </w:rPr>
        <w:t>Kruse, Clemens Scott, et al. "Patient and provider attitudes toward the use of patient portals for the management of chronic disease: a systematic review." </w:t>
      </w:r>
      <w:r w:rsidRPr="0047730A">
        <w:rPr>
          <w:rFonts w:ascii="Times New Roman" w:hAnsi="Times New Roman" w:cs="Times New Roman"/>
          <w:i/>
          <w:iCs/>
          <w:color w:val="222222"/>
          <w:sz w:val="24"/>
          <w:szCs w:val="24"/>
          <w:shd w:val="clear" w:color="auto" w:fill="FFFFFF"/>
        </w:rPr>
        <w:t>Journal of medical Internet research</w:t>
      </w:r>
      <w:r w:rsidRPr="0047730A">
        <w:rPr>
          <w:rFonts w:ascii="Times New Roman" w:hAnsi="Times New Roman" w:cs="Times New Roman"/>
          <w:color w:val="222222"/>
          <w:sz w:val="24"/>
          <w:szCs w:val="24"/>
          <w:shd w:val="clear" w:color="auto" w:fill="FFFFFF"/>
        </w:rPr>
        <w:t> 17.2 (2015).</w:t>
      </w:r>
    </w:p>
    <w:p w:rsidR="0047730A" w:rsidRPr="0047730A" w:rsidRDefault="0047730A" w:rsidP="0047730A">
      <w:pPr>
        <w:spacing w:line="480" w:lineRule="auto"/>
        <w:ind w:left="720" w:hanging="720"/>
        <w:rPr>
          <w:rFonts w:ascii="Times New Roman" w:hAnsi="Times New Roman" w:cs="Times New Roman"/>
          <w:color w:val="222222"/>
          <w:sz w:val="24"/>
          <w:szCs w:val="24"/>
          <w:shd w:val="clear" w:color="auto" w:fill="FFFFFF"/>
        </w:rPr>
      </w:pPr>
      <w:r w:rsidRPr="0047730A">
        <w:rPr>
          <w:rFonts w:ascii="Times New Roman" w:hAnsi="Times New Roman" w:cs="Times New Roman"/>
          <w:color w:val="222222"/>
          <w:sz w:val="24"/>
          <w:szCs w:val="24"/>
          <w:shd w:val="clear" w:color="auto" w:fill="FFFFFF"/>
        </w:rPr>
        <w:t>Turvey, Carolyn, et al. "Blue Button use by patients to access and share health record information using the Department of Veterans Affairs' online patient portal." </w:t>
      </w:r>
      <w:r w:rsidRPr="0047730A">
        <w:rPr>
          <w:rFonts w:ascii="Times New Roman" w:hAnsi="Times New Roman" w:cs="Times New Roman"/>
          <w:i/>
          <w:iCs/>
          <w:color w:val="222222"/>
          <w:sz w:val="24"/>
          <w:szCs w:val="24"/>
          <w:shd w:val="clear" w:color="auto" w:fill="FFFFFF"/>
        </w:rPr>
        <w:t>Journal of the American Medical Informatics Association</w:t>
      </w:r>
      <w:r w:rsidRPr="0047730A">
        <w:rPr>
          <w:rFonts w:ascii="Times New Roman" w:hAnsi="Times New Roman" w:cs="Times New Roman"/>
          <w:color w:val="222222"/>
          <w:sz w:val="24"/>
          <w:szCs w:val="24"/>
          <w:shd w:val="clear" w:color="auto" w:fill="FFFFFF"/>
        </w:rPr>
        <w:t> 21.4 (2014): 657-663.</w:t>
      </w:r>
    </w:p>
    <w:p w:rsidR="0047730A" w:rsidRPr="0047730A" w:rsidRDefault="0047730A" w:rsidP="0047730A">
      <w:pPr>
        <w:spacing w:line="480" w:lineRule="auto"/>
        <w:ind w:left="720" w:hanging="720"/>
        <w:rPr>
          <w:rFonts w:ascii="Times New Roman" w:hAnsi="Times New Roman" w:cs="Times New Roman"/>
          <w:color w:val="222222"/>
          <w:sz w:val="24"/>
          <w:szCs w:val="24"/>
          <w:shd w:val="clear" w:color="auto" w:fill="FFFFFF"/>
        </w:rPr>
      </w:pPr>
      <w:r w:rsidRPr="0047730A">
        <w:rPr>
          <w:rFonts w:ascii="Times New Roman" w:hAnsi="Times New Roman" w:cs="Times New Roman"/>
          <w:color w:val="222222"/>
          <w:sz w:val="24"/>
          <w:szCs w:val="24"/>
          <w:shd w:val="clear" w:color="auto" w:fill="FFFFFF"/>
        </w:rPr>
        <w:t>Ancker, Jessica S., et al. "The invisible work of personal health information management among people with multiple chronic conditions: qualitative interview study among patients and providers." </w:t>
      </w:r>
      <w:r w:rsidRPr="0047730A">
        <w:rPr>
          <w:rFonts w:ascii="Times New Roman" w:hAnsi="Times New Roman" w:cs="Times New Roman"/>
          <w:i/>
          <w:iCs/>
          <w:color w:val="222222"/>
          <w:sz w:val="24"/>
          <w:szCs w:val="24"/>
          <w:shd w:val="clear" w:color="auto" w:fill="FFFFFF"/>
        </w:rPr>
        <w:t>Journal of medical Internet research</w:t>
      </w:r>
      <w:r w:rsidRPr="0047730A">
        <w:rPr>
          <w:rFonts w:ascii="Times New Roman" w:hAnsi="Times New Roman" w:cs="Times New Roman"/>
          <w:color w:val="222222"/>
          <w:sz w:val="24"/>
          <w:szCs w:val="24"/>
          <w:shd w:val="clear" w:color="auto" w:fill="FFFFFF"/>
        </w:rPr>
        <w:t> 17.6 (2015).</w:t>
      </w:r>
    </w:p>
    <w:p w:rsidR="0047730A" w:rsidRDefault="0047730A" w:rsidP="0047730A">
      <w:pPr>
        <w:spacing w:line="480" w:lineRule="auto"/>
        <w:ind w:left="720" w:hanging="720"/>
        <w:rPr>
          <w:rFonts w:ascii="Times New Roman" w:hAnsi="Times New Roman" w:cs="Times New Roman"/>
          <w:color w:val="222222"/>
          <w:sz w:val="24"/>
          <w:szCs w:val="24"/>
          <w:shd w:val="clear" w:color="auto" w:fill="FFFFFF"/>
        </w:rPr>
      </w:pPr>
      <w:r w:rsidRPr="0047730A">
        <w:rPr>
          <w:rFonts w:ascii="Times New Roman" w:hAnsi="Times New Roman" w:cs="Times New Roman"/>
          <w:color w:val="222222"/>
          <w:sz w:val="24"/>
          <w:szCs w:val="24"/>
          <w:shd w:val="clear" w:color="auto" w:fill="FFFFFF"/>
        </w:rPr>
        <w:t>Irizarry, Taya, Annette DeVito Dabbs, and Christine R. Curran. "Patient portals and patient engagement: a state of the science review." </w:t>
      </w:r>
      <w:r w:rsidRPr="0047730A">
        <w:rPr>
          <w:rFonts w:ascii="Times New Roman" w:hAnsi="Times New Roman" w:cs="Times New Roman"/>
          <w:i/>
          <w:iCs/>
          <w:color w:val="222222"/>
          <w:sz w:val="24"/>
          <w:szCs w:val="24"/>
          <w:shd w:val="clear" w:color="auto" w:fill="FFFFFF"/>
        </w:rPr>
        <w:t>Journal of medical Internet research</w:t>
      </w:r>
      <w:r w:rsidRPr="0047730A">
        <w:rPr>
          <w:rFonts w:ascii="Times New Roman" w:hAnsi="Times New Roman" w:cs="Times New Roman"/>
          <w:color w:val="222222"/>
          <w:sz w:val="24"/>
          <w:szCs w:val="24"/>
          <w:shd w:val="clear" w:color="auto" w:fill="FFFFFF"/>
        </w:rPr>
        <w:t> 17.6 (2015).</w:t>
      </w:r>
    </w:p>
    <w:p w:rsidR="00DD0825" w:rsidRPr="00DD0825" w:rsidRDefault="00DD0825" w:rsidP="0047730A">
      <w:pPr>
        <w:spacing w:line="480" w:lineRule="auto"/>
        <w:ind w:left="720" w:hanging="720"/>
        <w:rPr>
          <w:rFonts w:ascii="Times New Roman" w:hAnsi="Times New Roman" w:cs="Times New Roman"/>
          <w:color w:val="000000" w:themeColor="text1"/>
          <w:sz w:val="24"/>
          <w:szCs w:val="24"/>
        </w:rPr>
      </w:pPr>
      <w:r w:rsidRPr="00DD0825">
        <w:rPr>
          <w:rFonts w:ascii="Times New Roman" w:hAnsi="Times New Roman" w:cs="Times New Roman"/>
          <w:color w:val="000000" w:themeColor="text1"/>
          <w:sz w:val="24"/>
          <w:szCs w:val="24"/>
          <w:shd w:val="clear" w:color="auto" w:fill="FFFFFF"/>
        </w:rPr>
        <w:t>Lyles, Courtney, Dean Schillinger, and Urmimala Sarkar. "Connecting the dots: health information technology expansion and health disparities." </w:t>
      </w:r>
      <w:r w:rsidRPr="00DD0825">
        <w:rPr>
          <w:rFonts w:ascii="Times New Roman" w:hAnsi="Times New Roman" w:cs="Times New Roman"/>
          <w:i/>
          <w:iCs/>
          <w:color w:val="000000" w:themeColor="text1"/>
          <w:sz w:val="24"/>
          <w:szCs w:val="24"/>
          <w:shd w:val="clear" w:color="auto" w:fill="FFFFFF"/>
        </w:rPr>
        <w:t>PLoS medicine</w:t>
      </w:r>
      <w:r w:rsidRPr="00DD0825">
        <w:rPr>
          <w:rFonts w:ascii="Times New Roman" w:hAnsi="Times New Roman" w:cs="Times New Roman"/>
          <w:color w:val="000000" w:themeColor="text1"/>
          <w:sz w:val="24"/>
          <w:szCs w:val="24"/>
          <w:shd w:val="clear" w:color="auto" w:fill="FFFFFF"/>
        </w:rPr>
        <w:t> 12.7 (2015): e1001852.</w:t>
      </w:r>
    </w:p>
    <w:sectPr w:rsidR="00DD0825" w:rsidRPr="00DD0825" w:rsidSect="00DE5046">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45B4" w:rsidRDefault="006F45B4" w:rsidP="00C90D43">
      <w:pPr>
        <w:spacing w:after="0" w:line="240" w:lineRule="auto"/>
      </w:pPr>
      <w:r>
        <w:separator/>
      </w:r>
    </w:p>
  </w:endnote>
  <w:endnote w:type="continuationSeparator" w:id="0">
    <w:p w:rsidR="006F45B4" w:rsidRDefault="006F45B4" w:rsidP="00C90D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45B4" w:rsidRDefault="006F45B4" w:rsidP="00C90D43">
      <w:pPr>
        <w:spacing w:after="0" w:line="240" w:lineRule="auto"/>
      </w:pPr>
      <w:r>
        <w:separator/>
      </w:r>
    </w:p>
  </w:footnote>
  <w:footnote w:type="continuationSeparator" w:id="0">
    <w:p w:rsidR="006F45B4" w:rsidRDefault="006F45B4" w:rsidP="00C90D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43" w:rsidRPr="00C90D43" w:rsidRDefault="00C90D43">
    <w:pPr>
      <w:pStyle w:val="Header"/>
      <w:jc w:val="right"/>
      <w:rPr>
        <w:rFonts w:ascii="Times New Roman" w:hAnsi="Times New Roman" w:cs="Times New Roman"/>
        <w:sz w:val="24"/>
        <w:szCs w:val="24"/>
      </w:rPr>
    </w:pPr>
    <w:r w:rsidRPr="00C90D43">
      <w:rPr>
        <w:rFonts w:ascii="Times New Roman" w:hAnsi="Times New Roman" w:cs="Times New Roman"/>
        <w:sz w:val="24"/>
        <w:szCs w:val="24"/>
      </w:rPr>
      <w:t xml:space="preserve">Surname </w:t>
    </w:r>
    <w:sdt>
      <w:sdtPr>
        <w:rPr>
          <w:rFonts w:ascii="Times New Roman" w:hAnsi="Times New Roman" w:cs="Times New Roman"/>
          <w:sz w:val="24"/>
          <w:szCs w:val="24"/>
        </w:rPr>
        <w:id w:val="1204373308"/>
        <w:docPartObj>
          <w:docPartGallery w:val="Page Numbers (Top of Page)"/>
          <w:docPartUnique/>
        </w:docPartObj>
      </w:sdtPr>
      <w:sdtEndPr>
        <w:rPr>
          <w:noProof/>
        </w:rPr>
      </w:sdtEndPr>
      <w:sdtContent>
        <w:r w:rsidR="00DE5046" w:rsidRPr="00C90D43">
          <w:rPr>
            <w:rFonts w:ascii="Times New Roman" w:hAnsi="Times New Roman" w:cs="Times New Roman"/>
            <w:sz w:val="24"/>
            <w:szCs w:val="24"/>
          </w:rPr>
          <w:fldChar w:fldCharType="begin"/>
        </w:r>
        <w:r w:rsidRPr="00C90D43">
          <w:rPr>
            <w:rFonts w:ascii="Times New Roman" w:hAnsi="Times New Roman" w:cs="Times New Roman"/>
            <w:sz w:val="24"/>
            <w:szCs w:val="24"/>
          </w:rPr>
          <w:instrText xml:space="preserve"> PAGE   \* MERGEFORMAT </w:instrText>
        </w:r>
        <w:r w:rsidR="00DE5046" w:rsidRPr="00C90D43">
          <w:rPr>
            <w:rFonts w:ascii="Times New Roman" w:hAnsi="Times New Roman" w:cs="Times New Roman"/>
            <w:sz w:val="24"/>
            <w:szCs w:val="24"/>
          </w:rPr>
          <w:fldChar w:fldCharType="separate"/>
        </w:r>
        <w:r w:rsidR="00FD144C">
          <w:rPr>
            <w:rFonts w:ascii="Times New Roman" w:hAnsi="Times New Roman" w:cs="Times New Roman"/>
            <w:noProof/>
            <w:sz w:val="24"/>
            <w:szCs w:val="24"/>
          </w:rPr>
          <w:t>15</w:t>
        </w:r>
        <w:r w:rsidR="00DE5046" w:rsidRPr="00C90D43">
          <w:rPr>
            <w:rFonts w:ascii="Times New Roman" w:hAnsi="Times New Roman" w:cs="Times New Roman"/>
            <w:noProof/>
            <w:sz w:val="24"/>
            <w:szCs w:val="24"/>
          </w:rPr>
          <w:fldChar w:fldCharType="end"/>
        </w:r>
      </w:sdtContent>
    </w:sdt>
  </w:p>
  <w:p w:rsidR="00C90D43" w:rsidRDefault="00C90D4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C90D43"/>
    <w:rsid w:val="002E798D"/>
    <w:rsid w:val="003F4F4A"/>
    <w:rsid w:val="0047730A"/>
    <w:rsid w:val="00561335"/>
    <w:rsid w:val="005D2330"/>
    <w:rsid w:val="00697522"/>
    <w:rsid w:val="006F45B4"/>
    <w:rsid w:val="007604D7"/>
    <w:rsid w:val="008735E0"/>
    <w:rsid w:val="00883AF2"/>
    <w:rsid w:val="00976862"/>
    <w:rsid w:val="00AB50EA"/>
    <w:rsid w:val="00C240E9"/>
    <w:rsid w:val="00C90D43"/>
    <w:rsid w:val="00DD0825"/>
    <w:rsid w:val="00DE5046"/>
    <w:rsid w:val="00F470CB"/>
    <w:rsid w:val="00FD14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D4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90D43"/>
    <w:rPr>
      <w:color w:val="0000FF"/>
      <w:u w:val="single"/>
    </w:rPr>
  </w:style>
  <w:style w:type="paragraph" w:styleId="NormalWeb">
    <w:name w:val="Normal (Web)"/>
    <w:basedOn w:val="Normal"/>
    <w:uiPriority w:val="99"/>
    <w:unhideWhenUsed/>
    <w:rsid w:val="00C90D4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90D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D43"/>
  </w:style>
  <w:style w:type="paragraph" w:styleId="Footer">
    <w:name w:val="footer"/>
    <w:basedOn w:val="Normal"/>
    <w:link w:val="FooterChar"/>
    <w:uiPriority w:val="99"/>
    <w:unhideWhenUsed/>
    <w:rsid w:val="00C90D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D4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mcth.edu/images/gallery/Editorial/UCA69nk_khadka.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4144</Words>
  <Characters>23626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FRANK</cp:lastModifiedBy>
  <cp:revision>2</cp:revision>
  <dcterms:created xsi:type="dcterms:W3CDTF">2018-09-29T17:37:00Z</dcterms:created>
  <dcterms:modified xsi:type="dcterms:W3CDTF">2018-09-29T17:37:00Z</dcterms:modified>
</cp:coreProperties>
</file>