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310D4" w14:textId="77777777" w:rsidR="00C4601C" w:rsidRDefault="00C4601C" w:rsidP="00C4601C">
      <w:pPr>
        <w:spacing w:line="360" w:lineRule="auto"/>
        <w:rPr>
          <w:rFonts w:ascii="Times New Roman" w:hAnsi="Times New Roman" w:cs="Times New Roman"/>
          <w:sz w:val="24"/>
          <w:szCs w:val="24"/>
        </w:rPr>
      </w:pPr>
    </w:p>
    <w:p w14:paraId="346384F2" w14:textId="77777777" w:rsidR="00D26D97" w:rsidRDefault="00D26D97" w:rsidP="00C4601C">
      <w:pPr>
        <w:spacing w:line="360" w:lineRule="auto"/>
        <w:rPr>
          <w:rFonts w:ascii="Times New Roman" w:hAnsi="Times New Roman" w:cs="Times New Roman"/>
          <w:sz w:val="24"/>
          <w:szCs w:val="24"/>
        </w:rPr>
      </w:pPr>
    </w:p>
    <w:p w14:paraId="5B19FF7A" w14:textId="77777777" w:rsidR="00D26D97" w:rsidRDefault="00D26D97" w:rsidP="00C4601C">
      <w:pPr>
        <w:spacing w:line="360" w:lineRule="auto"/>
        <w:rPr>
          <w:rFonts w:ascii="Times New Roman" w:hAnsi="Times New Roman" w:cs="Times New Roman"/>
          <w:sz w:val="24"/>
          <w:szCs w:val="24"/>
        </w:rPr>
      </w:pPr>
    </w:p>
    <w:p w14:paraId="0F1D3BEE" w14:textId="77777777" w:rsidR="00D26D97" w:rsidRDefault="00D26D97" w:rsidP="00C4601C">
      <w:pPr>
        <w:spacing w:line="360" w:lineRule="auto"/>
        <w:rPr>
          <w:rFonts w:ascii="Times New Roman" w:hAnsi="Times New Roman" w:cs="Times New Roman"/>
          <w:sz w:val="24"/>
          <w:szCs w:val="24"/>
        </w:rPr>
      </w:pPr>
    </w:p>
    <w:p w14:paraId="22EA4FA7" w14:textId="77777777" w:rsidR="00D26D97" w:rsidRDefault="00D26D97" w:rsidP="00C4601C">
      <w:pPr>
        <w:spacing w:line="360" w:lineRule="auto"/>
        <w:rPr>
          <w:rFonts w:ascii="Times New Roman" w:hAnsi="Times New Roman" w:cs="Times New Roman"/>
          <w:sz w:val="24"/>
          <w:szCs w:val="24"/>
        </w:rPr>
      </w:pPr>
    </w:p>
    <w:p w14:paraId="554984E2" w14:textId="77777777" w:rsidR="00C4601C" w:rsidRDefault="004C74AA" w:rsidP="004C74AA">
      <w:pPr>
        <w:spacing w:line="360" w:lineRule="auto"/>
        <w:ind w:firstLine="720"/>
        <w:jc w:val="center"/>
        <w:rPr>
          <w:rFonts w:ascii="Times New Roman" w:hAnsi="Times New Roman" w:cs="Times New Roman"/>
          <w:b/>
          <w:sz w:val="24"/>
          <w:szCs w:val="24"/>
        </w:rPr>
      </w:pPr>
      <w:r w:rsidRPr="004C74AA">
        <w:rPr>
          <w:rFonts w:ascii="Times New Roman" w:hAnsi="Times New Roman" w:cs="Times New Roman"/>
          <w:b/>
          <w:sz w:val="24"/>
          <w:szCs w:val="24"/>
        </w:rPr>
        <w:t>Asthma &amp; COPD hospitalizations in Australia</w:t>
      </w:r>
    </w:p>
    <w:p w14:paraId="6AD5DD48" w14:textId="77777777" w:rsidR="00D26D97" w:rsidRDefault="00D26D97" w:rsidP="004C74AA">
      <w:pPr>
        <w:spacing w:line="360" w:lineRule="auto"/>
        <w:ind w:firstLine="720"/>
        <w:jc w:val="center"/>
        <w:rPr>
          <w:rFonts w:ascii="Times New Roman" w:hAnsi="Times New Roman" w:cs="Times New Roman"/>
          <w:sz w:val="24"/>
          <w:szCs w:val="24"/>
        </w:rPr>
      </w:pPr>
    </w:p>
    <w:p w14:paraId="20256C55" w14:textId="77777777" w:rsidR="00D26D97" w:rsidRDefault="00D26D97" w:rsidP="004C74AA">
      <w:pPr>
        <w:spacing w:line="360" w:lineRule="auto"/>
        <w:ind w:firstLine="720"/>
        <w:jc w:val="center"/>
        <w:rPr>
          <w:rFonts w:ascii="Times New Roman" w:hAnsi="Times New Roman" w:cs="Times New Roman"/>
          <w:sz w:val="24"/>
          <w:szCs w:val="24"/>
        </w:rPr>
      </w:pPr>
    </w:p>
    <w:p w14:paraId="2D2CC430" w14:textId="77777777" w:rsidR="00D26D97" w:rsidRDefault="00D26D97" w:rsidP="004C74AA">
      <w:pPr>
        <w:spacing w:line="360" w:lineRule="auto"/>
        <w:ind w:firstLine="720"/>
        <w:jc w:val="center"/>
        <w:rPr>
          <w:rFonts w:ascii="Times New Roman" w:hAnsi="Times New Roman" w:cs="Times New Roman"/>
          <w:sz w:val="24"/>
          <w:szCs w:val="24"/>
        </w:rPr>
      </w:pPr>
    </w:p>
    <w:p w14:paraId="007BB336" w14:textId="56B9B39F" w:rsidR="004C74AA" w:rsidRDefault="004C74AA" w:rsidP="004C74AA">
      <w:pPr>
        <w:spacing w:line="360" w:lineRule="auto"/>
        <w:ind w:firstLine="720"/>
        <w:jc w:val="center"/>
        <w:rPr>
          <w:rFonts w:ascii="Times New Roman" w:hAnsi="Times New Roman" w:cs="Times New Roman"/>
          <w:sz w:val="24"/>
          <w:szCs w:val="24"/>
        </w:rPr>
      </w:pPr>
      <w:r>
        <w:rPr>
          <w:rFonts w:ascii="Times New Roman" w:hAnsi="Times New Roman" w:cs="Times New Roman"/>
          <w:sz w:val="24"/>
          <w:szCs w:val="24"/>
        </w:rPr>
        <w:t>Student name</w:t>
      </w:r>
    </w:p>
    <w:p w14:paraId="2496E1AE" w14:textId="77777777" w:rsidR="004C74AA" w:rsidRDefault="004C74AA" w:rsidP="004C74AA">
      <w:pPr>
        <w:spacing w:line="36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14:paraId="4B5C997E" w14:textId="77777777" w:rsidR="004C74AA" w:rsidRDefault="004C74AA" w:rsidP="004C74AA">
      <w:pPr>
        <w:spacing w:line="36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14:paraId="3A794E7A" w14:textId="77777777" w:rsidR="004C74AA" w:rsidRDefault="004C74AA" w:rsidP="004C74AA">
      <w:pPr>
        <w:spacing w:line="36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14:paraId="5AC47C6E" w14:textId="77777777" w:rsidR="004C74AA" w:rsidRPr="004C74AA" w:rsidRDefault="004C74AA" w:rsidP="004C74AA">
      <w:pPr>
        <w:spacing w:line="360" w:lineRule="auto"/>
        <w:ind w:firstLine="720"/>
        <w:jc w:val="center"/>
        <w:rPr>
          <w:rFonts w:ascii="Times New Roman" w:hAnsi="Times New Roman" w:cs="Times New Roman"/>
          <w:sz w:val="24"/>
          <w:szCs w:val="24"/>
        </w:rPr>
      </w:pPr>
    </w:p>
    <w:p w14:paraId="3EE66732" w14:textId="77777777" w:rsidR="004C74AA" w:rsidRDefault="004C74AA" w:rsidP="00C4601C">
      <w:pPr>
        <w:spacing w:line="360" w:lineRule="auto"/>
        <w:ind w:firstLine="720"/>
        <w:rPr>
          <w:rFonts w:ascii="Times New Roman" w:hAnsi="Times New Roman" w:cs="Times New Roman"/>
          <w:sz w:val="24"/>
          <w:szCs w:val="24"/>
        </w:rPr>
      </w:pPr>
    </w:p>
    <w:p w14:paraId="2811BDD6" w14:textId="77777777" w:rsidR="004C74AA" w:rsidRDefault="004C74AA" w:rsidP="004C74AA">
      <w:pPr>
        <w:spacing w:line="360" w:lineRule="auto"/>
        <w:ind w:firstLine="720"/>
        <w:jc w:val="center"/>
        <w:rPr>
          <w:rFonts w:ascii="Times New Roman" w:hAnsi="Times New Roman" w:cs="Times New Roman"/>
          <w:sz w:val="24"/>
          <w:szCs w:val="24"/>
        </w:rPr>
      </w:pPr>
    </w:p>
    <w:p w14:paraId="4BAC77F5" w14:textId="77777777" w:rsidR="004C74AA" w:rsidRDefault="004C74AA" w:rsidP="00C4601C">
      <w:pPr>
        <w:spacing w:line="360" w:lineRule="auto"/>
        <w:ind w:firstLine="720"/>
        <w:rPr>
          <w:rFonts w:ascii="Times New Roman" w:hAnsi="Times New Roman" w:cs="Times New Roman"/>
          <w:sz w:val="24"/>
          <w:szCs w:val="24"/>
        </w:rPr>
      </w:pPr>
    </w:p>
    <w:p w14:paraId="3282DB34" w14:textId="77777777" w:rsidR="004C74AA" w:rsidRDefault="004C74AA" w:rsidP="00C4601C">
      <w:pPr>
        <w:spacing w:line="360" w:lineRule="auto"/>
        <w:ind w:firstLine="720"/>
        <w:rPr>
          <w:rFonts w:ascii="Times New Roman" w:hAnsi="Times New Roman" w:cs="Times New Roman"/>
          <w:sz w:val="24"/>
          <w:szCs w:val="24"/>
        </w:rPr>
      </w:pPr>
    </w:p>
    <w:p w14:paraId="612034A1" w14:textId="77777777" w:rsidR="004C74AA" w:rsidRDefault="004C74AA" w:rsidP="00C4601C">
      <w:pPr>
        <w:spacing w:line="360" w:lineRule="auto"/>
        <w:ind w:firstLine="720"/>
        <w:rPr>
          <w:rFonts w:ascii="Times New Roman" w:hAnsi="Times New Roman" w:cs="Times New Roman"/>
          <w:sz w:val="24"/>
          <w:szCs w:val="24"/>
        </w:rPr>
      </w:pPr>
    </w:p>
    <w:p w14:paraId="2B8FDD0E" w14:textId="77777777" w:rsidR="004C74AA" w:rsidRDefault="004C74AA" w:rsidP="00C4601C">
      <w:pPr>
        <w:spacing w:line="360" w:lineRule="auto"/>
        <w:ind w:firstLine="720"/>
        <w:rPr>
          <w:rFonts w:ascii="Times New Roman" w:hAnsi="Times New Roman" w:cs="Times New Roman"/>
          <w:sz w:val="24"/>
          <w:szCs w:val="24"/>
        </w:rPr>
      </w:pPr>
    </w:p>
    <w:p w14:paraId="49203063" w14:textId="77777777" w:rsidR="004C74AA" w:rsidRDefault="004C74AA" w:rsidP="00C4601C">
      <w:pPr>
        <w:spacing w:line="360" w:lineRule="auto"/>
        <w:ind w:firstLine="720"/>
        <w:rPr>
          <w:rFonts w:ascii="Times New Roman" w:hAnsi="Times New Roman" w:cs="Times New Roman"/>
          <w:sz w:val="24"/>
          <w:szCs w:val="24"/>
        </w:rPr>
      </w:pPr>
    </w:p>
    <w:p w14:paraId="1D9F08DB" w14:textId="77777777" w:rsidR="004C74AA" w:rsidRDefault="004C74AA" w:rsidP="004C74AA">
      <w:pPr>
        <w:spacing w:line="360" w:lineRule="auto"/>
        <w:rPr>
          <w:rFonts w:ascii="Times New Roman" w:hAnsi="Times New Roman" w:cs="Times New Roman"/>
          <w:sz w:val="24"/>
          <w:szCs w:val="24"/>
        </w:rPr>
      </w:pPr>
    </w:p>
    <w:p w14:paraId="71ED0309" w14:textId="347C7D67" w:rsidR="00D26D97" w:rsidRDefault="00D26D97" w:rsidP="0043179E">
      <w:pPr>
        <w:spacing w:line="360" w:lineRule="auto"/>
        <w:ind w:firstLine="720"/>
        <w:rPr>
          <w:rFonts w:ascii="Times New Roman" w:hAnsi="Times New Roman" w:cs="Times New Roman"/>
          <w:sz w:val="24"/>
          <w:szCs w:val="24"/>
        </w:rPr>
      </w:pPr>
      <w:r w:rsidRPr="00D26D97">
        <w:rPr>
          <w:rFonts w:ascii="Times New Roman" w:hAnsi="Times New Roman" w:cs="Times New Roman"/>
          <w:sz w:val="24"/>
          <w:szCs w:val="24"/>
        </w:rPr>
        <w:lastRenderedPageBreak/>
        <w:t>There are a lot of striking patterns and configurations shown by the data depicting the aging spread of asthma and chronic obstructive pulmonary disease (COPD) in Australia from 2017 to 2021. People of all ages may be affected by asthma, since it is a respiratory illness. Asthma rates across various age groups are included in the data. Here is a breakdown of the age distribution:</w:t>
      </w:r>
    </w:p>
    <w:p w14:paraId="76BB0CAC" w14:textId="1846DF30" w:rsidR="007202B6" w:rsidRPr="007202B6" w:rsidRDefault="007202B6" w:rsidP="0043179E">
      <w:pPr>
        <w:spacing w:line="360" w:lineRule="auto"/>
        <w:ind w:firstLine="720"/>
        <w:rPr>
          <w:rFonts w:ascii="Times New Roman" w:hAnsi="Times New Roman" w:cs="Times New Roman"/>
          <w:sz w:val="24"/>
          <w:szCs w:val="24"/>
        </w:rPr>
      </w:pPr>
      <w:r w:rsidRPr="007202B6">
        <w:rPr>
          <w:rFonts w:ascii="Times New Roman" w:hAnsi="Times New Roman" w:cs="Times New Roman"/>
          <w:b/>
          <w:bCs/>
          <w:sz w:val="24"/>
          <w:szCs w:val="24"/>
        </w:rPr>
        <w:t>Children and Adolescents (0-19 years)</w:t>
      </w:r>
      <w:r w:rsidRPr="007202B6">
        <w:rPr>
          <w:rFonts w:ascii="Times New Roman" w:hAnsi="Times New Roman" w:cs="Times New Roman"/>
          <w:sz w:val="24"/>
          <w:szCs w:val="24"/>
        </w:rPr>
        <w:t>:</w:t>
      </w:r>
    </w:p>
    <w:p w14:paraId="36EBC734" w14:textId="7427A25D" w:rsid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The data points to a high rate of asthma-related hospitalizations among children younger than four. There were 17,823 inpatients in 2017–2018, however that number is expected to drop to 16,191 in 2019–2020. This decline in childhood asthma prevalence may be attributable to more effective treatment protocols.</w:t>
      </w:r>
    </w:p>
    <w:p w14:paraId="7CDB3CF5" w14:textId="0688532E" w:rsidR="007202B6" w:rsidRPr="007202B6" w:rsidRDefault="007202B6" w:rsidP="00547867">
      <w:pPr>
        <w:spacing w:line="360" w:lineRule="auto"/>
        <w:ind w:left="720"/>
        <w:rPr>
          <w:rFonts w:ascii="Times New Roman" w:hAnsi="Times New Roman" w:cs="Times New Roman"/>
          <w:sz w:val="24"/>
          <w:szCs w:val="24"/>
        </w:rPr>
      </w:pPr>
      <w:r w:rsidRPr="007202B6">
        <w:rPr>
          <w:rFonts w:ascii="Times New Roman" w:hAnsi="Times New Roman" w:cs="Times New Roman"/>
          <w:b/>
          <w:bCs/>
          <w:sz w:val="24"/>
          <w:szCs w:val="24"/>
        </w:rPr>
        <w:t>Young Adults (20-44 years)</w:t>
      </w:r>
      <w:r w:rsidRPr="007202B6">
        <w:rPr>
          <w:rFonts w:ascii="Times New Roman" w:hAnsi="Times New Roman" w:cs="Times New Roman"/>
          <w:sz w:val="24"/>
          <w:szCs w:val="24"/>
        </w:rPr>
        <w:t>:</w:t>
      </w:r>
    </w:p>
    <w:p w14:paraId="6E16608B" w14:textId="0B346587" w:rsid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Asthma hospitalization rates varied by year in a group of people aged 20 to 44. Asthma is an issue for young adults, with the highest numbers seen in those between the ages of 20 and 24.</w:t>
      </w:r>
    </w:p>
    <w:p w14:paraId="02A89D65" w14:textId="12C6C23D" w:rsidR="007202B6" w:rsidRPr="007202B6" w:rsidRDefault="007202B6" w:rsidP="00C81D77">
      <w:pPr>
        <w:spacing w:line="360" w:lineRule="auto"/>
        <w:ind w:left="720"/>
        <w:rPr>
          <w:rFonts w:ascii="Times New Roman" w:hAnsi="Times New Roman" w:cs="Times New Roman"/>
          <w:sz w:val="24"/>
          <w:szCs w:val="24"/>
        </w:rPr>
      </w:pPr>
      <w:r w:rsidRPr="007202B6">
        <w:rPr>
          <w:rFonts w:ascii="Times New Roman" w:hAnsi="Times New Roman" w:cs="Times New Roman"/>
          <w:b/>
          <w:bCs/>
          <w:sz w:val="24"/>
          <w:szCs w:val="24"/>
        </w:rPr>
        <w:t>Middle-Aged Adults (45-64 years)</w:t>
      </w:r>
      <w:r w:rsidRPr="007202B6">
        <w:rPr>
          <w:rFonts w:ascii="Times New Roman" w:hAnsi="Times New Roman" w:cs="Times New Roman"/>
          <w:sz w:val="24"/>
          <w:szCs w:val="24"/>
        </w:rPr>
        <w:t>:</w:t>
      </w:r>
    </w:p>
    <w:p w14:paraId="19AAD8CE" w14:textId="77777777" w:rsidR="007202B6" w:rsidRPr="007202B6" w:rsidRDefault="007202B6" w:rsidP="00C81D77">
      <w:pPr>
        <w:spacing w:line="360" w:lineRule="auto"/>
        <w:ind w:firstLine="720"/>
        <w:rPr>
          <w:rFonts w:ascii="Times New Roman" w:hAnsi="Times New Roman" w:cs="Times New Roman"/>
          <w:sz w:val="24"/>
          <w:szCs w:val="24"/>
        </w:rPr>
      </w:pPr>
      <w:r w:rsidRPr="007202B6">
        <w:rPr>
          <w:rFonts w:ascii="Times New Roman" w:hAnsi="Times New Roman" w:cs="Times New Roman"/>
          <w:sz w:val="24"/>
          <w:szCs w:val="24"/>
        </w:rPr>
        <w:t xml:space="preserve">Hospitalizations for asthma in the 45-64 </w:t>
      </w:r>
      <w:r w:rsidR="00C81D77" w:rsidRPr="007202B6">
        <w:rPr>
          <w:rFonts w:ascii="Times New Roman" w:hAnsi="Times New Roman" w:cs="Times New Roman"/>
          <w:sz w:val="24"/>
          <w:szCs w:val="24"/>
        </w:rPr>
        <w:t>era</w:t>
      </w:r>
      <w:r w:rsidR="00C81D77">
        <w:rPr>
          <w:rFonts w:ascii="Times New Roman" w:hAnsi="Times New Roman" w:cs="Times New Roman"/>
          <w:sz w:val="24"/>
          <w:szCs w:val="24"/>
        </w:rPr>
        <w:t xml:space="preserve"> bracket</w:t>
      </w:r>
      <w:r w:rsidRPr="007202B6">
        <w:rPr>
          <w:rFonts w:ascii="Times New Roman" w:hAnsi="Times New Roman" w:cs="Times New Roman"/>
          <w:sz w:val="24"/>
          <w:szCs w:val="24"/>
        </w:rPr>
        <w:t xml:space="preserve"> </w:t>
      </w:r>
      <w:r w:rsidR="00C81D77" w:rsidRPr="007202B6">
        <w:rPr>
          <w:rFonts w:ascii="Times New Roman" w:hAnsi="Times New Roman" w:cs="Times New Roman"/>
          <w:sz w:val="24"/>
          <w:szCs w:val="24"/>
        </w:rPr>
        <w:t>continued</w:t>
      </w:r>
      <w:r w:rsidRPr="007202B6">
        <w:rPr>
          <w:rFonts w:ascii="Times New Roman" w:hAnsi="Times New Roman" w:cs="Times New Roman"/>
          <w:sz w:val="24"/>
          <w:szCs w:val="24"/>
        </w:rPr>
        <w:t xml:space="preserve"> </w:t>
      </w:r>
      <w:r w:rsidR="00C81D77" w:rsidRPr="007202B6">
        <w:rPr>
          <w:rFonts w:ascii="Times New Roman" w:hAnsi="Times New Roman" w:cs="Times New Roman"/>
          <w:sz w:val="24"/>
          <w:szCs w:val="24"/>
        </w:rPr>
        <w:t>fairly</w:t>
      </w:r>
      <w:r w:rsidRPr="007202B6">
        <w:rPr>
          <w:rFonts w:ascii="Times New Roman" w:hAnsi="Times New Roman" w:cs="Times New Roman"/>
          <w:sz w:val="24"/>
          <w:szCs w:val="24"/>
        </w:rPr>
        <w:t xml:space="preserve"> </w:t>
      </w:r>
      <w:r w:rsidR="00C81D77" w:rsidRPr="007202B6">
        <w:rPr>
          <w:rFonts w:ascii="Times New Roman" w:hAnsi="Times New Roman" w:cs="Times New Roman"/>
          <w:sz w:val="24"/>
          <w:szCs w:val="24"/>
        </w:rPr>
        <w:t>steady</w:t>
      </w:r>
      <w:r w:rsidRPr="007202B6">
        <w:rPr>
          <w:rFonts w:ascii="Times New Roman" w:hAnsi="Times New Roman" w:cs="Times New Roman"/>
          <w:sz w:val="24"/>
          <w:szCs w:val="24"/>
        </w:rPr>
        <w:t xml:space="preserve"> over the </w:t>
      </w:r>
      <w:r w:rsidR="00C81D77" w:rsidRPr="007202B6">
        <w:rPr>
          <w:rFonts w:ascii="Times New Roman" w:hAnsi="Times New Roman" w:cs="Times New Roman"/>
          <w:sz w:val="24"/>
          <w:szCs w:val="24"/>
        </w:rPr>
        <w:t>eons</w:t>
      </w:r>
      <w:r w:rsidRPr="007202B6">
        <w:rPr>
          <w:rFonts w:ascii="Times New Roman" w:hAnsi="Times New Roman" w:cs="Times New Roman"/>
          <w:sz w:val="24"/>
          <w:szCs w:val="24"/>
        </w:rPr>
        <w:t xml:space="preserve">, with a </w:t>
      </w:r>
      <w:r w:rsidR="00C81D77" w:rsidRPr="007202B6">
        <w:rPr>
          <w:rFonts w:ascii="Times New Roman" w:hAnsi="Times New Roman" w:cs="Times New Roman"/>
          <w:sz w:val="24"/>
          <w:szCs w:val="24"/>
        </w:rPr>
        <w:t>topmost</w:t>
      </w:r>
      <w:r w:rsidRPr="007202B6">
        <w:rPr>
          <w:rFonts w:ascii="Times New Roman" w:hAnsi="Times New Roman" w:cs="Times New Roman"/>
          <w:sz w:val="24"/>
          <w:szCs w:val="24"/>
        </w:rPr>
        <w:t xml:space="preserve"> in the 45-49 </w:t>
      </w:r>
      <w:r w:rsidR="00C81D77" w:rsidRPr="007202B6">
        <w:rPr>
          <w:rFonts w:ascii="Times New Roman" w:hAnsi="Times New Roman" w:cs="Times New Roman"/>
          <w:sz w:val="24"/>
          <w:szCs w:val="24"/>
        </w:rPr>
        <w:t>phase</w:t>
      </w:r>
      <w:r w:rsidRPr="007202B6">
        <w:rPr>
          <w:rFonts w:ascii="Times New Roman" w:hAnsi="Times New Roman" w:cs="Times New Roman"/>
          <w:sz w:val="24"/>
          <w:szCs w:val="24"/>
        </w:rPr>
        <w:t xml:space="preserve"> </w:t>
      </w:r>
      <w:r w:rsidR="00C81D77" w:rsidRPr="007202B6">
        <w:rPr>
          <w:rFonts w:ascii="Times New Roman" w:hAnsi="Times New Roman" w:cs="Times New Roman"/>
          <w:sz w:val="24"/>
          <w:szCs w:val="24"/>
        </w:rPr>
        <w:t>clutch</w:t>
      </w:r>
      <w:r w:rsidRPr="007202B6">
        <w:rPr>
          <w:rFonts w:ascii="Times New Roman" w:hAnsi="Times New Roman" w:cs="Times New Roman"/>
          <w:sz w:val="24"/>
          <w:szCs w:val="24"/>
        </w:rPr>
        <w:t xml:space="preserve"> in 2017-</w:t>
      </w:r>
      <w:r w:rsidR="00C81D77">
        <w:rPr>
          <w:rFonts w:ascii="Times New Roman" w:hAnsi="Times New Roman" w:cs="Times New Roman"/>
          <w:sz w:val="24"/>
          <w:szCs w:val="24"/>
        </w:rPr>
        <w:t>2018</w:t>
      </w:r>
      <w:r w:rsidRPr="007202B6">
        <w:rPr>
          <w:rFonts w:ascii="Times New Roman" w:hAnsi="Times New Roman" w:cs="Times New Roman"/>
          <w:sz w:val="24"/>
          <w:szCs w:val="24"/>
        </w:rPr>
        <w:t>.</w:t>
      </w:r>
    </w:p>
    <w:p w14:paraId="4A4C0849" w14:textId="77777777" w:rsidR="007202B6" w:rsidRPr="007202B6" w:rsidRDefault="007202B6" w:rsidP="00C81D77">
      <w:pPr>
        <w:spacing w:line="360" w:lineRule="auto"/>
        <w:ind w:left="720"/>
        <w:rPr>
          <w:rFonts w:ascii="Times New Roman" w:hAnsi="Times New Roman" w:cs="Times New Roman"/>
          <w:sz w:val="24"/>
          <w:szCs w:val="24"/>
        </w:rPr>
      </w:pPr>
      <w:r w:rsidRPr="007202B6">
        <w:rPr>
          <w:rFonts w:ascii="Times New Roman" w:hAnsi="Times New Roman" w:cs="Times New Roman"/>
          <w:b/>
          <w:bCs/>
          <w:sz w:val="24"/>
          <w:szCs w:val="24"/>
        </w:rPr>
        <w:t>Older Adults (65+ years)</w:t>
      </w:r>
      <w:r w:rsidRPr="007202B6">
        <w:rPr>
          <w:rFonts w:ascii="Times New Roman" w:hAnsi="Times New Roman" w:cs="Times New Roman"/>
          <w:sz w:val="24"/>
          <w:szCs w:val="24"/>
        </w:rPr>
        <w:t>:</w:t>
      </w:r>
    </w:p>
    <w:p w14:paraId="4D743152" w14:textId="2C531AB5" w:rsid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 xml:space="preserve">Asthma-related hospitalizations seem to decrease in the elderly, as shown by the data. On the other hand, there are still a substantial number of occurrences in the age groups of 65-69 and 70-74. Tobacco </w:t>
      </w:r>
      <w:proofErr w:type="gramStart"/>
      <w:r w:rsidR="00D26D97" w:rsidRPr="00D26D97">
        <w:rPr>
          <w:rFonts w:ascii="Times New Roman" w:hAnsi="Times New Roman" w:cs="Times New Roman"/>
          <w:sz w:val="24"/>
          <w:szCs w:val="24"/>
        </w:rPr>
        <w:t>use</w:t>
      </w:r>
      <w:proofErr w:type="gramEnd"/>
      <w:r w:rsidR="00D26D97" w:rsidRPr="00D26D97">
        <w:rPr>
          <w:rFonts w:ascii="Times New Roman" w:hAnsi="Times New Roman" w:cs="Times New Roman"/>
          <w:sz w:val="24"/>
          <w:szCs w:val="24"/>
        </w:rPr>
        <w:t xml:space="preserve"> over a long period of time and advanced age are strong risk factors for developing chronic obstructive pulmonary disease (COPD), a progressive respiratory illness. Data obscures COPD age distribution as follows:</w:t>
      </w:r>
    </w:p>
    <w:p w14:paraId="374A6354" w14:textId="0D6742A3" w:rsidR="007202B6" w:rsidRPr="007202B6" w:rsidRDefault="007202B6" w:rsidP="00F853FB">
      <w:pPr>
        <w:spacing w:line="360" w:lineRule="auto"/>
        <w:ind w:left="720"/>
        <w:rPr>
          <w:rFonts w:ascii="Times New Roman" w:hAnsi="Times New Roman" w:cs="Times New Roman"/>
          <w:sz w:val="24"/>
          <w:szCs w:val="24"/>
        </w:rPr>
      </w:pPr>
      <w:r w:rsidRPr="007202B6">
        <w:rPr>
          <w:rFonts w:ascii="Times New Roman" w:hAnsi="Times New Roman" w:cs="Times New Roman"/>
          <w:b/>
          <w:bCs/>
          <w:sz w:val="24"/>
          <w:szCs w:val="24"/>
        </w:rPr>
        <w:t>Middle-Aged Adults (45-64 years)</w:t>
      </w:r>
      <w:r w:rsidRPr="007202B6">
        <w:rPr>
          <w:rFonts w:ascii="Times New Roman" w:hAnsi="Times New Roman" w:cs="Times New Roman"/>
          <w:sz w:val="24"/>
          <w:szCs w:val="24"/>
        </w:rPr>
        <w:t>:</w:t>
      </w:r>
    </w:p>
    <w:p w14:paraId="1C3E690A" w14:textId="03F0149A" w:rsid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Pr="009D5F22">
        <w:rPr>
          <w:rFonts w:ascii="Times New Roman" w:hAnsi="Times New Roman" w:cs="Times New Roman"/>
          <w:sz w:val="24"/>
          <w:szCs w:val="24"/>
        </w:rPr>
        <w:t>Hospitalization rates for COPD rise dramatically with age, most noticeably between the ages of 45 and 49 and 55 and 59. In 2017-2018, 4,940 people between the ages of 45 and 49 were admitted to hospitals.</w:t>
      </w:r>
    </w:p>
    <w:p w14:paraId="67FBC7D2" w14:textId="4863158C" w:rsidR="007202B6" w:rsidRPr="007202B6" w:rsidRDefault="007202B6" w:rsidP="00F853FB">
      <w:pPr>
        <w:spacing w:line="360" w:lineRule="auto"/>
        <w:ind w:left="720"/>
        <w:rPr>
          <w:rFonts w:ascii="Times New Roman" w:hAnsi="Times New Roman" w:cs="Times New Roman"/>
          <w:sz w:val="24"/>
          <w:szCs w:val="24"/>
        </w:rPr>
      </w:pPr>
      <w:r w:rsidRPr="007202B6">
        <w:rPr>
          <w:rFonts w:ascii="Times New Roman" w:hAnsi="Times New Roman" w:cs="Times New Roman"/>
          <w:b/>
          <w:bCs/>
          <w:sz w:val="24"/>
          <w:szCs w:val="24"/>
        </w:rPr>
        <w:t>Older Adults (65+ years)</w:t>
      </w:r>
      <w:r w:rsidRPr="007202B6">
        <w:rPr>
          <w:rFonts w:ascii="Times New Roman" w:hAnsi="Times New Roman" w:cs="Times New Roman"/>
          <w:sz w:val="24"/>
          <w:szCs w:val="24"/>
        </w:rPr>
        <w:t>:</w:t>
      </w:r>
    </w:p>
    <w:p w14:paraId="6BE1D6DA" w14:textId="2F8CBE13" w:rsidR="00D26D97" w:rsidRP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D26D97" w:rsidRPr="00D26D97">
        <w:rPr>
          <w:rFonts w:ascii="Times New Roman" w:hAnsi="Times New Roman" w:cs="Times New Roman"/>
          <w:sz w:val="24"/>
          <w:szCs w:val="24"/>
        </w:rPr>
        <w:t>There has been a significant increase in COPD hospitalizations among those aged 65–69, 70–74, and 75–79. The number of hospitalizations for those aged 65–69 increased from 30,206 in 2017–2018 to 37,269 in 2019–2020.</w:t>
      </w:r>
    </w:p>
    <w:p w14:paraId="48B56ACE" w14:textId="4564B525" w:rsid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Hospitalization rates for chronic obstructive pulmonary disease (COPD) are also low among those aged 80–84 and 85+, suggesting that COPD is an illness that disproportionately affects the elderly population.</w:t>
      </w:r>
    </w:p>
    <w:p w14:paraId="50FA809A" w14:textId="6F3B1584" w:rsidR="007202B6" w:rsidRPr="007202B6" w:rsidRDefault="007202B6" w:rsidP="007202B6">
      <w:pPr>
        <w:spacing w:line="360" w:lineRule="auto"/>
        <w:rPr>
          <w:rFonts w:ascii="Times New Roman" w:hAnsi="Times New Roman" w:cs="Times New Roman"/>
          <w:sz w:val="24"/>
          <w:szCs w:val="24"/>
        </w:rPr>
      </w:pPr>
      <w:r w:rsidRPr="00415386">
        <w:rPr>
          <w:rFonts w:ascii="Times New Roman" w:hAnsi="Times New Roman" w:cs="Times New Roman"/>
          <w:b/>
          <w:sz w:val="24"/>
          <w:szCs w:val="24"/>
        </w:rPr>
        <w:t>Key Observations</w:t>
      </w:r>
      <w:r w:rsidRPr="007202B6">
        <w:rPr>
          <w:rFonts w:ascii="Times New Roman" w:hAnsi="Times New Roman" w:cs="Times New Roman"/>
          <w:sz w:val="24"/>
          <w:szCs w:val="24"/>
        </w:rPr>
        <w:t>:</w:t>
      </w:r>
    </w:p>
    <w:p w14:paraId="56900D6D" w14:textId="22629D2A" w:rsidR="00D26D97" w:rsidRP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The prevalence of asthma is highest in children and young adults, and hospitalization rates tend to decline as people reach their mid-20s</w:t>
      </w:r>
      <w:r w:rsidR="00C47E04">
        <w:rPr>
          <w:rFonts w:ascii="Times New Roman" w:hAnsi="Times New Roman" w:cs="Times New Roman"/>
          <w:sz w:val="24"/>
          <w:szCs w:val="24"/>
        </w:rPr>
        <w:t xml:space="preserve"> (Conti et al., 2019)</w:t>
      </w:r>
      <w:r w:rsidR="00D26D97" w:rsidRPr="00D26D97">
        <w:rPr>
          <w:rFonts w:ascii="Times New Roman" w:hAnsi="Times New Roman" w:cs="Times New Roman"/>
          <w:sz w:val="24"/>
          <w:szCs w:val="24"/>
        </w:rPr>
        <w:t>. While the overall number of hospitalizations for asthma in adults has decreased, there is still cause for concern among those aged 45 to 49.</w:t>
      </w:r>
    </w:p>
    <w:p w14:paraId="6F5FFE50" w14:textId="567B321A" w:rsidR="00D26D97" w:rsidRP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In contrast, COPD becomes more ominous in middle-aged and elderly adults, with hospitalization rates rising proportionally with age. Particularly vulnerable to COPD are those between the ages of 65 and 74.  While hospitalizations for asthma decrease in the elderly population, COPD hospitalizations increase. This highlights the unique characteristics of these two respiratory diseases and the age-related risk factors for them.</w:t>
      </w:r>
    </w:p>
    <w:p w14:paraId="50AC3C98" w14:textId="6FC43D93" w:rsidR="00D26D97" w:rsidRP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Asthma and chronic obstructive pulmonary disease hospitalizations show regional variations that may be influenced by variables such as shifting infection rates, changing healthcare norms, and conservation efforts.</w:t>
      </w:r>
    </w:p>
    <w:p w14:paraId="5BA3FFCD" w14:textId="68C47533" w:rsid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To sum up, the age distribution of asthma and COPD in Australia highlights the uniqueness of these respiratory conditions in terms of age-related danger. Hospitalization rates for asthma sufferers tend to drop when they reach their mid-20s, making asthma a disease largely of childhood and young adulthood</w:t>
      </w:r>
      <w:r w:rsidR="00C47E04">
        <w:rPr>
          <w:rFonts w:ascii="Times New Roman" w:hAnsi="Times New Roman" w:cs="Times New Roman"/>
          <w:sz w:val="24"/>
          <w:szCs w:val="24"/>
        </w:rPr>
        <w:t xml:space="preserve"> (</w:t>
      </w:r>
      <w:proofErr w:type="spellStart"/>
      <w:r w:rsidR="00C47E04">
        <w:rPr>
          <w:rFonts w:ascii="Times New Roman" w:hAnsi="Times New Roman" w:cs="Times New Roman"/>
          <w:sz w:val="24"/>
          <w:szCs w:val="24"/>
        </w:rPr>
        <w:t>Bashyam</w:t>
      </w:r>
      <w:proofErr w:type="spellEnd"/>
      <w:r w:rsidR="00C47E04">
        <w:rPr>
          <w:rFonts w:ascii="Times New Roman" w:hAnsi="Times New Roman" w:cs="Times New Roman"/>
          <w:sz w:val="24"/>
          <w:szCs w:val="24"/>
        </w:rPr>
        <w:t xml:space="preserve"> et al., 2021)</w:t>
      </w:r>
      <w:r w:rsidR="00D26D97" w:rsidRPr="00D26D97">
        <w:rPr>
          <w:rFonts w:ascii="Times New Roman" w:hAnsi="Times New Roman" w:cs="Times New Roman"/>
          <w:sz w:val="24"/>
          <w:szCs w:val="24"/>
        </w:rPr>
        <w:t xml:space="preserve">. COPD, on the other hand, was shown to be more common in older persons, with hospitalization rates steadily rising with age. </w:t>
      </w:r>
      <w:r w:rsidR="00C47E04">
        <w:rPr>
          <w:rFonts w:ascii="Times New Roman" w:hAnsi="Times New Roman" w:cs="Times New Roman"/>
          <w:sz w:val="24"/>
          <w:szCs w:val="24"/>
        </w:rPr>
        <w:t xml:space="preserve">According to </w:t>
      </w:r>
      <w:proofErr w:type="spellStart"/>
      <w:r w:rsidR="00C47E04">
        <w:rPr>
          <w:rFonts w:ascii="Times New Roman" w:hAnsi="Times New Roman" w:cs="Times New Roman"/>
          <w:sz w:val="24"/>
          <w:szCs w:val="24"/>
        </w:rPr>
        <w:t>Madawala</w:t>
      </w:r>
      <w:proofErr w:type="spellEnd"/>
      <w:r w:rsidR="00C47E04">
        <w:rPr>
          <w:rFonts w:ascii="Times New Roman" w:hAnsi="Times New Roman" w:cs="Times New Roman"/>
          <w:sz w:val="24"/>
          <w:szCs w:val="24"/>
        </w:rPr>
        <w:t xml:space="preserve"> et al (2023), h</w:t>
      </w:r>
      <w:r w:rsidR="00D26D97" w:rsidRPr="00D26D97">
        <w:rPr>
          <w:rFonts w:ascii="Times New Roman" w:hAnsi="Times New Roman" w:cs="Times New Roman"/>
          <w:sz w:val="24"/>
          <w:szCs w:val="24"/>
        </w:rPr>
        <w:t xml:space="preserve">ealthcare scheduling, resource allocation, and targeted anticipatory and administration strategies for various respiratory diseases in Australia rely heavily on these views. From 2017 to 2021, we see a variety of striking patterns and fluctuations in the hospitalization propensity for respiratory disorders, including chronic lower respiratory </w:t>
      </w:r>
      <w:r w:rsidR="00D26D97" w:rsidRPr="00D26D97">
        <w:rPr>
          <w:rFonts w:ascii="Times New Roman" w:hAnsi="Times New Roman" w:cs="Times New Roman"/>
          <w:sz w:val="24"/>
          <w:szCs w:val="24"/>
        </w:rPr>
        <w:lastRenderedPageBreak/>
        <w:t>diseases as COPD and asthma. In order to provide a comprehensive picture, we will break down the tendencies by age groups and disorders in this study.</w:t>
      </w:r>
    </w:p>
    <w:p w14:paraId="43ECDC26" w14:textId="54ABBDFA" w:rsidR="007202B6" w:rsidRPr="007202B6" w:rsidRDefault="007202B6" w:rsidP="007202B6">
      <w:pPr>
        <w:spacing w:line="360" w:lineRule="auto"/>
        <w:rPr>
          <w:rFonts w:ascii="Times New Roman" w:hAnsi="Times New Roman" w:cs="Times New Roman"/>
          <w:sz w:val="24"/>
          <w:szCs w:val="24"/>
        </w:rPr>
      </w:pPr>
      <w:r w:rsidRPr="007202B6">
        <w:rPr>
          <w:rFonts w:ascii="Times New Roman" w:hAnsi="Times New Roman" w:cs="Times New Roman"/>
          <w:b/>
          <w:bCs/>
          <w:sz w:val="24"/>
          <w:szCs w:val="24"/>
        </w:rPr>
        <w:t>Respiratory - Chronic Lower Respiratory - COPD:</w:t>
      </w:r>
    </w:p>
    <w:p w14:paraId="3BE4692D" w14:textId="1913EAC2" w:rsidR="00D26D97" w:rsidRP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The hospitalization data for chronic obstructive pulmonary disease (COPD) from 2017 to 2021 shows a complex evolution. From 2017–18 to 2020–21, hospitalizations for those aged 45–49 fell from 4,940 to 3,694. This might be due to a variety of factors, such as increased awareness and education about the dangers of smoking, improved air quality, or better illness management</w:t>
      </w:r>
      <w:r w:rsidR="00C47E04">
        <w:rPr>
          <w:rFonts w:ascii="Times New Roman" w:hAnsi="Times New Roman" w:cs="Times New Roman"/>
          <w:sz w:val="24"/>
          <w:szCs w:val="24"/>
        </w:rPr>
        <w:t xml:space="preserve"> (</w:t>
      </w:r>
      <w:proofErr w:type="spellStart"/>
      <w:r w:rsidR="00C47E04">
        <w:rPr>
          <w:rFonts w:ascii="Times New Roman" w:hAnsi="Times New Roman" w:cs="Times New Roman"/>
          <w:sz w:val="24"/>
          <w:szCs w:val="24"/>
        </w:rPr>
        <w:t>Budreviciute</w:t>
      </w:r>
      <w:proofErr w:type="spellEnd"/>
      <w:r w:rsidR="00C47E04">
        <w:rPr>
          <w:rFonts w:ascii="Times New Roman" w:hAnsi="Times New Roman" w:cs="Times New Roman"/>
          <w:sz w:val="24"/>
          <w:szCs w:val="24"/>
        </w:rPr>
        <w:t xml:space="preserve"> et al., 2020)</w:t>
      </w:r>
      <w:r w:rsidR="00D26D97" w:rsidRPr="00D26D97">
        <w:rPr>
          <w:rFonts w:ascii="Times New Roman" w:hAnsi="Times New Roman" w:cs="Times New Roman"/>
          <w:sz w:val="24"/>
          <w:szCs w:val="24"/>
        </w:rPr>
        <w:t>. However, in the 50-84 age group, hospitalizations grew steadily over the same time period, with the greatest increase happening between the ages of 70 and 74, and again between 75 and 79. From 2017-18 to 2020-21, hospitalizations for those aged 70-74 decreased to 30,674, while those aged 75-79 increased from 41,150 to 32,312. These tendencies may be explained by the increasing prevalence of COPD among the elderly.</w:t>
      </w:r>
    </w:p>
    <w:p w14:paraId="6C832F0D" w14:textId="488BF493" w:rsidR="00D26D97" w:rsidRDefault="009D5F22" w:rsidP="00D26D97">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Hospitalization rates have consistently been highest among those aged 85 and more, peaking at 42,166 in 2017–2018 and expected to drop to 30,525 in 2020–2021. This decline might be attributable to a shift in how COPD is treated or an aging population. Targeting those aged 0 to 44, the trend remained erratic, although the numbers have been steadily declining from 4,912 in 2017–18 to 4,113 in 2020–21.</w:t>
      </w:r>
    </w:p>
    <w:p w14:paraId="01F87C91" w14:textId="052B630A" w:rsidR="007202B6" w:rsidRPr="007202B6" w:rsidRDefault="007202B6" w:rsidP="007202B6">
      <w:pPr>
        <w:spacing w:line="360" w:lineRule="auto"/>
        <w:rPr>
          <w:rFonts w:ascii="Times New Roman" w:hAnsi="Times New Roman" w:cs="Times New Roman"/>
          <w:sz w:val="24"/>
          <w:szCs w:val="24"/>
        </w:rPr>
      </w:pPr>
      <w:r w:rsidRPr="007202B6">
        <w:rPr>
          <w:rFonts w:ascii="Times New Roman" w:hAnsi="Times New Roman" w:cs="Times New Roman"/>
          <w:b/>
          <w:bCs/>
          <w:sz w:val="24"/>
          <w:szCs w:val="24"/>
        </w:rPr>
        <w:t>Respiratory - Chronic Lower Respiratory - Asthma:</w:t>
      </w:r>
    </w:p>
    <w:p w14:paraId="6F9C1333" w14:textId="1CFEBA33" w:rsidR="00575333" w:rsidRDefault="009D5F22" w:rsidP="007202B6">
      <w:pPr>
        <w:spacing w:line="360" w:lineRule="auto"/>
        <w:rPr>
          <w:rFonts w:ascii="Times New Roman" w:hAnsi="Times New Roman" w:cs="Times New Roman"/>
          <w:sz w:val="24"/>
          <w:szCs w:val="24"/>
        </w:rPr>
      </w:pPr>
      <w:r>
        <w:rPr>
          <w:rFonts w:ascii="Times New Roman" w:hAnsi="Times New Roman" w:cs="Times New Roman"/>
          <w:sz w:val="24"/>
          <w:szCs w:val="24"/>
        </w:rPr>
        <w:tab/>
      </w:r>
      <w:r w:rsidR="00D26D97" w:rsidRPr="00D26D97">
        <w:rPr>
          <w:rFonts w:ascii="Times New Roman" w:hAnsi="Times New Roman" w:cs="Times New Roman"/>
          <w:sz w:val="24"/>
          <w:szCs w:val="24"/>
        </w:rPr>
        <w:t>Asthma and other chronic lung diseases have shown considerable differences in hospitalization trends from 2017 to 2021</w:t>
      </w:r>
      <w:r>
        <w:rPr>
          <w:rFonts w:ascii="Times New Roman" w:hAnsi="Times New Roman" w:cs="Times New Roman"/>
          <w:sz w:val="24"/>
          <w:szCs w:val="24"/>
        </w:rPr>
        <w:t xml:space="preserve"> (</w:t>
      </w:r>
      <w:proofErr w:type="spellStart"/>
      <w:r>
        <w:rPr>
          <w:rFonts w:ascii="Times New Roman" w:hAnsi="Times New Roman" w:cs="Times New Roman"/>
          <w:sz w:val="24"/>
          <w:szCs w:val="24"/>
        </w:rPr>
        <w:t>Soremekun</w:t>
      </w:r>
      <w:proofErr w:type="spellEnd"/>
      <w:r>
        <w:rPr>
          <w:rFonts w:ascii="Times New Roman" w:hAnsi="Times New Roman" w:cs="Times New Roman"/>
          <w:sz w:val="24"/>
          <w:szCs w:val="24"/>
        </w:rPr>
        <w:t xml:space="preserve"> et al., 2023)</w:t>
      </w:r>
      <w:r w:rsidR="00D26D97" w:rsidRPr="00D26D97">
        <w:rPr>
          <w:rFonts w:ascii="Times New Roman" w:hAnsi="Times New Roman" w:cs="Times New Roman"/>
          <w:sz w:val="24"/>
          <w:szCs w:val="24"/>
        </w:rPr>
        <w:t>. Asthma hospitalizations, in contrast to those for COPD, were predicted to rise in more recent surveys. The trend was unstable and skewed toward different age groups. The group of children aged 5 to 9 showed a decline, from 13,404 to 10,241, while the group of children aged 10 to 14 saw a little increase, from 5,388 to 3,948. The number of people aged 15-19 decreased from an initial 3,625 to a final 2,598. Asthma hospitalizations were constant or slightly down in the 20-84 age group, which is consistent with the fact that asthma is easier to control in adults than in children. Hospitalization rates for asthma have been decreasing among children (0-4 and 5-9 age ranges), but have remained steady or decreased across older age groups.</w:t>
      </w:r>
    </w:p>
    <w:p w14:paraId="2C4D870D" w14:textId="77777777" w:rsidR="00C47E04" w:rsidRDefault="00C47E04" w:rsidP="009D5F22">
      <w:pPr>
        <w:spacing w:line="360" w:lineRule="auto"/>
        <w:jc w:val="center"/>
        <w:rPr>
          <w:rFonts w:ascii="Times New Roman" w:hAnsi="Times New Roman" w:cs="Times New Roman"/>
          <w:b/>
          <w:bCs/>
          <w:sz w:val="24"/>
          <w:szCs w:val="24"/>
        </w:rPr>
      </w:pPr>
    </w:p>
    <w:p w14:paraId="5FE4FD60" w14:textId="04A0EA6A" w:rsidR="009D5F22" w:rsidRPr="009D5F22" w:rsidRDefault="009D5F22" w:rsidP="009D5F22">
      <w:pPr>
        <w:spacing w:line="360" w:lineRule="auto"/>
        <w:jc w:val="center"/>
        <w:rPr>
          <w:rFonts w:ascii="Times New Roman" w:hAnsi="Times New Roman" w:cs="Times New Roman"/>
          <w:b/>
          <w:bCs/>
          <w:sz w:val="24"/>
          <w:szCs w:val="24"/>
        </w:rPr>
      </w:pPr>
      <w:r w:rsidRPr="009D5F22">
        <w:rPr>
          <w:rFonts w:ascii="Times New Roman" w:hAnsi="Times New Roman" w:cs="Times New Roman"/>
          <w:b/>
          <w:bCs/>
          <w:sz w:val="24"/>
          <w:szCs w:val="24"/>
        </w:rPr>
        <w:lastRenderedPageBreak/>
        <w:t>References</w:t>
      </w:r>
    </w:p>
    <w:p w14:paraId="62AF0B81" w14:textId="77777777" w:rsidR="00C47E04" w:rsidRPr="00C47E04" w:rsidRDefault="00C47E04" w:rsidP="00C47E04">
      <w:pPr>
        <w:spacing w:line="360" w:lineRule="auto"/>
        <w:ind w:left="720" w:hanging="720"/>
        <w:rPr>
          <w:rFonts w:ascii="Times New Roman" w:hAnsi="Times New Roman" w:cs="Times New Roman"/>
          <w:sz w:val="24"/>
          <w:szCs w:val="24"/>
        </w:rPr>
      </w:pPr>
      <w:proofErr w:type="spellStart"/>
      <w:r w:rsidRPr="00C47E04">
        <w:rPr>
          <w:rFonts w:ascii="Times New Roman" w:hAnsi="Times New Roman" w:cs="Times New Roman"/>
          <w:sz w:val="24"/>
          <w:szCs w:val="24"/>
        </w:rPr>
        <w:t>Bashyam</w:t>
      </w:r>
      <w:proofErr w:type="spellEnd"/>
      <w:r w:rsidRPr="00C47E04">
        <w:rPr>
          <w:rFonts w:ascii="Times New Roman" w:hAnsi="Times New Roman" w:cs="Times New Roman"/>
          <w:sz w:val="24"/>
          <w:szCs w:val="24"/>
        </w:rPr>
        <w:t>, A. M., Ganguli, S., Mahajan, P., &amp; Feldman, S. R. (2021). Lifelong impact of severe atopic dermatitis on quality of life: a case report. </w:t>
      </w:r>
      <w:r w:rsidRPr="00C47E04">
        <w:rPr>
          <w:rFonts w:ascii="Times New Roman" w:hAnsi="Times New Roman" w:cs="Times New Roman"/>
          <w:i/>
          <w:iCs/>
          <w:sz w:val="24"/>
          <w:szCs w:val="24"/>
        </w:rPr>
        <w:t>Dermatology and Therapy</w:t>
      </w:r>
      <w:r w:rsidRPr="00C47E04">
        <w:rPr>
          <w:rFonts w:ascii="Times New Roman" w:hAnsi="Times New Roman" w:cs="Times New Roman"/>
          <w:sz w:val="24"/>
          <w:szCs w:val="24"/>
        </w:rPr>
        <w:t>, </w:t>
      </w:r>
      <w:r w:rsidRPr="00C47E04">
        <w:rPr>
          <w:rFonts w:ascii="Times New Roman" w:hAnsi="Times New Roman" w:cs="Times New Roman"/>
          <w:i/>
          <w:iCs/>
          <w:sz w:val="24"/>
          <w:szCs w:val="24"/>
        </w:rPr>
        <w:t>11</w:t>
      </w:r>
      <w:r w:rsidRPr="00C47E04">
        <w:rPr>
          <w:rFonts w:ascii="Times New Roman" w:hAnsi="Times New Roman" w:cs="Times New Roman"/>
          <w:sz w:val="24"/>
          <w:szCs w:val="24"/>
        </w:rPr>
        <w:t>, 1065-1070.</w:t>
      </w:r>
      <w:r w:rsidRPr="00C47E04">
        <w:rPr>
          <w:rFonts w:ascii="Times New Roman" w:hAnsi="Times New Roman" w:cs="Times New Roman"/>
          <w:color w:val="222222"/>
          <w:sz w:val="24"/>
          <w:szCs w:val="24"/>
          <w:shd w:val="clear" w:color="auto" w:fill="FFFFFF"/>
        </w:rPr>
        <w:t xml:space="preserve"> </w:t>
      </w:r>
      <w:hyperlink r:id="rId7" w:history="1">
        <w:r w:rsidRPr="00C47E04">
          <w:rPr>
            <w:rStyle w:val="Hyperlink"/>
            <w:rFonts w:ascii="Times New Roman" w:hAnsi="Times New Roman" w:cs="Times New Roman"/>
            <w:sz w:val="24"/>
            <w:szCs w:val="24"/>
          </w:rPr>
          <w:t>https://doi.org/10.1007/s13555-021-00515-x</w:t>
        </w:r>
      </w:hyperlink>
    </w:p>
    <w:p w14:paraId="705940E2" w14:textId="77777777" w:rsidR="00C47E04" w:rsidRPr="00C47E04" w:rsidRDefault="00C47E04" w:rsidP="00C47E04">
      <w:pPr>
        <w:spacing w:line="360" w:lineRule="auto"/>
        <w:ind w:left="720" w:hanging="720"/>
        <w:rPr>
          <w:rFonts w:ascii="Times New Roman" w:hAnsi="Times New Roman" w:cs="Times New Roman"/>
          <w:sz w:val="24"/>
          <w:szCs w:val="24"/>
        </w:rPr>
      </w:pPr>
      <w:proofErr w:type="spellStart"/>
      <w:r w:rsidRPr="00C47E04">
        <w:rPr>
          <w:rFonts w:ascii="Times New Roman" w:hAnsi="Times New Roman" w:cs="Times New Roman"/>
          <w:sz w:val="24"/>
          <w:szCs w:val="24"/>
        </w:rPr>
        <w:t>Budreviciute</w:t>
      </w:r>
      <w:proofErr w:type="spellEnd"/>
      <w:r w:rsidRPr="00C47E04">
        <w:rPr>
          <w:rFonts w:ascii="Times New Roman" w:hAnsi="Times New Roman" w:cs="Times New Roman"/>
          <w:sz w:val="24"/>
          <w:szCs w:val="24"/>
        </w:rPr>
        <w:t xml:space="preserve">, A., </w:t>
      </w:r>
      <w:proofErr w:type="spellStart"/>
      <w:r w:rsidRPr="00C47E04">
        <w:rPr>
          <w:rFonts w:ascii="Times New Roman" w:hAnsi="Times New Roman" w:cs="Times New Roman"/>
          <w:sz w:val="24"/>
          <w:szCs w:val="24"/>
        </w:rPr>
        <w:t>Damiati</w:t>
      </w:r>
      <w:proofErr w:type="spellEnd"/>
      <w:r w:rsidRPr="00C47E04">
        <w:rPr>
          <w:rFonts w:ascii="Times New Roman" w:hAnsi="Times New Roman" w:cs="Times New Roman"/>
          <w:sz w:val="24"/>
          <w:szCs w:val="24"/>
        </w:rPr>
        <w:t>, S., Sabir, D. K., Onder, K., Schuller-</w:t>
      </w:r>
      <w:proofErr w:type="spellStart"/>
      <w:r w:rsidRPr="00C47E04">
        <w:rPr>
          <w:rFonts w:ascii="Times New Roman" w:hAnsi="Times New Roman" w:cs="Times New Roman"/>
          <w:sz w:val="24"/>
          <w:szCs w:val="24"/>
        </w:rPr>
        <w:t>Goetzburg</w:t>
      </w:r>
      <w:proofErr w:type="spellEnd"/>
      <w:r w:rsidRPr="00C47E04">
        <w:rPr>
          <w:rFonts w:ascii="Times New Roman" w:hAnsi="Times New Roman" w:cs="Times New Roman"/>
          <w:sz w:val="24"/>
          <w:szCs w:val="24"/>
        </w:rPr>
        <w:t xml:space="preserve">, P., </w:t>
      </w:r>
      <w:proofErr w:type="spellStart"/>
      <w:r w:rsidRPr="00C47E04">
        <w:rPr>
          <w:rFonts w:ascii="Times New Roman" w:hAnsi="Times New Roman" w:cs="Times New Roman"/>
          <w:sz w:val="24"/>
          <w:szCs w:val="24"/>
        </w:rPr>
        <w:t>Plakys</w:t>
      </w:r>
      <w:proofErr w:type="spellEnd"/>
      <w:r w:rsidRPr="00C47E04">
        <w:rPr>
          <w:rFonts w:ascii="Times New Roman" w:hAnsi="Times New Roman" w:cs="Times New Roman"/>
          <w:sz w:val="24"/>
          <w:szCs w:val="24"/>
        </w:rPr>
        <w:t xml:space="preserve">, G., ... &amp; </w:t>
      </w:r>
      <w:proofErr w:type="spellStart"/>
      <w:r w:rsidRPr="00C47E04">
        <w:rPr>
          <w:rFonts w:ascii="Times New Roman" w:hAnsi="Times New Roman" w:cs="Times New Roman"/>
          <w:sz w:val="24"/>
          <w:szCs w:val="24"/>
        </w:rPr>
        <w:t>Kodzius</w:t>
      </w:r>
      <w:proofErr w:type="spellEnd"/>
      <w:r w:rsidRPr="00C47E04">
        <w:rPr>
          <w:rFonts w:ascii="Times New Roman" w:hAnsi="Times New Roman" w:cs="Times New Roman"/>
          <w:sz w:val="24"/>
          <w:szCs w:val="24"/>
        </w:rPr>
        <w:t>, R. (2020). Management and prevention strategies for non-communicable diseases (NCDs) and their risk factors. </w:t>
      </w:r>
      <w:r w:rsidRPr="00C47E04">
        <w:rPr>
          <w:rFonts w:ascii="Times New Roman" w:hAnsi="Times New Roman" w:cs="Times New Roman"/>
          <w:i/>
          <w:iCs/>
          <w:sz w:val="24"/>
          <w:szCs w:val="24"/>
        </w:rPr>
        <w:t>Frontiers in public health</w:t>
      </w:r>
      <w:r w:rsidRPr="00C47E04">
        <w:rPr>
          <w:rFonts w:ascii="Times New Roman" w:hAnsi="Times New Roman" w:cs="Times New Roman"/>
          <w:sz w:val="24"/>
          <w:szCs w:val="24"/>
        </w:rPr>
        <w:t>, </w:t>
      </w:r>
      <w:r w:rsidRPr="00C47E04">
        <w:rPr>
          <w:rFonts w:ascii="Times New Roman" w:hAnsi="Times New Roman" w:cs="Times New Roman"/>
          <w:i/>
          <w:iCs/>
          <w:sz w:val="24"/>
          <w:szCs w:val="24"/>
        </w:rPr>
        <w:t>8</w:t>
      </w:r>
      <w:r w:rsidRPr="00C47E04">
        <w:rPr>
          <w:rFonts w:ascii="Times New Roman" w:hAnsi="Times New Roman" w:cs="Times New Roman"/>
          <w:sz w:val="24"/>
          <w:szCs w:val="24"/>
        </w:rPr>
        <w:t>, 788.</w:t>
      </w:r>
      <w:hyperlink r:id="rId8" w:history="1">
        <w:r w:rsidRPr="00C47E04">
          <w:rPr>
            <w:rStyle w:val="Hyperlink"/>
            <w:rFonts w:ascii="Times New Roman" w:hAnsi="Times New Roman" w:cs="Times New Roman"/>
            <w:sz w:val="24"/>
            <w:szCs w:val="24"/>
          </w:rPr>
          <w:t>https://doi.org/10.3389/fpubh.2020.574111</w:t>
        </w:r>
      </w:hyperlink>
    </w:p>
    <w:p w14:paraId="2B1B02F5" w14:textId="77777777" w:rsidR="00C47E04" w:rsidRPr="00C47E04" w:rsidRDefault="00C47E04" w:rsidP="00C47E04">
      <w:pPr>
        <w:spacing w:line="360" w:lineRule="auto"/>
        <w:ind w:left="720" w:hanging="720"/>
        <w:rPr>
          <w:rFonts w:ascii="Times New Roman" w:hAnsi="Times New Roman" w:cs="Times New Roman"/>
          <w:sz w:val="24"/>
          <w:szCs w:val="24"/>
        </w:rPr>
      </w:pPr>
      <w:r w:rsidRPr="00C47E04">
        <w:rPr>
          <w:rFonts w:ascii="Times New Roman" w:hAnsi="Times New Roman" w:cs="Times New Roman"/>
          <w:sz w:val="24"/>
          <w:szCs w:val="24"/>
        </w:rPr>
        <w:t xml:space="preserve">Conti, G., Mason, G., &amp; </w:t>
      </w:r>
      <w:proofErr w:type="spellStart"/>
      <w:r w:rsidRPr="00C47E04">
        <w:rPr>
          <w:rFonts w:ascii="Times New Roman" w:hAnsi="Times New Roman" w:cs="Times New Roman"/>
          <w:sz w:val="24"/>
          <w:szCs w:val="24"/>
        </w:rPr>
        <w:t>Poupakis</w:t>
      </w:r>
      <w:proofErr w:type="spellEnd"/>
      <w:r w:rsidRPr="00C47E04">
        <w:rPr>
          <w:rFonts w:ascii="Times New Roman" w:hAnsi="Times New Roman" w:cs="Times New Roman"/>
          <w:sz w:val="24"/>
          <w:szCs w:val="24"/>
        </w:rPr>
        <w:t xml:space="preserve">, S. (2019). Developmental origins of health </w:t>
      </w:r>
      <w:proofErr w:type="spellStart"/>
      <w:r w:rsidRPr="00C47E04">
        <w:rPr>
          <w:rFonts w:ascii="Times New Roman" w:hAnsi="Times New Roman" w:cs="Times New Roman"/>
          <w:sz w:val="24"/>
          <w:szCs w:val="24"/>
        </w:rPr>
        <w:t>inequality.</w:t>
      </w:r>
      <w:hyperlink r:id="rId9" w:history="1">
        <w:r w:rsidRPr="00C47E04">
          <w:rPr>
            <w:rStyle w:val="Hyperlink"/>
            <w:rFonts w:ascii="Times New Roman" w:hAnsi="Times New Roman" w:cs="Times New Roman"/>
            <w:sz w:val="24"/>
            <w:szCs w:val="24"/>
          </w:rPr>
          <w:t>https</w:t>
        </w:r>
        <w:proofErr w:type="spellEnd"/>
        <w:r w:rsidRPr="00C47E04">
          <w:rPr>
            <w:rStyle w:val="Hyperlink"/>
            <w:rFonts w:ascii="Times New Roman" w:hAnsi="Times New Roman" w:cs="Times New Roman"/>
            <w:sz w:val="24"/>
            <w:szCs w:val="24"/>
          </w:rPr>
          <w:t>://dx.doi.org/10.2139/ssrn.3478696</w:t>
        </w:r>
      </w:hyperlink>
    </w:p>
    <w:p w14:paraId="464D375D" w14:textId="77777777" w:rsidR="00C47E04" w:rsidRPr="00C47E04" w:rsidRDefault="00C47E04" w:rsidP="00C47E04">
      <w:pPr>
        <w:spacing w:line="360" w:lineRule="auto"/>
        <w:ind w:left="720" w:hanging="720"/>
        <w:rPr>
          <w:rFonts w:ascii="Times New Roman" w:hAnsi="Times New Roman" w:cs="Times New Roman"/>
          <w:sz w:val="24"/>
          <w:szCs w:val="24"/>
        </w:rPr>
      </w:pPr>
      <w:proofErr w:type="spellStart"/>
      <w:r w:rsidRPr="00C47E04">
        <w:rPr>
          <w:rFonts w:ascii="Times New Roman" w:hAnsi="Times New Roman" w:cs="Times New Roman"/>
          <w:sz w:val="24"/>
          <w:szCs w:val="24"/>
        </w:rPr>
        <w:t>Madawala</w:t>
      </w:r>
      <w:proofErr w:type="spellEnd"/>
      <w:r w:rsidRPr="00C47E04">
        <w:rPr>
          <w:rFonts w:ascii="Times New Roman" w:hAnsi="Times New Roman" w:cs="Times New Roman"/>
          <w:sz w:val="24"/>
          <w:szCs w:val="24"/>
        </w:rPr>
        <w:t xml:space="preserve">, S., Warren, N., </w:t>
      </w:r>
      <w:proofErr w:type="spellStart"/>
      <w:r w:rsidRPr="00C47E04">
        <w:rPr>
          <w:rFonts w:ascii="Times New Roman" w:hAnsi="Times New Roman" w:cs="Times New Roman"/>
          <w:sz w:val="24"/>
          <w:szCs w:val="24"/>
        </w:rPr>
        <w:t>Osadnik</w:t>
      </w:r>
      <w:proofErr w:type="spellEnd"/>
      <w:r w:rsidRPr="00C47E04">
        <w:rPr>
          <w:rFonts w:ascii="Times New Roman" w:hAnsi="Times New Roman" w:cs="Times New Roman"/>
          <w:sz w:val="24"/>
          <w:szCs w:val="24"/>
        </w:rPr>
        <w:t>, C., &amp; Barton, C. (2023). The primary care experience of adults with chronic obstructive pulmonary disease (COPD). An interpretative phenomenological inquiry. </w:t>
      </w:r>
      <w:proofErr w:type="spellStart"/>
      <w:r w:rsidRPr="00C47E04">
        <w:rPr>
          <w:rFonts w:ascii="Times New Roman" w:hAnsi="Times New Roman" w:cs="Times New Roman"/>
          <w:i/>
          <w:iCs/>
          <w:sz w:val="24"/>
          <w:szCs w:val="24"/>
        </w:rPr>
        <w:t>Plos</w:t>
      </w:r>
      <w:proofErr w:type="spellEnd"/>
      <w:r w:rsidRPr="00C47E04">
        <w:rPr>
          <w:rFonts w:ascii="Times New Roman" w:hAnsi="Times New Roman" w:cs="Times New Roman"/>
          <w:i/>
          <w:iCs/>
          <w:sz w:val="24"/>
          <w:szCs w:val="24"/>
        </w:rPr>
        <w:t xml:space="preserve"> one</w:t>
      </w:r>
      <w:r w:rsidRPr="00C47E04">
        <w:rPr>
          <w:rFonts w:ascii="Times New Roman" w:hAnsi="Times New Roman" w:cs="Times New Roman"/>
          <w:sz w:val="24"/>
          <w:szCs w:val="24"/>
        </w:rPr>
        <w:t>, </w:t>
      </w:r>
      <w:r w:rsidRPr="00C47E04">
        <w:rPr>
          <w:rFonts w:ascii="Times New Roman" w:hAnsi="Times New Roman" w:cs="Times New Roman"/>
          <w:i/>
          <w:iCs/>
          <w:sz w:val="24"/>
          <w:szCs w:val="24"/>
        </w:rPr>
        <w:t>18</w:t>
      </w:r>
      <w:r w:rsidRPr="00C47E04">
        <w:rPr>
          <w:rFonts w:ascii="Times New Roman" w:hAnsi="Times New Roman" w:cs="Times New Roman"/>
          <w:sz w:val="24"/>
          <w:szCs w:val="24"/>
        </w:rPr>
        <w:t>(6), e0287518.</w:t>
      </w:r>
      <w:hyperlink r:id="rId10" w:history="1">
        <w:r w:rsidRPr="00C47E04">
          <w:rPr>
            <w:rStyle w:val="Hyperlink"/>
            <w:rFonts w:ascii="Times New Roman" w:hAnsi="Times New Roman" w:cs="Times New Roman"/>
            <w:sz w:val="24"/>
            <w:szCs w:val="24"/>
          </w:rPr>
          <w:t>https://doi.org/10.1371/journal.pone.0287518</w:t>
        </w:r>
      </w:hyperlink>
    </w:p>
    <w:p w14:paraId="1B51B3C5" w14:textId="77777777" w:rsidR="00C47E04" w:rsidRPr="00C47E04" w:rsidRDefault="00C47E04" w:rsidP="00C47E04">
      <w:pPr>
        <w:spacing w:line="360" w:lineRule="auto"/>
        <w:ind w:left="720" w:hanging="720"/>
        <w:rPr>
          <w:rFonts w:ascii="Times New Roman" w:hAnsi="Times New Roman" w:cs="Times New Roman"/>
          <w:sz w:val="24"/>
          <w:szCs w:val="24"/>
        </w:rPr>
      </w:pPr>
      <w:proofErr w:type="spellStart"/>
      <w:r w:rsidRPr="00C47E04">
        <w:rPr>
          <w:rFonts w:ascii="Times New Roman" w:hAnsi="Times New Roman" w:cs="Times New Roman"/>
          <w:sz w:val="24"/>
          <w:szCs w:val="24"/>
        </w:rPr>
        <w:t>Soremekun</w:t>
      </w:r>
      <w:proofErr w:type="spellEnd"/>
      <w:r w:rsidRPr="00C47E04">
        <w:rPr>
          <w:rFonts w:ascii="Times New Roman" w:hAnsi="Times New Roman" w:cs="Times New Roman"/>
          <w:sz w:val="24"/>
          <w:szCs w:val="24"/>
        </w:rPr>
        <w:t xml:space="preserve">, S., Heaney, L. G., Skinner, D., </w:t>
      </w:r>
      <w:proofErr w:type="spellStart"/>
      <w:r w:rsidRPr="00C47E04">
        <w:rPr>
          <w:rFonts w:ascii="Times New Roman" w:hAnsi="Times New Roman" w:cs="Times New Roman"/>
          <w:sz w:val="24"/>
          <w:szCs w:val="24"/>
        </w:rPr>
        <w:t>Bulathsinhala</w:t>
      </w:r>
      <w:proofErr w:type="spellEnd"/>
      <w:r w:rsidRPr="00C47E04">
        <w:rPr>
          <w:rFonts w:ascii="Times New Roman" w:hAnsi="Times New Roman" w:cs="Times New Roman"/>
          <w:sz w:val="24"/>
          <w:szCs w:val="24"/>
        </w:rPr>
        <w:t>, L., Carter, V., Chaudhry, I., ... &amp; Price, D. B. (2023). Asthma exacerbations are associated with a decline in lung function: a longitudinal population-based study. </w:t>
      </w:r>
      <w:r w:rsidRPr="00C47E04">
        <w:rPr>
          <w:rFonts w:ascii="Times New Roman" w:hAnsi="Times New Roman" w:cs="Times New Roman"/>
          <w:i/>
          <w:iCs/>
          <w:sz w:val="24"/>
          <w:szCs w:val="24"/>
        </w:rPr>
        <w:t>Thorax</w:t>
      </w:r>
      <w:r w:rsidRPr="00C47E04">
        <w:rPr>
          <w:rFonts w:ascii="Times New Roman" w:hAnsi="Times New Roman" w:cs="Times New Roman"/>
          <w:sz w:val="24"/>
          <w:szCs w:val="24"/>
        </w:rPr>
        <w:t>, </w:t>
      </w:r>
      <w:r w:rsidRPr="00C47E04">
        <w:rPr>
          <w:rFonts w:ascii="Times New Roman" w:hAnsi="Times New Roman" w:cs="Times New Roman"/>
          <w:i/>
          <w:iCs/>
          <w:sz w:val="24"/>
          <w:szCs w:val="24"/>
        </w:rPr>
        <w:t>78</w:t>
      </w:r>
      <w:r w:rsidRPr="00C47E04">
        <w:rPr>
          <w:rFonts w:ascii="Times New Roman" w:hAnsi="Times New Roman" w:cs="Times New Roman"/>
          <w:sz w:val="24"/>
          <w:szCs w:val="24"/>
        </w:rPr>
        <w:t>(7), 643-652.</w:t>
      </w:r>
      <w:hyperlink r:id="rId11" w:history="1">
        <w:r w:rsidRPr="00C47E04">
          <w:rPr>
            <w:rStyle w:val="Hyperlink"/>
            <w:rFonts w:ascii="Times New Roman" w:hAnsi="Times New Roman" w:cs="Times New Roman"/>
            <w:sz w:val="24"/>
            <w:szCs w:val="24"/>
          </w:rPr>
          <w:t>http://dx.doi.org/10.1136/thorax-2021-217032</w:t>
        </w:r>
      </w:hyperlink>
    </w:p>
    <w:p w14:paraId="58B1FE19" w14:textId="77777777" w:rsidR="00C47E04" w:rsidRPr="007202B6" w:rsidRDefault="00C47E04" w:rsidP="007202B6">
      <w:pPr>
        <w:spacing w:line="360" w:lineRule="auto"/>
        <w:rPr>
          <w:rFonts w:ascii="Times New Roman" w:hAnsi="Times New Roman" w:cs="Times New Roman"/>
          <w:sz w:val="24"/>
          <w:szCs w:val="24"/>
        </w:rPr>
      </w:pPr>
    </w:p>
    <w:sectPr w:rsidR="00C47E04" w:rsidRPr="007202B6" w:rsidSect="004C74AA">
      <w:head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26CF6" w14:textId="77777777" w:rsidR="005F3D2F" w:rsidRDefault="005F3D2F" w:rsidP="004C74AA">
      <w:pPr>
        <w:spacing w:after="0" w:line="240" w:lineRule="auto"/>
      </w:pPr>
      <w:r>
        <w:separator/>
      </w:r>
    </w:p>
  </w:endnote>
  <w:endnote w:type="continuationSeparator" w:id="0">
    <w:p w14:paraId="0426EAC7" w14:textId="77777777" w:rsidR="005F3D2F" w:rsidRDefault="005F3D2F" w:rsidP="004C7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D0B61" w14:textId="77777777" w:rsidR="005F3D2F" w:rsidRDefault="005F3D2F" w:rsidP="004C74AA">
      <w:pPr>
        <w:spacing w:after="0" w:line="240" w:lineRule="auto"/>
      </w:pPr>
      <w:r>
        <w:separator/>
      </w:r>
    </w:p>
  </w:footnote>
  <w:footnote w:type="continuationSeparator" w:id="0">
    <w:p w14:paraId="650F7DAC" w14:textId="77777777" w:rsidR="005F3D2F" w:rsidRDefault="005F3D2F" w:rsidP="004C7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510918"/>
      <w:docPartObj>
        <w:docPartGallery w:val="Page Numbers (Top of Page)"/>
        <w:docPartUnique/>
      </w:docPartObj>
    </w:sdtPr>
    <w:sdtEndPr>
      <w:rPr>
        <w:rFonts w:ascii="Times New Roman" w:hAnsi="Times New Roman" w:cs="Times New Roman"/>
        <w:noProof/>
        <w:sz w:val="24"/>
        <w:szCs w:val="24"/>
      </w:rPr>
    </w:sdtEndPr>
    <w:sdtContent>
      <w:p w14:paraId="35B88084" w14:textId="77777777" w:rsidR="004C74AA" w:rsidRPr="00B3179C" w:rsidRDefault="004C74AA">
        <w:pPr>
          <w:pStyle w:val="Header"/>
          <w:jc w:val="right"/>
          <w:rPr>
            <w:rFonts w:ascii="Times New Roman" w:hAnsi="Times New Roman" w:cs="Times New Roman"/>
            <w:sz w:val="24"/>
            <w:szCs w:val="24"/>
          </w:rPr>
        </w:pPr>
        <w:r w:rsidRPr="00B3179C">
          <w:rPr>
            <w:rFonts w:ascii="Times New Roman" w:hAnsi="Times New Roman" w:cs="Times New Roman"/>
            <w:sz w:val="24"/>
            <w:szCs w:val="24"/>
          </w:rPr>
          <w:fldChar w:fldCharType="begin"/>
        </w:r>
        <w:r w:rsidRPr="00B3179C">
          <w:rPr>
            <w:rFonts w:ascii="Times New Roman" w:hAnsi="Times New Roman" w:cs="Times New Roman"/>
            <w:sz w:val="24"/>
            <w:szCs w:val="24"/>
          </w:rPr>
          <w:instrText xml:space="preserve"> PAGE   \* MERGEFORMAT </w:instrText>
        </w:r>
        <w:r w:rsidRPr="00B3179C">
          <w:rPr>
            <w:rFonts w:ascii="Times New Roman" w:hAnsi="Times New Roman" w:cs="Times New Roman"/>
            <w:sz w:val="24"/>
            <w:szCs w:val="24"/>
          </w:rPr>
          <w:fldChar w:fldCharType="separate"/>
        </w:r>
        <w:r w:rsidR="004655A6" w:rsidRPr="00B3179C">
          <w:rPr>
            <w:rFonts w:ascii="Times New Roman" w:hAnsi="Times New Roman" w:cs="Times New Roman"/>
            <w:noProof/>
            <w:sz w:val="24"/>
            <w:szCs w:val="24"/>
          </w:rPr>
          <w:t>1</w:t>
        </w:r>
        <w:r w:rsidRPr="00B3179C">
          <w:rPr>
            <w:rFonts w:ascii="Times New Roman" w:hAnsi="Times New Roman" w:cs="Times New Roman"/>
            <w:noProof/>
            <w:sz w:val="24"/>
            <w:szCs w:val="24"/>
          </w:rPr>
          <w:fldChar w:fldCharType="end"/>
        </w:r>
      </w:p>
    </w:sdtContent>
  </w:sdt>
  <w:p w14:paraId="022722C5" w14:textId="77777777" w:rsidR="004C74AA" w:rsidRDefault="004C7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C4AB0"/>
    <w:multiLevelType w:val="multilevel"/>
    <w:tmpl w:val="121E7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7B22D0"/>
    <w:multiLevelType w:val="multilevel"/>
    <w:tmpl w:val="63C886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A53F82"/>
    <w:multiLevelType w:val="multilevel"/>
    <w:tmpl w:val="5978C6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E00CDC"/>
    <w:multiLevelType w:val="multilevel"/>
    <w:tmpl w:val="10B07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9426607">
    <w:abstractNumId w:val="3"/>
  </w:num>
  <w:num w:numId="2" w16cid:durableId="602809477">
    <w:abstractNumId w:val="1"/>
  </w:num>
  <w:num w:numId="3" w16cid:durableId="2113667822">
    <w:abstractNumId w:val="2"/>
  </w:num>
  <w:num w:numId="4" w16cid:durableId="184577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2B6"/>
    <w:rsid w:val="00414AA9"/>
    <w:rsid w:val="00415386"/>
    <w:rsid w:val="0043179E"/>
    <w:rsid w:val="004655A6"/>
    <w:rsid w:val="004C74AA"/>
    <w:rsid w:val="00542393"/>
    <w:rsid w:val="00547867"/>
    <w:rsid w:val="00575333"/>
    <w:rsid w:val="005F3D2F"/>
    <w:rsid w:val="007202B6"/>
    <w:rsid w:val="00773D12"/>
    <w:rsid w:val="00914531"/>
    <w:rsid w:val="00922609"/>
    <w:rsid w:val="0097047C"/>
    <w:rsid w:val="009D5F22"/>
    <w:rsid w:val="00A90817"/>
    <w:rsid w:val="00B3179C"/>
    <w:rsid w:val="00C4601C"/>
    <w:rsid w:val="00C47E04"/>
    <w:rsid w:val="00C5053A"/>
    <w:rsid w:val="00C81D77"/>
    <w:rsid w:val="00D26D97"/>
    <w:rsid w:val="00D53D5F"/>
    <w:rsid w:val="00F85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FA86"/>
  <w15:chartTrackingRefBased/>
  <w15:docId w15:val="{E8E605E2-1075-4DC2-A4B1-2804E0AC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4AA"/>
  </w:style>
  <w:style w:type="paragraph" w:styleId="Footer">
    <w:name w:val="footer"/>
    <w:basedOn w:val="Normal"/>
    <w:link w:val="FooterChar"/>
    <w:uiPriority w:val="99"/>
    <w:unhideWhenUsed/>
    <w:rsid w:val="004C7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4AA"/>
  </w:style>
  <w:style w:type="character" w:styleId="Hyperlink">
    <w:name w:val="Hyperlink"/>
    <w:basedOn w:val="DefaultParagraphFont"/>
    <w:uiPriority w:val="99"/>
    <w:unhideWhenUsed/>
    <w:rsid w:val="009D5F22"/>
    <w:rPr>
      <w:color w:val="0563C1" w:themeColor="hyperlink"/>
      <w:u w:val="single"/>
    </w:rPr>
  </w:style>
  <w:style w:type="character" w:styleId="UnresolvedMention">
    <w:name w:val="Unresolved Mention"/>
    <w:basedOn w:val="DefaultParagraphFont"/>
    <w:uiPriority w:val="99"/>
    <w:semiHidden/>
    <w:unhideWhenUsed/>
    <w:rsid w:val="009D5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756858">
      <w:bodyDiv w:val="1"/>
      <w:marLeft w:val="0"/>
      <w:marRight w:val="0"/>
      <w:marTop w:val="0"/>
      <w:marBottom w:val="0"/>
      <w:divBdr>
        <w:top w:val="none" w:sz="0" w:space="0" w:color="auto"/>
        <w:left w:val="none" w:sz="0" w:space="0" w:color="auto"/>
        <w:bottom w:val="none" w:sz="0" w:space="0" w:color="auto"/>
        <w:right w:val="none" w:sz="0" w:space="0" w:color="auto"/>
      </w:divBdr>
    </w:div>
    <w:div w:id="1072309492">
      <w:bodyDiv w:val="1"/>
      <w:marLeft w:val="0"/>
      <w:marRight w:val="0"/>
      <w:marTop w:val="0"/>
      <w:marBottom w:val="0"/>
      <w:divBdr>
        <w:top w:val="none" w:sz="0" w:space="0" w:color="auto"/>
        <w:left w:val="none" w:sz="0" w:space="0" w:color="auto"/>
        <w:bottom w:val="none" w:sz="0" w:space="0" w:color="auto"/>
        <w:right w:val="none" w:sz="0" w:space="0" w:color="auto"/>
      </w:divBdr>
    </w:div>
    <w:div w:id="118856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ubh.2020.5741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13555-021-00515-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136/thorax-2021-217032" TargetMode="External"/><Relationship Id="rId5" Type="http://schemas.openxmlformats.org/officeDocument/2006/relationships/footnotes" Target="footnotes.xml"/><Relationship Id="rId10" Type="http://schemas.openxmlformats.org/officeDocument/2006/relationships/hyperlink" Target="https://doi.org/10.1371/journal.pone.0287518" TargetMode="External"/><Relationship Id="rId4" Type="http://schemas.openxmlformats.org/officeDocument/2006/relationships/webSettings" Target="webSettings.xml"/><Relationship Id="rId9" Type="http://schemas.openxmlformats.org/officeDocument/2006/relationships/hyperlink" Target="https://dx.doi.org/10.2139/ssrn.347869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5</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2023-10-26T19:40:00Z</dcterms:created>
  <dcterms:modified xsi:type="dcterms:W3CDTF">2023-10-26T23:34:00Z</dcterms:modified>
</cp:coreProperties>
</file>