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3CC4" w:rsidRPr="00AC5045" w:rsidRDefault="00C23CC4" w:rsidP="00B62475">
      <w:pPr>
        <w:spacing w:line="480" w:lineRule="auto"/>
        <w:rPr>
          <w:rFonts w:ascii="Times New Roman" w:hAnsi="Times New Roman" w:cs="Times New Roman"/>
          <w:sz w:val="24"/>
          <w:szCs w:val="24"/>
        </w:rPr>
      </w:pPr>
    </w:p>
    <w:p w:rsidR="00AC5045" w:rsidRDefault="00AC5045" w:rsidP="00B62475">
      <w:pPr>
        <w:spacing w:line="480" w:lineRule="auto"/>
        <w:jc w:val="center"/>
        <w:rPr>
          <w:rFonts w:ascii="Times New Roman" w:hAnsi="Times New Roman" w:cs="Times New Roman"/>
          <w:sz w:val="24"/>
          <w:szCs w:val="24"/>
        </w:rPr>
      </w:pPr>
    </w:p>
    <w:p w:rsidR="00AC5045" w:rsidRDefault="00AC5045" w:rsidP="00B62475">
      <w:pPr>
        <w:spacing w:line="480" w:lineRule="auto"/>
        <w:jc w:val="center"/>
        <w:rPr>
          <w:rFonts w:ascii="Times New Roman" w:hAnsi="Times New Roman" w:cs="Times New Roman"/>
          <w:sz w:val="24"/>
          <w:szCs w:val="24"/>
        </w:rPr>
      </w:pPr>
    </w:p>
    <w:p w:rsidR="00AC5045" w:rsidRPr="00B62475" w:rsidRDefault="00AC5045" w:rsidP="00B62475">
      <w:pPr>
        <w:spacing w:line="480" w:lineRule="auto"/>
        <w:jc w:val="center"/>
        <w:rPr>
          <w:rFonts w:ascii="Times New Roman" w:hAnsi="Times New Roman" w:cs="Times New Roman"/>
          <w:sz w:val="24"/>
          <w:szCs w:val="24"/>
        </w:rPr>
      </w:pPr>
      <w:r w:rsidRPr="00AC5045">
        <w:rPr>
          <w:rFonts w:ascii="Times New Roman" w:hAnsi="Times New Roman" w:cs="Times New Roman"/>
          <w:sz w:val="24"/>
          <w:szCs w:val="24"/>
        </w:rPr>
        <w:t>The Impact of Early Mobility Programs on Reducing Hospital-Acquired Press</w:t>
      </w:r>
      <w:r>
        <w:rPr>
          <w:rFonts w:ascii="Times New Roman" w:hAnsi="Times New Roman" w:cs="Times New Roman"/>
          <w:sz w:val="24"/>
          <w:szCs w:val="24"/>
        </w:rPr>
        <w:t>ure Ulcers in Elderly Patients</w:t>
      </w:r>
      <w:r w:rsidRPr="00AC5045">
        <w:br/>
        <w:t>South College</w:t>
      </w:r>
    </w:p>
    <w:p w:rsidR="00AC5045" w:rsidRPr="00AC5045" w:rsidRDefault="00AC5045" w:rsidP="00B62475">
      <w:pPr>
        <w:spacing w:line="480" w:lineRule="auto"/>
        <w:jc w:val="center"/>
        <w:rPr>
          <w:rFonts w:ascii="Times New Roman" w:hAnsi="Times New Roman" w:cs="Times New Roman"/>
          <w:sz w:val="24"/>
          <w:szCs w:val="24"/>
        </w:rPr>
      </w:pPr>
      <w:r w:rsidRPr="00AC5045">
        <w:rPr>
          <w:rFonts w:ascii="Times New Roman" w:hAnsi="Times New Roman" w:cs="Times New Roman"/>
          <w:sz w:val="24"/>
          <w:szCs w:val="24"/>
        </w:rPr>
        <w:t>NSG 5210: Advanced Research Methods &amp; Evidence-Based Practice</w:t>
      </w:r>
    </w:p>
    <w:p w:rsidR="00AC5045" w:rsidRPr="00AC5045" w:rsidRDefault="00AC5045" w:rsidP="00B62475">
      <w:pPr>
        <w:pStyle w:val="AuthorList"/>
      </w:pPr>
      <w:r w:rsidRPr="00AC5045">
        <w:fldChar w:fldCharType="begin"/>
      </w:r>
      <w:r w:rsidRPr="00AC5045">
        <w:instrText xml:space="preserve"> MACROBUTTON  AcceptAllChangesShown "[Insert Title and Name of Instructor here]" </w:instrText>
      </w:r>
      <w:r w:rsidRPr="00AC5045">
        <w:fldChar w:fldCharType="end"/>
      </w:r>
    </w:p>
    <w:p w:rsidR="00AC5045" w:rsidRPr="00AC5045" w:rsidRDefault="00AC5045" w:rsidP="00B62475">
      <w:pPr>
        <w:pStyle w:val="AuthorList"/>
      </w:pPr>
      <w:r w:rsidRPr="00AC5045">
        <w:fldChar w:fldCharType="begin"/>
      </w:r>
      <w:r w:rsidRPr="00AC5045">
        <w:instrText xml:space="preserve"> MACROBUTTON  AcceptAllChangesShown "[Insert date in format month day, year]" </w:instrText>
      </w:r>
      <w:r w:rsidRPr="00AC5045">
        <w:fldChar w:fldCharType="end"/>
      </w:r>
    </w:p>
    <w:p w:rsidR="00C23CC4" w:rsidRDefault="00C23CC4" w:rsidP="00B62475">
      <w:pPr>
        <w:spacing w:line="480" w:lineRule="auto"/>
        <w:rPr>
          <w:rFonts w:ascii="Times New Roman" w:hAnsi="Times New Roman" w:cs="Times New Roman"/>
          <w:sz w:val="24"/>
          <w:szCs w:val="24"/>
        </w:rPr>
      </w:pPr>
    </w:p>
    <w:p w:rsidR="00B62475" w:rsidRDefault="00B62475" w:rsidP="00B62475">
      <w:pPr>
        <w:spacing w:line="480" w:lineRule="auto"/>
        <w:rPr>
          <w:rFonts w:ascii="Times New Roman" w:hAnsi="Times New Roman" w:cs="Times New Roman"/>
          <w:sz w:val="24"/>
          <w:szCs w:val="24"/>
        </w:rPr>
      </w:pPr>
    </w:p>
    <w:p w:rsidR="00B62475" w:rsidRPr="00AC5045" w:rsidRDefault="00B62475" w:rsidP="00B62475">
      <w:pPr>
        <w:spacing w:line="480" w:lineRule="auto"/>
        <w:rPr>
          <w:rFonts w:ascii="Times New Roman" w:hAnsi="Times New Roman" w:cs="Times New Roman"/>
          <w:sz w:val="24"/>
          <w:szCs w:val="24"/>
        </w:rPr>
      </w:pPr>
    </w:p>
    <w:p w:rsidR="00C23CC4" w:rsidRPr="00AC5045" w:rsidRDefault="00C23CC4" w:rsidP="00B62475">
      <w:pPr>
        <w:spacing w:line="480" w:lineRule="auto"/>
        <w:rPr>
          <w:rFonts w:ascii="Times New Roman" w:hAnsi="Times New Roman" w:cs="Times New Roman"/>
          <w:sz w:val="24"/>
          <w:szCs w:val="24"/>
        </w:rPr>
      </w:pPr>
    </w:p>
    <w:p w:rsidR="00C23CC4" w:rsidRPr="00AC5045" w:rsidRDefault="00C23CC4" w:rsidP="00B62475">
      <w:pPr>
        <w:spacing w:line="480" w:lineRule="auto"/>
        <w:rPr>
          <w:rFonts w:ascii="Times New Roman" w:hAnsi="Times New Roman" w:cs="Times New Roman"/>
          <w:sz w:val="24"/>
          <w:szCs w:val="24"/>
        </w:rPr>
      </w:pPr>
    </w:p>
    <w:p w:rsidR="00C23CC4" w:rsidRPr="00AC5045" w:rsidRDefault="00C23CC4" w:rsidP="00B62475">
      <w:pPr>
        <w:spacing w:line="480" w:lineRule="auto"/>
        <w:rPr>
          <w:rFonts w:ascii="Times New Roman" w:hAnsi="Times New Roman" w:cs="Times New Roman"/>
          <w:sz w:val="24"/>
          <w:szCs w:val="24"/>
        </w:rPr>
      </w:pPr>
    </w:p>
    <w:p w:rsidR="00C23CC4" w:rsidRPr="00AC5045" w:rsidRDefault="00C23CC4" w:rsidP="00B62475">
      <w:pPr>
        <w:spacing w:line="480" w:lineRule="auto"/>
        <w:rPr>
          <w:rFonts w:ascii="Times New Roman" w:hAnsi="Times New Roman" w:cs="Times New Roman"/>
          <w:sz w:val="24"/>
          <w:szCs w:val="24"/>
        </w:rPr>
      </w:pPr>
    </w:p>
    <w:p w:rsidR="00C23CC4" w:rsidRPr="00AC5045" w:rsidRDefault="00C23CC4" w:rsidP="00B62475">
      <w:pPr>
        <w:spacing w:line="480" w:lineRule="auto"/>
        <w:rPr>
          <w:rFonts w:ascii="Times New Roman" w:hAnsi="Times New Roman" w:cs="Times New Roman"/>
          <w:sz w:val="24"/>
          <w:szCs w:val="24"/>
        </w:rPr>
      </w:pPr>
    </w:p>
    <w:p w:rsidR="00C23CC4" w:rsidRPr="00AC5045" w:rsidRDefault="00C23CC4" w:rsidP="00B62475">
      <w:pPr>
        <w:spacing w:line="480" w:lineRule="auto"/>
        <w:rPr>
          <w:rFonts w:ascii="Times New Roman" w:hAnsi="Times New Roman" w:cs="Times New Roman"/>
          <w:sz w:val="24"/>
          <w:szCs w:val="24"/>
        </w:rPr>
      </w:pPr>
    </w:p>
    <w:p w:rsidR="00C23CC4" w:rsidRPr="00AC5045" w:rsidRDefault="001C439A" w:rsidP="00B62475">
      <w:pPr>
        <w:tabs>
          <w:tab w:val="left" w:pos="556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C23CC4" w:rsidRPr="00AC5045" w:rsidRDefault="00AC5045" w:rsidP="00B62475">
      <w:pPr>
        <w:spacing w:line="480" w:lineRule="auto"/>
        <w:jc w:val="center"/>
        <w:rPr>
          <w:rFonts w:ascii="Times New Roman" w:hAnsi="Times New Roman" w:cs="Times New Roman"/>
          <w:sz w:val="24"/>
          <w:szCs w:val="24"/>
        </w:rPr>
      </w:pPr>
      <w:r w:rsidRPr="00AC5045">
        <w:rPr>
          <w:rFonts w:ascii="Times New Roman" w:hAnsi="Times New Roman" w:cs="Times New Roman"/>
          <w:sz w:val="24"/>
          <w:szCs w:val="24"/>
        </w:rPr>
        <w:lastRenderedPageBreak/>
        <w:t>The Impact of Early Mobility Programs on Reducing Hospital-Acquired Press</w:t>
      </w:r>
      <w:r>
        <w:rPr>
          <w:rFonts w:ascii="Times New Roman" w:hAnsi="Times New Roman" w:cs="Times New Roman"/>
          <w:sz w:val="24"/>
          <w:szCs w:val="24"/>
        </w:rPr>
        <w:t>ure Ulcers in Elderly Patients</w:t>
      </w:r>
    </w:p>
    <w:p w:rsidR="00BB29E2" w:rsidRPr="00AC5045" w:rsidRDefault="00AC5045" w:rsidP="00B62475">
      <w:pPr>
        <w:spacing w:line="480" w:lineRule="auto"/>
        <w:ind w:firstLine="720"/>
        <w:rPr>
          <w:rFonts w:ascii="Times New Roman" w:hAnsi="Times New Roman" w:cs="Times New Roman"/>
          <w:sz w:val="24"/>
          <w:szCs w:val="24"/>
        </w:rPr>
      </w:pPr>
      <w:r w:rsidRPr="00AC5045">
        <w:rPr>
          <w:rFonts w:ascii="Times New Roman" w:hAnsi="Times New Roman" w:cs="Times New Roman"/>
          <w:sz w:val="24"/>
          <w:szCs w:val="24"/>
        </w:rPr>
        <w:t>One crucial aspect of patient care that healthcare providers should prioritize is preventing pressure ulcers. These ulcers can cause immense discomfort to patients, hinder the healing process, and result in higher healthcare costs. Adhering to best practices can significantly mitigate the harm caused by pressure ulcers and improve patient outcomes. This includes regular patient assessments, proper positioning and turning, utilizing specialized beds and mattresses, and implementing appropriate wound care protocols. By taking proactive measures to prevent pressure ulcers, healthcare providers can ensure that their patients receive the best possible care and avoid unnecessary suffering and complications.</w:t>
      </w:r>
    </w:p>
    <w:p w:rsidR="00AC5045" w:rsidRDefault="00C23CC4" w:rsidP="00B62475">
      <w:pPr>
        <w:spacing w:line="480" w:lineRule="auto"/>
        <w:jc w:val="center"/>
        <w:rPr>
          <w:rFonts w:ascii="Times New Roman" w:hAnsi="Times New Roman" w:cs="Times New Roman"/>
          <w:sz w:val="24"/>
          <w:szCs w:val="24"/>
        </w:rPr>
      </w:pPr>
      <w:r w:rsidRPr="00AC5045">
        <w:rPr>
          <w:rFonts w:ascii="Times New Roman" w:hAnsi="Times New Roman" w:cs="Times New Roman"/>
          <w:sz w:val="24"/>
          <w:szCs w:val="24"/>
        </w:rPr>
        <w:t>Signifi</w:t>
      </w:r>
      <w:r w:rsidR="00B62475">
        <w:rPr>
          <w:rFonts w:ascii="Times New Roman" w:hAnsi="Times New Roman" w:cs="Times New Roman"/>
          <w:sz w:val="24"/>
          <w:szCs w:val="24"/>
        </w:rPr>
        <w:t>cance of the</w:t>
      </w:r>
      <w:r w:rsidR="00AC5045">
        <w:rPr>
          <w:rFonts w:ascii="Times New Roman" w:hAnsi="Times New Roman" w:cs="Times New Roman"/>
          <w:sz w:val="24"/>
          <w:szCs w:val="24"/>
        </w:rPr>
        <w:t xml:space="preserve"> Problem</w:t>
      </w:r>
    </w:p>
    <w:p w:rsidR="00C23CC4" w:rsidRPr="00AC5045" w:rsidRDefault="00AC5045" w:rsidP="00B62475">
      <w:pPr>
        <w:spacing w:line="480" w:lineRule="auto"/>
        <w:ind w:firstLine="720"/>
        <w:jc w:val="both"/>
        <w:rPr>
          <w:rFonts w:ascii="Times New Roman" w:hAnsi="Times New Roman" w:cs="Times New Roman"/>
          <w:sz w:val="24"/>
          <w:szCs w:val="24"/>
        </w:rPr>
      </w:pPr>
      <w:r w:rsidRPr="00AC5045">
        <w:rPr>
          <w:rFonts w:ascii="Times New Roman" w:hAnsi="Times New Roman" w:cs="Times New Roman"/>
          <w:sz w:val="24"/>
          <w:szCs w:val="24"/>
        </w:rPr>
        <w:t>Pressure ulcers, also known as bedsores, are a major healthcare challenge that affects patient outcomes and incurs high costs. The complexity of the issue is evident, with patients experiencing pain, reduced quality of life, and potential complications such as extended hospital stays, readmission rates, and even disability or mortality, particularly for the elderly. Caregivers, usually family members, also experience emotional distress while taking care of their affected loved ones</w:t>
      </w:r>
      <w:r w:rsidR="00BB29E2">
        <w:rPr>
          <w:rFonts w:ascii="Times New Roman" w:hAnsi="Times New Roman" w:cs="Times New Roman"/>
          <w:sz w:val="24"/>
          <w:szCs w:val="24"/>
        </w:rPr>
        <w:t xml:space="preserve"> </w:t>
      </w:r>
      <w:r w:rsidR="00BB29E2">
        <w:rPr>
          <w:rFonts w:ascii="Times New Roman" w:hAnsi="Times New Roman" w:cs="Times New Roman"/>
          <w:color w:val="222222"/>
          <w:sz w:val="24"/>
          <w:szCs w:val="24"/>
          <w:shd w:val="clear" w:color="auto" w:fill="FFFFFF"/>
        </w:rPr>
        <w:t>(</w:t>
      </w:r>
      <w:r w:rsidR="00BB29E2" w:rsidRPr="00BB29E2">
        <w:rPr>
          <w:rFonts w:ascii="Times New Roman" w:hAnsi="Times New Roman" w:cs="Times New Roman"/>
          <w:color w:val="222222"/>
          <w:sz w:val="24"/>
          <w:szCs w:val="24"/>
          <w:shd w:val="clear" w:color="auto" w:fill="FFFFFF"/>
        </w:rPr>
        <w:t>Floyd</w:t>
      </w:r>
      <w:r w:rsidR="00BB29E2">
        <w:rPr>
          <w:rFonts w:ascii="Times New Roman" w:hAnsi="Times New Roman" w:cs="Times New Roman"/>
          <w:color w:val="222222"/>
          <w:sz w:val="24"/>
          <w:szCs w:val="24"/>
          <w:shd w:val="clear" w:color="auto" w:fill="FFFFFF"/>
        </w:rPr>
        <w:t xml:space="preserve"> et al., 2021)</w:t>
      </w:r>
      <w:r w:rsidRPr="00AC5045">
        <w:rPr>
          <w:rFonts w:ascii="Times New Roman" w:hAnsi="Times New Roman" w:cs="Times New Roman"/>
          <w:sz w:val="24"/>
          <w:szCs w:val="24"/>
        </w:rPr>
        <w:t>. Healthcare institutions must prioritize pressure ulcer prevention to adhere to strict safety and quality standards. In addition to the financial burden of extended hospital stays and wound care expenses, healthcare providers are ethically and legally responsible for ensuring their patients' well-being by following best practices</w:t>
      </w:r>
      <w:r w:rsidR="00BB29E2">
        <w:rPr>
          <w:rFonts w:ascii="Times New Roman" w:hAnsi="Times New Roman" w:cs="Times New Roman"/>
          <w:sz w:val="24"/>
          <w:szCs w:val="24"/>
        </w:rPr>
        <w:t xml:space="preserve"> (</w:t>
      </w:r>
      <w:r w:rsidR="00BB29E2" w:rsidRPr="00BB29E2">
        <w:rPr>
          <w:rFonts w:ascii="Times New Roman" w:hAnsi="Times New Roman" w:cs="Times New Roman"/>
          <w:color w:val="222222"/>
          <w:sz w:val="24"/>
          <w:szCs w:val="24"/>
          <w:shd w:val="clear" w:color="auto" w:fill="FFFFFF"/>
        </w:rPr>
        <w:t>Harris</w:t>
      </w:r>
      <w:r w:rsidR="00BB29E2">
        <w:rPr>
          <w:rFonts w:ascii="Times New Roman" w:hAnsi="Times New Roman" w:cs="Times New Roman"/>
          <w:color w:val="222222"/>
          <w:sz w:val="24"/>
          <w:szCs w:val="24"/>
          <w:shd w:val="clear" w:color="auto" w:fill="FFFFFF"/>
        </w:rPr>
        <w:t>, 2021)</w:t>
      </w:r>
      <w:r w:rsidRPr="00AC5045">
        <w:rPr>
          <w:rFonts w:ascii="Times New Roman" w:hAnsi="Times New Roman" w:cs="Times New Roman"/>
          <w:sz w:val="24"/>
          <w:szCs w:val="24"/>
        </w:rPr>
        <w:t xml:space="preserve">. The National Pressure Ulcer Advisory Panel estimates that 2.5 million patients </w:t>
      </w:r>
      <w:r w:rsidR="000D29A4">
        <w:rPr>
          <w:rFonts w:ascii="Times New Roman" w:hAnsi="Times New Roman" w:cs="Times New Roman"/>
          <w:sz w:val="24"/>
          <w:szCs w:val="24"/>
        </w:rPr>
        <w:t xml:space="preserve">in the United States develop pressure ulcers </w:t>
      </w:r>
      <w:r w:rsidRPr="00AC5045">
        <w:rPr>
          <w:rFonts w:ascii="Times New Roman" w:hAnsi="Times New Roman" w:cs="Times New Roman"/>
          <w:sz w:val="24"/>
          <w:szCs w:val="24"/>
        </w:rPr>
        <w:t>annually,</w:t>
      </w:r>
      <w:r w:rsidR="00B057B4">
        <w:rPr>
          <w:rFonts w:ascii="Times New Roman" w:hAnsi="Times New Roman" w:cs="Times New Roman"/>
          <w:sz w:val="24"/>
          <w:szCs w:val="24"/>
        </w:rPr>
        <w:t xml:space="preserve"> costing $9.1 to $11.6 billion yearly.</w:t>
      </w:r>
    </w:p>
    <w:p w:rsidR="00E3696D" w:rsidRPr="00E3696D" w:rsidRDefault="00323B9D" w:rsidP="00B6247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PICO q</w:t>
      </w:r>
      <w:r w:rsidR="00C23CC4" w:rsidRPr="00AC5045">
        <w:rPr>
          <w:rFonts w:ascii="Times New Roman" w:hAnsi="Times New Roman" w:cs="Times New Roman"/>
          <w:sz w:val="24"/>
          <w:szCs w:val="24"/>
        </w:rPr>
        <w:t>u</w:t>
      </w:r>
      <w:r w:rsidR="00E3696D">
        <w:rPr>
          <w:rFonts w:ascii="Times New Roman" w:hAnsi="Times New Roman" w:cs="Times New Roman"/>
          <w:sz w:val="24"/>
          <w:szCs w:val="24"/>
        </w:rPr>
        <w:t>estion</w:t>
      </w:r>
    </w:p>
    <w:p w:rsidR="00E3696D" w:rsidRDefault="00E3696D" w:rsidP="00B62475">
      <w:pPr>
        <w:spacing w:line="480" w:lineRule="auto"/>
        <w:ind w:firstLine="720"/>
        <w:rPr>
          <w:rFonts w:ascii="Times New Roman" w:hAnsi="Times New Roman" w:cs="Times New Roman"/>
          <w:sz w:val="24"/>
          <w:szCs w:val="24"/>
        </w:rPr>
      </w:pPr>
      <w:r w:rsidRPr="00E3696D">
        <w:rPr>
          <w:rFonts w:ascii="Times New Roman" w:hAnsi="Times New Roman" w:cs="Times New Roman"/>
          <w:sz w:val="24"/>
          <w:szCs w:val="24"/>
        </w:rPr>
        <w:t>Can impl</w:t>
      </w:r>
      <w:r w:rsidR="000D29A4">
        <w:rPr>
          <w:rFonts w:ascii="Times New Roman" w:hAnsi="Times New Roman" w:cs="Times New Roman"/>
          <w:sz w:val="24"/>
          <w:szCs w:val="24"/>
        </w:rPr>
        <w:t>ementing early mobility program</w:t>
      </w:r>
      <w:r w:rsidRPr="00E3696D">
        <w:rPr>
          <w:rFonts w:ascii="Times New Roman" w:hAnsi="Times New Roman" w:cs="Times New Roman"/>
          <w:sz w:val="24"/>
          <w:szCs w:val="24"/>
        </w:rPr>
        <w:t xml:space="preserve"> in acute care hospitals for elderly patients (65 and older) with limited mobility caused by underlying medical conditions reduce the occurrence of hospital-acquired pressure ulcers, as measured by the Braden Scale fo</w:t>
      </w:r>
      <w:r w:rsidR="00323B9D">
        <w:rPr>
          <w:rFonts w:ascii="Times New Roman" w:hAnsi="Times New Roman" w:cs="Times New Roman"/>
          <w:sz w:val="24"/>
          <w:szCs w:val="24"/>
        </w:rPr>
        <w:t>r Predicting Pressure Sore Risk</w:t>
      </w:r>
      <w:r w:rsidRPr="00E3696D">
        <w:rPr>
          <w:rFonts w:ascii="Times New Roman" w:hAnsi="Times New Roman" w:cs="Times New Roman"/>
          <w:sz w:val="24"/>
          <w:szCs w:val="24"/>
        </w:rPr>
        <w:t xml:space="preserve"> compared to standard care practices?</w:t>
      </w:r>
    </w:p>
    <w:p w:rsidR="00C23CC4" w:rsidRPr="00AC5045" w:rsidRDefault="00C23CC4" w:rsidP="00566885">
      <w:pPr>
        <w:spacing w:line="480" w:lineRule="auto"/>
        <w:rPr>
          <w:rFonts w:ascii="Times New Roman" w:hAnsi="Times New Roman" w:cs="Times New Roman"/>
          <w:sz w:val="24"/>
          <w:szCs w:val="24"/>
        </w:rPr>
      </w:pPr>
      <w:r w:rsidRPr="00AC5045">
        <w:rPr>
          <w:rFonts w:ascii="Times New Roman" w:hAnsi="Times New Roman" w:cs="Times New Roman"/>
          <w:sz w:val="24"/>
          <w:szCs w:val="24"/>
        </w:rPr>
        <w:t>Population/Problem</w:t>
      </w:r>
    </w:p>
    <w:p w:rsidR="00E3696D" w:rsidRDefault="00E3696D" w:rsidP="00566885">
      <w:pPr>
        <w:spacing w:line="480" w:lineRule="auto"/>
        <w:ind w:firstLine="720"/>
        <w:rPr>
          <w:rFonts w:ascii="Times New Roman" w:hAnsi="Times New Roman" w:cs="Times New Roman"/>
          <w:sz w:val="24"/>
          <w:szCs w:val="24"/>
        </w:rPr>
      </w:pPr>
      <w:r w:rsidRPr="00E3696D">
        <w:rPr>
          <w:rFonts w:ascii="Times New Roman" w:hAnsi="Times New Roman" w:cs="Times New Roman"/>
          <w:sz w:val="24"/>
          <w:szCs w:val="24"/>
        </w:rPr>
        <w:t xml:space="preserve">The demographic of concern encompasses geriatric patients, specifically those aged 65 years and above, who are admitted to acute care facilities while experiencing restricted mobility owing to underlying medical conditions, such as hip fractures or stroke, and are susceptible to </w:t>
      </w:r>
      <w:r w:rsidR="00BB29E2">
        <w:rPr>
          <w:rFonts w:ascii="Times New Roman" w:hAnsi="Times New Roman" w:cs="Times New Roman"/>
          <w:sz w:val="24"/>
          <w:szCs w:val="24"/>
        </w:rPr>
        <w:t>ulcers.</w:t>
      </w:r>
    </w:p>
    <w:p w:rsidR="00E3696D" w:rsidRDefault="00E3696D" w:rsidP="00566885">
      <w:pPr>
        <w:spacing w:line="480" w:lineRule="auto"/>
        <w:rPr>
          <w:rFonts w:ascii="Times New Roman" w:hAnsi="Times New Roman" w:cs="Times New Roman"/>
          <w:sz w:val="24"/>
          <w:szCs w:val="24"/>
        </w:rPr>
      </w:pPr>
      <w:r>
        <w:rPr>
          <w:rFonts w:ascii="Times New Roman" w:hAnsi="Times New Roman" w:cs="Times New Roman"/>
          <w:sz w:val="24"/>
          <w:szCs w:val="24"/>
        </w:rPr>
        <w:t>Intervention</w:t>
      </w:r>
    </w:p>
    <w:p w:rsidR="0026752B" w:rsidRDefault="0026752B" w:rsidP="00B62475">
      <w:pPr>
        <w:spacing w:line="480" w:lineRule="auto"/>
        <w:jc w:val="center"/>
        <w:rPr>
          <w:rFonts w:ascii="Times New Roman" w:hAnsi="Times New Roman" w:cs="Times New Roman"/>
          <w:sz w:val="24"/>
          <w:szCs w:val="24"/>
        </w:rPr>
      </w:pPr>
      <w:r w:rsidRPr="0026752B">
        <w:rPr>
          <w:rFonts w:ascii="Times New Roman" w:hAnsi="Times New Roman" w:cs="Times New Roman"/>
          <w:sz w:val="24"/>
          <w:szCs w:val="24"/>
        </w:rPr>
        <w:t>The intervention currently under scrutiny entails the incorporation of early mobility programs, which encompass routine evaluation and interventions aimed at enhancing patients' mobility, such as repositioning, turning, and physical therapy.</w:t>
      </w:r>
    </w:p>
    <w:p w:rsidR="00C23CC4" w:rsidRPr="00AC5045" w:rsidRDefault="0026752B" w:rsidP="00566885">
      <w:pPr>
        <w:spacing w:line="480" w:lineRule="auto"/>
        <w:rPr>
          <w:rFonts w:ascii="Times New Roman" w:hAnsi="Times New Roman" w:cs="Times New Roman"/>
          <w:sz w:val="24"/>
          <w:szCs w:val="24"/>
        </w:rPr>
      </w:pPr>
      <w:r>
        <w:rPr>
          <w:rFonts w:ascii="Times New Roman" w:hAnsi="Times New Roman" w:cs="Times New Roman"/>
          <w:sz w:val="24"/>
          <w:szCs w:val="24"/>
        </w:rPr>
        <w:t>Comparison</w:t>
      </w:r>
    </w:p>
    <w:p w:rsidR="00C23CC4" w:rsidRPr="00AC5045" w:rsidRDefault="0026752B" w:rsidP="00B62475">
      <w:pPr>
        <w:spacing w:line="480" w:lineRule="auto"/>
        <w:ind w:firstLine="720"/>
        <w:rPr>
          <w:rFonts w:ascii="Times New Roman" w:hAnsi="Times New Roman" w:cs="Times New Roman"/>
          <w:sz w:val="24"/>
          <w:szCs w:val="24"/>
        </w:rPr>
      </w:pPr>
      <w:r w:rsidRPr="0026752B">
        <w:rPr>
          <w:rFonts w:ascii="Times New Roman" w:hAnsi="Times New Roman" w:cs="Times New Roman"/>
          <w:sz w:val="24"/>
          <w:szCs w:val="24"/>
        </w:rPr>
        <w:t xml:space="preserve">The present comparison pertains to conventional care practices that lack specificity </w:t>
      </w:r>
      <w:r w:rsidR="006D6A72">
        <w:rPr>
          <w:rFonts w:ascii="Times New Roman" w:hAnsi="Times New Roman" w:cs="Times New Roman"/>
          <w:sz w:val="24"/>
          <w:szCs w:val="24"/>
        </w:rPr>
        <w:t>toward</w:t>
      </w:r>
      <w:bookmarkStart w:id="0" w:name="_GoBack"/>
      <w:bookmarkEnd w:id="0"/>
      <w:r w:rsidRPr="0026752B">
        <w:rPr>
          <w:rFonts w:ascii="Times New Roman" w:hAnsi="Times New Roman" w:cs="Times New Roman"/>
          <w:sz w:val="24"/>
          <w:szCs w:val="24"/>
        </w:rPr>
        <w:t xml:space="preserve"> early mobility in geriatric patients who are susceptible to developing pressure ulcers.</w:t>
      </w:r>
    </w:p>
    <w:p w:rsidR="00C23CC4" w:rsidRPr="00AC5045" w:rsidRDefault="00875AA5" w:rsidP="00566885">
      <w:pPr>
        <w:spacing w:line="480" w:lineRule="auto"/>
        <w:rPr>
          <w:rFonts w:ascii="Times New Roman" w:hAnsi="Times New Roman" w:cs="Times New Roman"/>
          <w:sz w:val="24"/>
          <w:szCs w:val="24"/>
        </w:rPr>
      </w:pPr>
      <w:r>
        <w:rPr>
          <w:rFonts w:ascii="Times New Roman" w:hAnsi="Times New Roman" w:cs="Times New Roman"/>
          <w:sz w:val="24"/>
          <w:szCs w:val="24"/>
        </w:rPr>
        <w:t>Outcome</w:t>
      </w:r>
    </w:p>
    <w:p w:rsidR="00C23CC4" w:rsidRPr="00AC5045" w:rsidRDefault="00C23CC4" w:rsidP="00566885">
      <w:pPr>
        <w:spacing w:line="480" w:lineRule="auto"/>
        <w:ind w:firstLine="720"/>
        <w:rPr>
          <w:rFonts w:ascii="Times New Roman" w:hAnsi="Times New Roman" w:cs="Times New Roman"/>
          <w:sz w:val="24"/>
          <w:szCs w:val="24"/>
        </w:rPr>
      </w:pPr>
      <w:r w:rsidRPr="00AC5045">
        <w:rPr>
          <w:rFonts w:ascii="Times New Roman" w:hAnsi="Times New Roman" w:cs="Times New Roman"/>
          <w:sz w:val="24"/>
          <w:szCs w:val="24"/>
        </w:rPr>
        <w:t>The outcome being assessed is the incidence of hospital-acquired pressure ulcers in elderly patients. The measurement of this outcome will utilize the Braden Scale for Predicting Pressure Sore Risk as a validated tool.</w:t>
      </w:r>
    </w:p>
    <w:p w:rsidR="00566885" w:rsidRDefault="00875AA5" w:rsidP="0056688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Conclusion</w:t>
      </w:r>
    </w:p>
    <w:p w:rsidR="00BB29E2" w:rsidRDefault="00875AA5" w:rsidP="00566885">
      <w:pPr>
        <w:spacing w:line="480" w:lineRule="auto"/>
        <w:ind w:firstLine="720"/>
        <w:rPr>
          <w:rFonts w:ascii="Times New Roman" w:hAnsi="Times New Roman" w:cs="Times New Roman"/>
          <w:sz w:val="24"/>
          <w:szCs w:val="24"/>
        </w:rPr>
      </w:pPr>
      <w:r w:rsidRPr="00875AA5">
        <w:rPr>
          <w:rFonts w:ascii="Times New Roman" w:hAnsi="Times New Roman" w:cs="Times New Roman"/>
          <w:sz w:val="24"/>
          <w:szCs w:val="24"/>
        </w:rPr>
        <w:t xml:space="preserve">To summarize, </w:t>
      </w:r>
      <w:r w:rsidR="00566885">
        <w:rPr>
          <w:rFonts w:ascii="Times New Roman" w:hAnsi="Times New Roman" w:cs="Times New Roman"/>
          <w:sz w:val="24"/>
          <w:szCs w:val="24"/>
        </w:rPr>
        <w:t>the</w:t>
      </w:r>
      <w:r w:rsidR="00DE087F">
        <w:rPr>
          <w:rFonts w:ascii="Times New Roman" w:hAnsi="Times New Roman" w:cs="Times New Roman"/>
          <w:sz w:val="24"/>
          <w:szCs w:val="24"/>
        </w:rPr>
        <w:t xml:space="preserve"> study aimed</w:t>
      </w:r>
      <w:r w:rsidRPr="00875AA5">
        <w:rPr>
          <w:rFonts w:ascii="Times New Roman" w:hAnsi="Times New Roman" w:cs="Times New Roman"/>
          <w:sz w:val="24"/>
          <w:szCs w:val="24"/>
        </w:rPr>
        <w:t xml:space="preserve"> to examine the effectiveness of early mobility initiatives in minimizing pressure ulcers acquired while hospitalized among the elderly. The relevance of this issue was underscored, emphasizing its value to patients, their loved ones, the healthcare industry, and the wider community. </w:t>
      </w:r>
      <w:r w:rsidR="002F3D56">
        <w:rPr>
          <w:rFonts w:ascii="Times New Roman" w:hAnsi="Times New Roman" w:cs="Times New Roman"/>
          <w:sz w:val="24"/>
          <w:szCs w:val="24"/>
        </w:rPr>
        <w:t>The PICO query was constructed to achieve this goal</w:t>
      </w:r>
      <w:r w:rsidRPr="00875AA5">
        <w:rPr>
          <w:rFonts w:ascii="Times New Roman" w:hAnsi="Times New Roman" w:cs="Times New Roman"/>
          <w:sz w:val="24"/>
          <w:szCs w:val="24"/>
        </w:rPr>
        <w:t>, outlining the target population, intervention, comparison, and desired outcome.</w:t>
      </w:r>
    </w:p>
    <w:p w:rsidR="00BB29E2" w:rsidRPr="00BB29E2" w:rsidRDefault="00BB29E2" w:rsidP="00B62475">
      <w:pPr>
        <w:rPr>
          <w:rFonts w:ascii="Times New Roman" w:hAnsi="Times New Roman" w:cs="Times New Roman"/>
          <w:sz w:val="24"/>
          <w:szCs w:val="24"/>
        </w:rPr>
      </w:pPr>
    </w:p>
    <w:p w:rsidR="00BB29E2" w:rsidRDefault="00BB29E2" w:rsidP="00B62475">
      <w:pPr>
        <w:rPr>
          <w:rFonts w:ascii="Times New Roman" w:hAnsi="Times New Roman" w:cs="Times New Roman"/>
          <w:sz w:val="24"/>
          <w:szCs w:val="24"/>
        </w:rPr>
      </w:pPr>
    </w:p>
    <w:p w:rsidR="00875AA5" w:rsidRDefault="00875AA5" w:rsidP="00B62475">
      <w:pPr>
        <w:jc w:val="center"/>
        <w:rPr>
          <w:rFonts w:ascii="Times New Roman" w:hAnsi="Times New Roman" w:cs="Times New Roman"/>
          <w:sz w:val="24"/>
          <w:szCs w:val="24"/>
        </w:rPr>
      </w:pPr>
    </w:p>
    <w:p w:rsidR="00BB29E2" w:rsidRDefault="00BB29E2" w:rsidP="00B62475">
      <w:pPr>
        <w:jc w:val="center"/>
        <w:rPr>
          <w:rFonts w:ascii="Times New Roman" w:hAnsi="Times New Roman" w:cs="Times New Roman"/>
          <w:sz w:val="24"/>
          <w:szCs w:val="24"/>
        </w:rPr>
      </w:pPr>
    </w:p>
    <w:p w:rsidR="00BB29E2" w:rsidRDefault="00BB29E2" w:rsidP="00B62475">
      <w:pPr>
        <w:jc w:val="center"/>
        <w:rPr>
          <w:rFonts w:ascii="Times New Roman" w:hAnsi="Times New Roman" w:cs="Times New Roman"/>
          <w:sz w:val="24"/>
          <w:szCs w:val="24"/>
        </w:rPr>
      </w:pPr>
    </w:p>
    <w:p w:rsidR="00BB29E2" w:rsidRDefault="00BB29E2" w:rsidP="00B62475">
      <w:pPr>
        <w:jc w:val="center"/>
        <w:rPr>
          <w:rFonts w:ascii="Times New Roman" w:hAnsi="Times New Roman" w:cs="Times New Roman"/>
          <w:sz w:val="24"/>
          <w:szCs w:val="24"/>
        </w:rPr>
      </w:pPr>
    </w:p>
    <w:p w:rsidR="00BB29E2" w:rsidRDefault="00BB29E2" w:rsidP="00B62475">
      <w:pPr>
        <w:jc w:val="center"/>
        <w:rPr>
          <w:rFonts w:ascii="Times New Roman" w:hAnsi="Times New Roman" w:cs="Times New Roman"/>
          <w:sz w:val="24"/>
          <w:szCs w:val="24"/>
        </w:rPr>
      </w:pPr>
    </w:p>
    <w:p w:rsidR="00BB29E2" w:rsidRDefault="00BB29E2" w:rsidP="00B62475">
      <w:pPr>
        <w:jc w:val="center"/>
        <w:rPr>
          <w:rFonts w:ascii="Times New Roman" w:hAnsi="Times New Roman" w:cs="Times New Roman"/>
          <w:sz w:val="24"/>
          <w:szCs w:val="24"/>
        </w:rPr>
      </w:pPr>
    </w:p>
    <w:p w:rsidR="00BB29E2" w:rsidRDefault="00BB29E2" w:rsidP="00B62475">
      <w:pPr>
        <w:jc w:val="center"/>
        <w:rPr>
          <w:rFonts w:ascii="Times New Roman" w:hAnsi="Times New Roman" w:cs="Times New Roman"/>
          <w:sz w:val="24"/>
          <w:szCs w:val="24"/>
        </w:rPr>
      </w:pPr>
    </w:p>
    <w:p w:rsidR="00BB29E2" w:rsidRDefault="00BB29E2" w:rsidP="00B62475">
      <w:pPr>
        <w:jc w:val="center"/>
        <w:rPr>
          <w:rFonts w:ascii="Times New Roman" w:hAnsi="Times New Roman" w:cs="Times New Roman"/>
          <w:sz w:val="24"/>
          <w:szCs w:val="24"/>
        </w:rPr>
      </w:pPr>
    </w:p>
    <w:p w:rsidR="00BB29E2" w:rsidRDefault="00BB29E2" w:rsidP="00B62475">
      <w:pPr>
        <w:jc w:val="center"/>
        <w:rPr>
          <w:rFonts w:ascii="Times New Roman" w:hAnsi="Times New Roman" w:cs="Times New Roman"/>
          <w:sz w:val="24"/>
          <w:szCs w:val="24"/>
        </w:rPr>
      </w:pPr>
    </w:p>
    <w:p w:rsidR="00BB29E2" w:rsidRDefault="00BB29E2" w:rsidP="00B62475">
      <w:pPr>
        <w:jc w:val="center"/>
        <w:rPr>
          <w:rFonts w:ascii="Times New Roman" w:hAnsi="Times New Roman" w:cs="Times New Roman"/>
          <w:sz w:val="24"/>
          <w:szCs w:val="24"/>
        </w:rPr>
      </w:pPr>
    </w:p>
    <w:p w:rsidR="00BB29E2" w:rsidRDefault="00BB29E2" w:rsidP="00B62475">
      <w:pPr>
        <w:jc w:val="center"/>
        <w:rPr>
          <w:rFonts w:ascii="Times New Roman" w:hAnsi="Times New Roman" w:cs="Times New Roman"/>
          <w:sz w:val="24"/>
          <w:szCs w:val="24"/>
        </w:rPr>
      </w:pPr>
    </w:p>
    <w:p w:rsidR="00BB29E2" w:rsidRDefault="00BB29E2" w:rsidP="00B62475">
      <w:pPr>
        <w:jc w:val="center"/>
        <w:rPr>
          <w:rFonts w:ascii="Times New Roman" w:hAnsi="Times New Roman" w:cs="Times New Roman"/>
          <w:sz w:val="24"/>
          <w:szCs w:val="24"/>
        </w:rPr>
      </w:pPr>
    </w:p>
    <w:p w:rsidR="00BB29E2" w:rsidRDefault="00BB29E2" w:rsidP="00B62475">
      <w:pPr>
        <w:jc w:val="center"/>
        <w:rPr>
          <w:rFonts w:ascii="Times New Roman" w:hAnsi="Times New Roman" w:cs="Times New Roman"/>
          <w:sz w:val="24"/>
          <w:szCs w:val="24"/>
        </w:rPr>
      </w:pPr>
    </w:p>
    <w:p w:rsidR="00BB29E2" w:rsidRDefault="00BB29E2" w:rsidP="00B62475">
      <w:pPr>
        <w:jc w:val="center"/>
        <w:rPr>
          <w:rFonts w:ascii="Times New Roman" w:hAnsi="Times New Roman" w:cs="Times New Roman"/>
          <w:sz w:val="24"/>
          <w:szCs w:val="24"/>
        </w:rPr>
      </w:pPr>
    </w:p>
    <w:p w:rsidR="00BB29E2" w:rsidRDefault="00BB29E2" w:rsidP="00B62475">
      <w:pPr>
        <w:jc w:val="center"/>
        <w:rPr>
          <w:rFonts w:ascii="Times New Roman" w:hAnsi="Times New Roman" w:cs="Times New Roman"/>
          <w:sz w:val="24"/>
          <w:szCs w:val="24"/>
        </w:rPr>
      </w:pPr>
    </w:p>
    <w:p w:rsidR="00BB29E2" w:rsidRDefault="00BB29E2" w:rsidP="00B62475">
      <w:pPr>
        <w:rPr>
          <w:rFonts w:ascii="Times New Roman" w:hAnsi="Times New Roman" w:cs="Times New Roman"/>
          <w:sz w:val="24"/>
          <w:szCs w:val="24"/>
        </w:rPr>
      </w:pPr>
    </w:p>
    <w:p w:rsidR="002F3D56" w:rsidRDefault="002F3D56" w:rsidP="00B62475">
      <w:pPr>
        <w:jc w:val="center"/>
        <w:rPr>
          <w:rFonts w:ascii="Times New Roman" w:hAnsi="Times New Roman" w:cs="Times New Roman"/>
          <w:sz w:val="24"/>
          <w:szCs w:val="24"/>
        </w:rPr>
      </w:pPr>
    </w:p>
    <w:p w:rsidR="00566885" w:rsidRDefault="00566885" w:rsidP="00B62475">
      <w:pPr>
        <w:jc w:val="center"/>
        <w:rPr>
          <w:rFonts w:ascii="Times New Roman" w:hAnsi="Times New Roman" w:cs="Times New Roman"/>
          <w:sz w:val="24"/>
          <w:szCs w:val="24"/>
        </w:rPr>
      </w:pPr>
    </w:p>
    <w:p w:rsidR="00BB29E2" w:rsidRDefault="00BB29E2" w:rsidP="00B62475">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B29E2" w:rsidRPr="00BB29E2" w:rsidRDefault="00BB29E2" w:rsidP="00664387">
      <w:pPr>
        <w:spacing w:line="480" w:lineRule="auto"/>
        <w:ind w:left="720" w:hanging="720"/>
        <w:rPr>
          <w:rFonts w:ascii="Times New Roman" w:hAnsi="Times New Roman" w:cs="Times New Roman"/>
          <w:color w:val="222222"/>
          <w:sz w:val="24"/>
          <w:szCs w:val="24"/>
          <w:shd w:val="clear" w:color="auto" w:fill="FFFFFF"/>
        </w:rPr>
      </w:pPr>
      <w:r w:rsidRPr="00BB29E2">
        <w:rPr>
          <w:rFonts w:ascii="Times New Roman" w:hAnsi="Times New Roman" w:cs="Times New Roman"/>
          <w:color w:val="222222"/>
          <w:sz w:val="24"/>
          <w:szCs w:val="24"/>
          <w:shd w:val="clear" w:color="auto" w:fill="FFFFFF"/>
        </w:rPr>
        <w:t>Floyd, N. A., Dominguez-</w:t>
      </w:r>
      <w:proofErr w:type="spellStart"/>
      <w:r w:rsidRPr="00BB29E2">
        <w:rPr>
          <w:rFonts w:ascii="Times New Roman" w:hAnsi="Times New Roman" w:cs="Times New Roman"/>
          <w:color w:val="222222"/>
          <w:sz w:val="24"/>
          <w:szCs w:val="24"/>
          <w:shd w:val="clear" w:color="auto" w:fill="FFFFFF"/>
        </w:rPr>
        <w:t>Cancino</w:t>
      </w:r>
      <w:proofErr w:type="spellEnd"/>
      <w:r w:rsidRPr="00BB29E2">
        <w:rPr>
          <w:rFonts w:ascii="Times New Roman" w:hAnsi="Times New Roman" w:cs="Times New Roman"/>
          <w:color w:val="222222"/>
          <w:sz w:val="24"/>
          <w:szCs w:val="24"/>
          <w:shd w:val="clear" w:color="auto" w:fill="FFFFFF"/>
        </w:rPr>
        <w:t>, K. A., Butler, L. G., Rivera-</w:t>
      </w:r>
      <w:proofErr w:type="spellStart"/>
      <w:r w:rsidRPr="00BB29E2">
        <w:rPr>
          <w:rFonts w:ascii="Times New Roman" w:hAnsi="Times New Roman" w:cs="Times New Roman"/>
          <w:color w:val="222222"/>
          <w:sz w:val="24"/>
          <w:szCs w:val="24"/>
          <w:shd w:val="clear" w:color="auto" w:fill="FFFFFF"/>
        </w:rPr>
        <w:t>Lozada</w:t>
      </w:r>
      <w:proofErr w:type="spellEnd"/>
      <w:r w:rsidRPr="00BB29E2">
        <w:rPr>
          <w:rFonts w:ascii="Times New Roman" w:hAnsi="Times New Roman" w:cs="Times New Roman"/>
          <w:color w:val="222222"/>
          <w:sz w:val="24"/>
          <w:szCs w:val="24"/>
          <w:shd w:val="clear" w:color="auto" w:fill="FFFFFF"/>
        </w:rPr>
        <w:t xml:space="preserve">, O., Leyva-Moral, J. M., &amp; Palmieri, P. A. (2021). The effectiveness of care bundles including the </w:t>
      </w:r>
      <w:proofErr w:type="spellStart"/>
      <w:r w:rsidRPr="00BB29E2">
        <w:rPr>
          <w:rFonts w:ascii="Times New Roman" w:hAnsi="Times New Roman" w:cs="Times New Roman"/>
          <w:color w:val="222222"/>
          <w:sz w:val="24"/>
          <w:szCs w:val="24"/>
          <w:shd w:val="clear" w:color="auto" w:fill="FFFFFF"/>
        </w:rPr>
        <w:t>braden</w:t>
      </w:r>
      <w:proofErr w:type="spellEnd"/>
      <w:r w:rsidRPr="00BB29E2">
        <w:rPr>
          <w:rFonts w:ascii="Times New Roman" w:hAnsi="Times New Roman" w:cs="Times New Roman"/>
          <w:color w:val="222222"/>
          <w:sz w:val="24"/>
          <w:szCs w:val="24"/>
          <w:shd w:val="clear" w:color="auto" w:fill="FFFFFF"/>
        </w:rPr>
        <w:t xml:space="preserve"> scale for preventing hospital acquired pressure ulcers in older adults hospitalized in </w:t>
      </w:r>
      <w:proofErr w:type="spellStart"/>
      <w:r w:rsidRPr="00BB29E2">
        <w:rPr>
          <w:rFonts w:ascii="Times New Roman" w:hAnsi="Times New Roman" w:cs="Times New Roman"/>
          <w:color w:val="222222"/>
          <w:sz w:val="24"/>
          <w:szCs w:val="24"/>
          <w:shd w:val="clear" w:color="auto" w:fill="FFFFFF"/>
        </w:rPr>
        <w:t>icus</w:t>
      </w:r>
      <w:proofErr w:type="spellEnd"/>
      <w:r w:rsidRPr="00BB29E2">
        <w:rPr>
          <w:rFonts w:ascii="Times New Roman" w:hAnsi="Times New Roman" w:cs="Times New Roman"/>
          <w:color w:val="222222"/>
          <w:sz w:val="24"/>
          <w:szCs w:val="24"/>
          <w:shd w:val="clear" w:color="auto" w:fill="FFFFFF"/>
        </w:rPr>
        <w:t>: A Systematic review. </w:t>
      </w:r>
      <w:r w:rsidRPr="00BB29E2">
        <w:rPr>
          <w:rFonts w:ascii="Times New Roman" w:hAnsi="Times New Roman" w:cs="Times New Roman"/>
          <w:i/>
          <w:iCs/>
          <w:color w:val="222222"/>
          <w:sz w:val="24"/>
          <w:szCs w:val="24"/>
          <w:shd w:val="clear" w:color="auto" w:fill="FFFFFF"/>
        </w:rPr>
        <w:t>The Open Nursing Journal</w:t>
      </w:r>
      <w:r w:rsidRPr="00BB29E2">
        <w:rPr>
          <w:rFonts w:ascii="Times New Roman" w:hAnsi="Times New Roman" w:cs="Times New Roman"/>
          <w:color w:val="222222"/>
          <w:sz w:val="24"/>
          <w:szCs w:val="24"/>
          <w:shd w:val="clear" w:color="auto" w:fill="FFFFFF"/>
        </w:rPr>
        <w:t>, </w:t>
      </w:r>
      <w:r w:rsidRPr="00BB29E2">
        <w:rPr>
          <w:rFonts w:ascii="Times New Roman" w:hAnsi="Times New Roman" w:cs="Times New Roman"/>
          <w:i/>
          <w:iCs/>
          <w:color w:val="222222"/>
          <w:sz w:val="24"/>
          <w:szCs w:val="24"/>
          <w:shd w:val="clear" w:color="auto" w:fill="FFFFFF"/>
        </w:rPr>
        <w:t>15</w:t>
      </w:r>
      <w:r w:rsidRPr="00BB29E2">
        <w:rPr>
          <w:rFonts w:ascii="Times New Roman" w:hAnsi="Times New Roman" w:cs="Times New Roman"/>
          <w:color w:val="222222"/>
          <w:sz w:val="24"/>
          <w:szCs w:val="24"/>
          <w:shd w:val="clear" w:color="auto" w:fill="FFFFFF"/>
        </w:rPr>
        <w:t>(1).</w:t>
      </w:r>
    </w:p>
    <w:p w:rsidR="00BB29E2" w:rsidRPr="00BB29E2" w:rsidRDefault="00BB29E2" w:rsidP="00664387">
      <w:pPr>
        <w:spacing w:line="480" w:lineRule="auto"/>
        <w:ind w:left="720" w:hanging="720"/>
        <w:rPr>
          <w:rFonts w:ascii="Times New Roman" w:hAnsi="Times New Roman" w:cs="Times New Roman"/>
          <w:sz w:val="24"/>
          <w:szCs w:val="24"/>
        </w:rPr>
      </w:pPr>
      <w:r w:rsidRPr="00BB29E2">
        <w:rPr>
          <w:rFonts w:ascii="Times New Roman" w:hAnsi="Times New Roman" w:cs="Times New Roman"/>
          <w:color w:val="222222"/>
          <w:sz w:val="24"/>
          <w:szCs w:val="24"/>
          <w:shd w:val="clear" w:color="auto" w:fill="FFFFFF"/>
        </w:rPr>
        <w:t>Harris, G. (2021). Impact of a Nurse-Led Early Mobility Protocol in Postoperative General Surgery Older Adults on Medical-Surgical Units.</w:t>
      </w:r>
    </w:p>
    <w:sectPr w:rsidR="00BB29E2" w:rsidRPr="00BB29E2">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771" w:rsidRDefault="00CE5771" w:rsidP="00AC5045">
      <w:pPr>
        <w:spacing w:after="0" w:line="240" w:lineRule="auto"/>
      </w:pPr>
      <w:r>
        <w:separator/>
      </w:r>
    </w:p>
  </w:endnote>
  <w:endnote w:type="continuationSeparator" w:id="0">
    <w:p w:rsidR="00CE5771" w:rsidRDefault="00CE5771" w:rsidP="00AC5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771" w:rsidRDefault="00CE5771" w:rsidP="00AC5045">
      <w:pPr>
        <w:spacing w:after="0" w:line="240" w:lineRule="auto"/>
      </w:pPr>
      <w:r>
        <w:separator/>
      </w:r>
    </w:p>
  </w:footnote>
  <w:footnote w:type="continuationSeparator" w:id="0">
    <w:p w:rsidR="00CE5771" w:rsidRDefault="00CE5771" w:rsidP="00AC50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0030661"/>
      <w:docPartObj>
        <w:docPartGallery w:val="Page Numbers (Top of Page)"/>
        <w:docPartUnique/>
      </w:docPartObj>
    </w:sdtPr>
    <w:sdtEndPr>
      <w:rPr>
        <w:noProof/>
      </w:rPr>
    </w:sdtEndPr>
    <w:sdtContent>
      <w:p w:rsidR="00AC5045" w:rsidRDefault="00AC5045">
        <w:pPr>
          <w:pStyle w:val="Header"/>
          <w:jc w:val="right"/>
        </w:pPr>
        <w:r>
          <w:fldChar w:fldCharType="begin"/>
        </w:r>
        <w:r>
          <w:instrText xml:space="preserve"> PAGE   \* MERGEFORMAT </w:instrText>
        </w:r>
        <w:r>
          <w:fldChar w:fldCharType="separate"/>
        </w:r>
        <w:r w:rsidR="006D6A72">
          <w:rPr>
            <w:noProof/>
          </w:rPr>
          <w:t>4</w:t>
        </w:r>
        <w:r>
          <w:rPr>
            <w:noProof/>
          </w:rPr>
          <w:fldChar w:fldCharType="end"/>
        </w:r>
      </w:p>
    </w:sdtContent>
  </w:sdt>
  <w:p w:rsidR="00AC5045" w:rsidRDefault="00AC50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CC4"/>
    <w:rsid w:val="000D29A4"/>
    <w:rsid w:val="000E0185"/>
    <w:rsid w:val="001C439A"/>
    <w:rsid w:val="0026752B"/>
    <w:rsid w:val="002F3D56"/>
    <w:rsid w:val="00323B9D"/>
    <w:rsid w:val="00561D41"/>
    <w:rsid w:val="00566885"/>
    <w:rsid w:val="005A0EC0"/>
    <w:rsid w:val="00654F28"/>
    <w:rsid w:val="00664387"/>
    <w:rsid w:val="006D6A72"/>
    <w:rsid w:val="00875AA5"/>
    <w:rsid w:val="0091318C"/>
    <w:rsid w:val="00AC5045"/>
    <w:rsid w:val="00B057B4"/>
    <w:rsid w:val="00B62475"/>
    <w:rsid w:val="00BB29E2"/>
    <w:rsid w:val="00C23CC4"/>
    <w:rsid w:val="00CE5771"/>
    <w:rsid w:val="00DE087F"/>
    <w:rsid w:val="00E3696D"/>
    <w:rsid w:val="00E42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11FEDD-9711-4CEF-8514-D9102766A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List">
    <w:name w:val="Author List"/>
    <w:basedOn w:val="Normal"/>
    <w:rsid w:val="00AC5045"/>
    <w:pPr>
      <w:keepLines/>
      <w:suppressAutoHyphens/>
      <w:spacing w:after="0" w:line="480" w:lineRule="auto"/>
      <w:jc w:val="center"/>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5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045"/>
  </w:style>
  <w:style w:type="paragraph" w:styleId="Footer">
    <w:name w:val="footer"/>
    <w:basedOn w:val="Normal"/>
    <w:link w:val="FooterChar"/>
    <w:uiPriority w:val="99"/>
    <w:unhideWhenUsed/>
    <w:rsid w:val="00AC5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5</Pages>
  <Words>712</Words>
  <Characters>3786</Characters>
  <Application>Microsoft Office Word</Application>
  <DocSecurity>0</DocSecurity>
  <Lines>77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Nittolo</dc:creator>
  <cp:keywords/>
  <dc:description/>
  <cp:lastModifiedBy>Tanya Nittolo</cp:lastModifiedBy>
  <cp:revision>14</cp:revision>
  <dcterms:created xsi:type="dcterms:W3CDTF">2023-09-15T17:04:00Z</dcterms:created>
  <dcterms:modified xsi:type="dcterms:W3CDTF">2023-09-20T07:40:00Z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5f227b8f-4859-4981-a2d6-70b6317e6d4f</vt:lpwstr>
  </property>
</Properties>
</file>