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77124" w14:textId="77777777" w:rsidR="004C396E" w:rsidRPr="00E21AA4" w:rsidRDefault="004C396E" w:rsidP="00E21AA4">
      <w:pPr>
        <w:spacing w:line="480" w:lineRule="auto"/>
      </w:pPr>
    </w:p>
    <w:p w14:paraId="40AC586E" w14:textId="77777777" w:rsidR="004C396E" w:rsidRPr="00E21AA4" w:rsidRDefault="004C396E" w:rsidP="00E21AA4">
      <w:pPr>
        <w:spacing w:line="480" w:lineRule="auto"/>
        <w:ind w:left="720" w:hanging="720"/>
        <w:jc w:val="center"/>
        <w:rPr>
          <w:b/>
          <w:bCs/>
        </w:rPr>
      </w:pPr>
    </w:p>
    <w:p w14:paraId="2EC95272" w14:textId="77777777" w:rsidR="004C396E" w:rsidRPr="00E21AA4" w:rsidRDefault="004C396E" w:rsidP="00E21AA4">
      <w:pPr>
        <w:spacing w:line="480" w:lineRule="auto"/>
        <w:ind w:left="720" w:hanging="720"/>
        <w:jc w:val="center"/>
        <w:rPr>
          <w:b/>
          <w:bCs/>
        </w:rPr>
      </w:pPr>
    </w:p>
    <w:p w14:paraId="0D565541" w14:textId="77777777" w:rsidR="004C396E" w:rsidRPr="00E21AA4" w:rsidRDefault="004C396E" w:rsidP="00E21AA4">
      <w:pPr>
        <w:spacing w:line="480" w:lineRule="auto"/>
        <w:ind w:left="720" w:hanging="720"/>
        <w:jc w:val="center"/>
        <w:rPr>
          <w:b/>
          <w:bCs/>
        </w:rPr>
      </w:pPr>
    </w:p>
    <w:p w14:paraId="29DCCDBF" w14:textId="408A729F" w:rsidR="007F2065" w:rsidRPr="00E21AA4" w:rsidRDefault="00C85C30" w:rsidP="00E21AA4">
      <w:pPr>
        <w:spacing w:line="480" w:lineRule="auto"/>
        <w:jc w:val="center"/>
        <w:rPr>
          <w:b/>
          <w:bCs/>
        </w:rPr>
      </w:pPr>
      <w:r>
        <w:rPr>
          <w:b/>
          <w:bCs/>
        </w:rPr>
        <w:t>Assessment 3</w:t>
      </w:r>
      <w:r w:rsidR="002643DE">
        <w:rPr>
          <w:b/>
          <w:bCs/>
        </w:rPr>
        <w:t xml:space="preserve"> –</w:t>
      </w:r>
      <w:r>
        <w:rPr>
          <w:b/>
          <w:bCs/>
        </w:rPr>
        <w:t xml:space="preserve"> </w:t>
      </w:r>
      <w:r w:rsidR="002643DE">
        <w:rPr>
          <w:b/>
          <w:bCs/>
        </w:rPr>
        <w:t>Care Coordination</w:t>
      </w:r>
      <w:r>
        <w:rPr>
          <w:b/>
          <w:bCs/>
        </w:rPr>
        <w:t xml:space="preserve"> Presentation to Colleagues</w:t>
      </w:r>
    </w:p>
    <w:p w14:paraId="54CC74EF" w14:textId="00A0F8EE" w:rsidR="004C396E" w:rsidRPr="00E21AA4" w:rsidRDefault="004C396E" w:rsidP="00E21AA4">
      <w:pPr>
        <w:spacing w:line="480" w:lineRule="auto"/>
        <w:ind w:left="720" w:hanging="720"/>
        <w:jc w:val="center"/>
      </w:pPr>
      <w:r w:rsidRPr="00E21AA4">
        <w:t>Name:</w:t>
      </w:r>
    </w:p>
    <w:p w14:paraId="42AEDB07" w14:textId="77777777" w:rsidR="004C396E" w:rsidRPr="00E21AA4" w:rsidRDefault="004C396E" w:rsidP="00E21AA4">
      <w:pPr>
        <w:spacing w:line="480" w:lineRule="auto"/>
        <w:ind w:left="720" w:hanging="720"/>
        <w:jc w:val="center"/>
      </w:pPr>
      <w:r w:rsidRPr="00E21AA4">
        <w:t>Department:</w:t>
      </w:r>
    </w:p>
    <w:p w14:paraId="49156C17" w14:textId="77777777" w:rsidR="004C396E" w:rsidRPr="00E21AA4" w:rsidRDefault="004C396E" w:rsidP="00E21AA4">
      <w:pPr>
        <w:spacing w:line="480" w:lineRule="auto"/>
        <w:ind w:left="720" w:hanging="720"/>
        <w:jc w:val="center"/>
      </w:pPr>
      <w:r w:rsidRPr="00E21AA4">
        <w:t>Course:</w:t>
      </w:r>
    </w:p>
    <w:p w14:paraId="55E0924F" w14:textId="77777777" w:rsidR="004C396E" w:rsidRPr="00E21AA4" w:rsidRDefault="004C396E" w:rsidP="00E21AA4">
      <w:pPr>
        <w:spacing w:line="480" w:lineRule="auto"/>
        <w:ind w:left="720" w:hanging="720"/>
        <w:jc w:val="center"/>
      </w:pPr>
      <w:r w:rsidRPr="00E21AA4">
        <w:t>Tutor:</w:t>
      </w:r>
    </w:p>
    <w:p w14:paraId="2359C661" w14:textId="77777777" w:rsidR="004C396E" w:rsidRPr="00E21AA4" w:rsidRDefault="004C396E" w:rsidP="00E21AA4">
      <w:pPr>
        <w:spacing w:line="480" w:lineRule="auto"/>
        <w:ind w:left="720" w:hanging="720"/>
        <w:jc w:val="center"/>
      </w:pPr>
      <w:r w:rsidRPr="00E21AA4">
        <w:t>Date:</w:t>
      </w:r>
    </w:p>
    <w:p w14:paraId="461C3D5F" w14:textId="77777777" w:rsidR="004C396E" w:rsidRPr="00E21AA4" w:rsidRDefault="004C396E" w:rsidP="00E21AA4">
      <w:pPr>
        <w:spacing w:line="480" w:lineRule="auto"/>
      </w:pPr>
    </w:p>
    <w:p w14:paraId="446B3FF3" w14:textId="77777777" w:rsidR="004C396E" w:rsidRPr="00E21AA4" w:rsidRDefault="004C396E" w:rsidP="00E21AA4">
      <w:pPr>
        <w:spacing w:line="480" w:lineRule="auto"/>
      </w:pPr>
    </w:p>
    <w:p w14:paraId="61813055" w14:textId="77777777" w:rsidR="004C396E" w:rsidRPr="00E21AA4" w:rsidRDefault="004C396E" w:rsidP="00E21AA4">
      <w:pPr>
        <w:spacing w:line="480" w:lineRule="auto"/>
      </w:pPr>
    </w:p>
    <w:p w14:paraId="34280BAA" w14:textId="77777777" w:rsidR="004C396E" w:rsidRPr="00E21AA4" w:rsidRDefault="004C396E" w:rsidP="00E21AA4">
      <w:pPr>
        <w:spacing w:line="480" w:lineRule="auto"/>
      </w:pPr>
    </w:p>
    <w:p w14:paraId="7F5449FA" w14:textId="77777777" w:rsidR="004C396E" w:rsidRPr="00E21AA4" w:rsidRDefault="004C396E" w:rsidP="00E21AA4">
      <w:pPr>
        <w:spacing w:line="480" w:lineRule="auto"/>
      </w:pPr>
    </w:p>
    <w:p w14:paraId="5FA6F820" w14:textId="77777777" w:rsidR="004C396E" w:rsidRPr="00E21AA4" w:rsidRDefault="004C396E" w:rsidP="00E21AA4">
      <w:pPr>
        <w:spacing w:line="480" w:lineRule="auto"/>
      </w:pPr>
    </w:p>
    <w:p w14:paraId="2389CAA7" w14:textId="77777777" w:rsidR="004C396E" w:rsidRPr="00E21AA4" w:rsidRDefault="004C396E" w:rsidP="00E21AA4">
      <w:pPr>
        <w:spacing w:line="480" w:lineRule="auto"/>
      </w:pPr>
    </w:p>
    <w:p w14:paraId="78303923" w14:textId="670A4D6E" w:rsidR="004C396E" w:rsidRPr="00E21AA4" w:rsidRDefault="004C396E" w:rsidP="00E21AA4">
      <w:pPr>
        <w:spacing w:line="480" w:lineRule="auto"/>
      </w:pPr>
    </w:p>
    <w:p w14:paraId="114966EE" w14:textId="3917F09A" w:rsidR="006A7F59" w:rsidRPr="00E21AA4" w:rsidRDefault="006A7F59" w:rsidP="00E21AA4">
      <w:pPr>
        <w:spacing w:line="480" w:lineRule="auto"/>
      </w:pPr>
    </w:p>
    <w:p w14:paraId="66760342" w14:textId="0558F4BF" w:rsidR="006A7F59" w:rsidRPr="00E21AA4" w:rsidRDefault="006A7F59" w:rsidP="00E21AA4">
      <w:pPr>
        <w:spacing w:line="480" w:lineRule="auto"/>
      </w:pPr>
    </w:p>
    <w:p w14:paraId="36957502" w14:textId="77777777" w:rsidR="00A604DB" w:rsidRPr="00E21AA4" w:rsidRDefault="00A604DB" w:rsidP="00E21AA4">
      <w:pPr>
        <w:spacing w:line="480" w:lineRule="auto"/>
        <w:jc w:val="center"/>
        <w:rPr>
          <w:b/>
          <w:bCs/>
        </w:rPr>
      </w:pPr>
    </w:p>
    <w:p w14:paraId="5AABC2A6" w14:textId="13F3C51B" w:rsidR="00156E0A" w:rsidRDefault="00156E0A" w:rsidP="00E21AA4">
      <w:pPr>
        <w:spacing w:line="480" w:lineRule="auto"/>
        <w:jc w:val="center"/>
        <w:rPr>
          <w:b/>
          <w:bCs/>
        </w:rPr>
      </w:pPr>
    </w:p>
    <w:p w14:paraId="09DD5DC6" w14:textId="77777777" w:rsidR="002643DE" w:rsidRPr="00E21AA4" w:rsidRDefault="002643DE" w:rsidP="00E21AA4">
      <w:pPr>
        <w:spacing w:line="480" w:lineRule="auto"/>
        <w:jc w:val="center"/>
        <w:rPr>
          <w:b/>
          <w:bCs/>
        </w:rPr>
      </w:pPr>
    </w:p>
    <w:p w14:paraId="39329F70" w14:textId="77777777" w:rsidR="00C85C30" w:rsidRPr="00E21AA4" w:rsidRDefault="00C85C30" w:rsidP="00C85C30">
      <w:pPr>
        <w:spacing w:line="480" w:lineRule="auto"/>
        <w:jc w:val="center"/>
        <w:rPr>
          <w:b/>
          <w:bCs/>
        </w:rPr>
      </w:pPr>
      <w:r>
        <w:rPr>
          <w:b/>
          <w:bCs/>
        </w:rPr>
        <w:lastRenderedPageBreak/>
        <w:t>Assessment 3 – Care Coordination Presentation to Colleagues</w:t>
      </w:r>
    </w:p>
    <w:p w14:paraId="20BD4235" w14:textId="7DD00A7F" w:rsidR="00A4466B" w:rsidRDefault="00A4466B" w:rsidP="00A4466B">
      <w:pPr>
        <w:spacing w:line="480" w:lineRule="auto"/>
        <w:ind w:firstLine="720"/>
      </w:pPr>
      <w:r>
        <w:t xml:space="preserve">Hello, everyone. Today, I have the privilege to present on a critical subject that influences the quality of care we provide patient outcomes, and care coordination. This presentation will address care coordination basics and discuss how I and other staff nurses play an expanded role in helping to manage the care continuity process. </w:t>
      </w:r>
      <w:r w:rsidR="0052537F">
        <w:t xml:space="preserve">The basic principles of care coordination refer to the core beliefs undergirding the process of organizing patient care activities and sharing patient data between multiple healthcare providers to foster positive patient outcomes and high-quality care. </w:t>
      </w:r>
      <w:r>
        <w:t xml:space="preserve">I will address the fundamental principles of care coordination and community resources, as well as ethical and policy issues that affect the continuity of care. </w:t>
      </w:r>
    </w:p>
    <w:p w14:paraId="17A19D62" w14:textId="4321968A" w:rsidR="00A4466B" w:rsidRDefault="00A4466B" w:rsidP="00A4466B">
      <w:pPr>
        <w:spacing w:line="480" w:lineRule="auto"/>
        <w:ind w:firstLine="720"/>
      </w:pPr>
      <w:r>
        <w:t xml:space="preserve">Three principles critical to ensuring that patient’s needs and preferences are communicated effectively among all healthcare team members and used to provide timely and safe care include teamwork, shared goals, and effective communication. The fundamental principle of teamwork involves creating formal structures to support care continuity. All healthcare professionals involved in a patient’s care must cultivate a collaborative mindset and a commitment to their roles. Teamwork means that all healthcare team members understand the main goals of care coordination and have clear expectations of themselves and other clinicians (Anderson et al., 2020). Effective teamwork also requires a cooperative mindset that acknowledges the contributions of other members, including patients and their families, and a solid commitment to relationship building. Recognizing that effective care coordination necessitates collaboration, effective relationships, and clear roles will help improve teamwork, positively influencing patient outcomes. </w:t>
      </w:r>
    </w:p>
    <w:p w14:paraId="2E1F7FEF" w14:textId="77777777" w:rsidR="00A4466B" w:rsidRDefault="00A4466B" w:rsidP="00A4466B">
      <w:pPr>
        <w:spacing w:line="480" w:lineRule="auto"/>
        <w:ind w:firstLine="720"/>
      </w:pPr>
      <w:r>
        <w:t xml:space="preserve">The second principle of shared goals is crucial to care coordination, particularly in managing cardiovascular diseases involving complex decision-making relating to medical </w:t>
      </w:r>
      <w:r>
        <w:lastRenderedPageBreak/>
        <w:t>treatment, treatment objectives, and self-care behaviors. Shared goals facilitate teamwork by allowing healthcare professionals to develop interprofessional competencies and inclusive identities. Common treatment goals provide the basis for coordinated healthcare plans, mitigating the risk of adverse reactions from unwanted or unwarranted treatments. For instance, healthcare systems are often fragmented, and healthcare processes may differ between primary care sites and specialty sites. Shared goals help overcome healthcare fragmentation and information silos in multidisciplinary teams, promoting learning about healthcare services, processes, and decision-making of all participating healthcare providers (Spitzer et al., 2023). Additionally, having the same treatment goals fosters relational teamwork, which is particularly relevant for coordinating cardiovascular care that is highly interdependent, uncertain, and time-constrained.</w:t>
      </w:r>
    </w:p>
    <w:p w14:paraId="097BCAAB" w14:textId="77777777" w:rsidR="00A4466B" w:rsidRDefault="00A4466B" w:rsidP="00A4466B">
      <w:pPr>
        <w:spacing w:line="480" w:lineRule="auto"/>
        <w:ind w:firstLine="720"/>
      </w:pPr>
      <w:r>
        <w:t xml:space="preserve">The third principle of communication is also integral to continuity of care, especially for effective operations, quality healthcare delivery, and patient outcomes. Effective communication between healthcare team members is crucial for shared decision-making, treatment plan development, and resource allocation, ultimately enhancing operational efficiency and benefiting patient care. It streamlines patient care activities by ensuring that all healthcare team members understand their roles and can efficiently follow treatment protocols and procedures (Hempel et al., 2023). Effective communication is crucial to improving patients’ survival rates during critical heart disease and stroke events, allowing for prompt coordination between the administration, clinicians, and across departments like cardiology, radiology, and emergency services. Proper communication may include standardized processes like the SBAR tool or EHR systems. Moreover, it is essential to consider the health literacy needs of the patient and their families as </w:t>
      </w:r>
      <w:r>
        <w:lastRenderedPageBreak/>
        <w:t xml:space="preserve">they are also part of the healthcare team: checking for understanding and communicating with kindness improves patient-clinician relationships and ensures treatment adherence. </w:t>
      </w:r>
    </w:p>
    <w:p w14:paraId="20240A8B" w14:textId="26929B35" w:rsidR="00154FE0" w:rsidRDefault="00A4466B" w:rsidP="00154FE0">
      <w:pPr>
        <w:spacing w:line="480" w:lineRule="auto"/>
        <w:ind w:firstLine="720"/>
      </w:pPr>
      <w:r>
        <w:t>On the other hand, some effective strategies for collaborating with patients and their families to achieve desired health outcomes include shared decision-making, patient education, and culturally competent care. The AHA community organization recommends patient involvement in cardiovascular care decisions, endorsing it as an essential feature of high-quality, value-based care (</w:t>
      </w:r>
      <w:proofErr w:type="spellStart"/>
      <w:r>
        <w:t>Himmelfarb</w:t>
      </w:r>
      <w:proofErr w:type="spellEnd"/>
      <w:r>
        <w:t xml:space="preserve"> et al., 2023). An effective way of soliciting the input of patients and their families to achieve desired health outcomes is adopting a patient-centered model of care delivery that is not just focused on the clinical perspective but also integrates patients’ emotional, mental, social, and financial perspectives. Additionally, it is essential to empower patients by providing accurate and accessible education on diagnostics, medication use, and community resources (</w:t>
      </w:r>
      <w:proofErr w:type="spellStart"/>
      <w:r>
        <w:t>Bhattad</w:t>
      </w:r>
      <w:proofErr w:type="spellEnd"/>
      <w:r>
        <w:t xml:space="preserve"> &amp; </w:t>
      </w:r>
      <w:proofErr w:type="spellStart"/>
      <w:r>
        <w:t>Pacifico</w:t>
      </w:r>
      <w:proofErr w:type="spellEnd"/>
      <w:r>
        <w:t xml:space="preserve">, 2022). Healthcare professionals must ensure patients have a thorough understanding of healthcare plans before discharge and enough health literacy to facilitate self-management and positive health outcomes, particularly for patients with chronic cardiovascular issues. The teach-back method is suitable for evaluating patients’ comprehension and adjusting teaching to improve medication adherence and motivate better health behavior and outcomes. Additionally, it is integral to demonstrate cultural competency when providing care and </w:t>
      </w:r>
      <w:r w:rsidR="007F09E6">
        <w:t xml:space="preserve">during </w:t>
      </w:r>
      <w:r>
        <w:t>patient education (</w:t>
      </w:r>
      <w:proofErr w:type="spellStart"/>
      <w:r>
        <w:t>Stubbe</w:t>
      </w:r>
      <w:proofErr w:type="spellEnd"/>
      <w:r>
        <w:t xml:space="preserve">, 2020). </w:t>
      </w:r>
      <w:r w:rsidR="00154FE0">
        <w:t xml:space="preserve">Healthcare professionals can partner with patients and their families to attain shared health outcomes by respecting and responding to patients' preferences, needs, and values. </w:t>
      </w:r>
    </w:p>
    <w:p w14:paraId="37B4FDBA" w14:textId="21B53D3B" w:rsidR="00A4466B" w:rsidRDefault="00154FE0" w:rsidP="00154FE0">
      <w:pPr>
        <w:spacing w:line="480" w:lineRule="auto"/>
        <w:ind w:firstLine="720"/>
      </w:pPr>
      <w:r>
        <w:t>Patient engagement and healthcare technologies like EHR and telehealth are the main entities of change management that deeply influence patient experience and patient-centered care.</w:t>
      </w:r>
      <w:r w:rsidR="00A4466B">
        <w:t xml:space="preserve"> Patient engagement refers to the active participation of patients, families, and </w:t>
      </w:r>
      <w:proofErr w:type="spellStart"/>
      <w:r w:rsidR="00A4466B">
        <w:t>carers</w:t>
      </w:r>
      <w:proofErr w:type="spellEnd"/>
      <w:r w:rsidR="00A4466B">
        <w:t xml:space="preserve"> in their </w:t>
      </w:r>
      <w:r w:rsidR="00A4466B">
        <w:lastRenderedPageBreak/>
        <w:t xml:space="preserve">healthcare decisions, treatment plans, and overall health. It includes all activities and behaviors that empower patients to take charge of their healthcare and wellness: patient engagement is increasingly destined to play a central part in cardiovascular disease management and the development of guideline recommendations (Will &amp; </w:t>
      </w:r>
      <w:proofErr w:type="spellStart"/>
      <w:r w:rsidR="00A4466B">
        <w:t>Mascherbauer</w:t>
      </w:r>
      <w:proofErr w:type="spellEnd"/>
      <w:r w:rsidR="00A4466B">
        <w:t>, 2021). Engaging patients has the potential to ensure that evidence-based cardiovascular treatments and guidelines are adopted in real-world practice to enhance patient outcomes. Another aspect of change management affecting patient experience concerns healthcare technologies like EHR and telehealth. Health IT, EHR, and digital patient outreach technologies can foster positive patient-clinician relationships outside the office (</w:t>
      </w:r>
      <w:proofErr w:type="spellStart"/>
      <w:r w:rsidR="00A4466B">
        <w:t>Pawelek</w:t>
      </w:r>
      <w:proofErr w:type="spellEnd"/>
      <w:r w:rsidR="00A4466B">
        <w:t xml:space="preserve"> et al., 2022). These tools allow healthcare providers and patients to coordinate real-time healthcare and mitigate health concerns through tailored outreach messages.</w:t>
      </w:r>
    </w:p>
    <w:p w14:paraId="1F47D59A" w14:textId="77777777" w:rsidR="00A4466B" w:rsidRDefault="00A4466B" w:rsidP="00A4466B">
      <w:pPr>
        <w:spacing w:line="480" w:lineRule="auto"/>
        <w:ind w:firstLine="720"/>
      </w:pPr>
      <w:r>
        <w:t xml:space="preserve">Similarly, the healthcare policies addressed in the previous presentation, including ACA (at the national level), California’s </w:t>
      </w:r>
      <w:proofErr w:type="spellStart"/>
      <w:r>
        <w:t>Medi</w:t>
      </w:r>
      <w:proofErr w:type="spellEnd"/>
      <w:r>
        <w:t xml:space="preserve">-Cal Program (at the state level), and New York City community health programs (at the local level), have a positive impact on patient outcomes and experiences. All three policies share similar provisions to expand healthcare screening and prevention services to low-income families and individuals, increasing care coordination for underserved populations like minority groups and immigrants. For instance, the study by Jiang et al. (2023), which AHA Journals published, showed that ACA’s Medicaid expansion resulted in a general increase in insurance coverage of cardiac treatments and improved cardiac outcomes and cardiac-tailored prevention and screening. On the other hand, the publication by the California Health Care Foundation (2024) explains why integrating California’s </w:t>
      </w:r>
      <w:proofErr w:type="spellStart"/>
      <w:r>
        <w:t>Medi</w:t>
      </w:r>
      <w:proofErr w:type="spellEnd"/>
      <w:r>
        <w:t xml:space="preserve">-Cal Program with other social services improves health outcomes, especially for patients with complex medical conditions like congenital heart disorders. Similarly, the study by Bales et al. (2023) indicates the </w:t>
      </w:r>
      <w:r>
        <w:lastRenderedPageBreak/>
        <w:t xml:space="preserve">importance of New York City community health programs in screening for cardiovascular disease risk factors in underserved communities, particularly uninsured adults. </w:t>
      </w:r>
    </w:p>
    <w:p w14:paraId="757D5D1F" w14:textId="396FCE6F" w:rsidR="00244F91" w:rsidRDefault="00A4466B" w:rsidP="00A4466B">
      <w:pPr>
        <w:spacing w:line="480" w:lineRule="auto"/>
        <w:ind w:firstLine="720"/>
      </w:pPr>
      <w:r>
        <w:t>In conclusion, nurses are the linchpin of cardiovascular care coordination. Our role goes beyond helping physicians in direct patient care and includes acting as patient educators, advocates, and communicators. By upholding the fundamental principles of teamwork, shared goals, and effective communication, we ensure care coordination across the healthcare continuum from acute care settings to home care.</w:t>
      </w:r>
    </w:p>
    <w:p w14:paraId="114F57F0" w14:textId="3FF089DB" w:rsidR="007F600B" w:rsidRDefault="007F600B" w:rsidP="00A4466B">
      <w:pPr>
        <w:spacing w:line="480" w:lineRule="auto"/>
        <w:ind w:firstLine="720"/>
      </w:pPr>
    </w:p>
    <w:p w14:paraId="09E58023" w14:textId="6823E82C" w:rsidR="007F600B" w:rsidRDefault="007F600B" w:rsidP="00A4466B">
      <w:pPr>
        <w:spacing w:line="480" w:lineRule="auto"/>
        <w:ind w:firstLine="720"/>
      </w:pPr>
    </w:p>
    <w:p w14:paraId="448EC776" w14:textId="134DB9A1" w:rsidR="007F600B" w:rsidRDefault="007F600B" w:rsidP="00A4466B">
      <w:pPr>
        <w:spacing w:line="480" w:lineRule="auto"/>
        <w:ind w:firstLine="720"/>
      </w:pPr>
    </w:p>
    <w:p w14:paraId="27D7061E" w14:textId="16A278CC" w:rsidR="007F600B" w:rsidRDefault="007F600B" w:rsidP="00A4466B">
      <w:pPr>
        <w:spacing w:line="480" w:lineRule="auto"/>
        <w:ind w:firstLine="720"/>
      </w:pPr>
    </w:p>
    <w:p w14:paraId="7200E932" w14:textId="67282ED4" w:rsidR="007F600B" w:rsidRDefault="007F600B" w:rsidP="00A4466B">
      <w:pPr>
        <w:spacing w:line="480" w:lineRule="auto"/>
        <w:ind w:firstLine="720"/>
      </w:pPr>
    </w:p>
    <w:p w14:paraId="0B996040" w14:textId="6C5CE3F8" w:rsidR="007F600B" w:rsidRDefault="007F600B" w:rsidP="00A4466B">
      <w:pPr>
        <w:spacing w:line="480" w:lineRule="auto"/>
        <w:ind w:firstLine="720"/>
      </w:pPr>
    </w:p>
    <w:p w14:paraId="42A2819A" w14:textId="3FE93C77" w:rsidR="007F600B" w:rsidRDefault="007F600B" w:rsidP="00A4466B">
      <w:pPr>
        <w:spacing w:line="480" w:lineRule="auto"/>
        <w:ind w:firstLine="720"/>
      </w:pPr>
    </w:p>
    <w:p w14:paraId="71C17466" w14:textId="596BB0C6" w:rsidR="007F600B" w:rsidRDefault="007F600B" w:rsidP="00A4466B">
      <w:pPr>
        <w:spacing w:line="480" w:lineRule="auto"/>
        <w:ind w:firstLine="720"/>
      </w:pPr>
    </w:p>
    <w:p w14:paraId="13699072" w14:textId="7EBCF8A1" w:rsidR="007F600B" w:rsidRDefault="007F600B" w:rsidP="00A4466B">
      <w:pPr>
        <w:spacing w:line="480" w:lineRule="auto"/>
        <w:ind w:firstLine="720"/>
      </w:pPr>
    </w:p>
    <w:p w14:paraId="286A2909" w14:textId="61F9B959" w:rsidR="007F600B" w:rsidRDefault="007F600B" w:rsidP="00A4466B">
      <w:pPr>
        <w:spacing w:line="480" w:lineRule="auto"/>
        <w:ind w:firstLine="720"/>
      </w:pPr>
    </w:p>
    <w:p w14:paraId="44487F52" w14:textId="31C81270" w:rsidR="003E0D90" w:rsidRDefault="003E0D90" w:rsidP="00A4466B">
      <w:pPr>
        <w:spacing w:line="480" w:lineRule="auto"/>
        <w:ind w:firstLine="720"/>
      </w:pPr>
    </w:p>
    <w:p w14:paraId="637824CF" w14:textId="1DED66A0" w:rsidR="003E0D90" w:rsidRDefault="003E0D90" w:rsidP="00A4466B">
      <w:pPr>
        <w:spacing w:line="480" w:lineRule="auto"/>
        <w:ind w:firstLine="720"/>
      </w:pPr>
    </w:p>
    <w:p w14:paraId="3786C186" w14:textId="1944D48F" w:rsidR="003E0D90" w:rsidRDefault="003E0D90" w:rsidP="00A4466B">
      <w:pPr>
        <w:spacing w:line="480" w:lineRule="auto"/>
        <w:ind w:firstLine="720"/>
      </w:pPr>
    </w:p>
    <w:p w14:paraId="009B2E32" w14:textId="6448E538" w:rsidR="003E0D90" w:rsidRDefault="003E0D90" w:rsidP="00A4466B">
      <w:pPr>
        <w:spacing w:line="480" w:lineRule="auto"/>
        <w:ind w:firstLine="720"/>
      </w:pPr>
    </w:p>
    <w:p w14:paraId="5B8E8AFB" w14:textId="7A1F9C70" w:rsidR="003E0D90" w:rsidRDefault="003E0D90" w:rsidP="00A4466B">
      <w:pPr>
        <w:spacing w:line="480" w:lineRule="auto"/>
        <w:ind w:firstLine="720"/>
      </w:pPr>
    </w:p>
    <w:p w14:paraId="29C17E08" w14:textId="77777777" w:rsidR="003E0D90" w:rsidRDefault="003E0D90" w:rsidP="00A4466B">
      <w:pPr>
        <w:spacing w:line="480" w:lineRule="auto"/>
        <w:ind w:firstLine="720"/>
      </w:pPr>
      <w:bookmarkStart w:id="0" w:name="_GoBack"/>
      <w:bookmarkEnd w:id="0"/>
    </w:p>
    <w:p w14:paraId="298B9794" w14:textId="77777777" w:rsidR="007F600B" w:rsidRPr="007F600B" w:rsidRDefault="007F600B" w:rsidP="007F600B">
      <w:pPr>
        <w:spacing w:line="480" w:lineRule="auto"/>
        <w:jc w:val="center"/>
        <w:outlineLvl w:val="0"/>
        <w:rPr>
          <w:rFonts w:eastAsia="Times New Roman"/>
          <w:b/>
          <w:bCs/>
          <w:kern w:val="36"/>
        </w:rPr>
      </w:pPr>
      <w:r w:rsidRPr="007F600B">
        <w:rPr>
          <w:rFonts w:eastAsia="Times New Roman"/>
          <w:b/>
          <w:bCs/>
          <w:kern w:val="36"/>
        </w:rPr>
        <w:lastRenderedPageBreak/>
        <w:t>References</w:t>
      </w:r>
    </w:p>
    <w:p w14:paraId="6B42E24D" w14:textId="77777777" w:rsidR="007F600B" w:rsidRPr="007F600B" w:rsidRDefault="007F600B" w:rsidP="007F600B">
      <w:pPr>
        <w:spacing w:line="480" w:lineRule="auto"/>
        <w:ind w:left="720" w:hanging="720"/>
        <w:rPr>
          <w:rFonts w:eastAsia="Times New Roman"/>
        </w:rPr>
      </w:pPr>
      <w:r w:rsidRPr="007F600B">
        <w:rPr>
          <w:rFonts w:eastAsia="Times New Roman"/>
        </w:rPr>
        <w:t xml:space="preserve">Anderson, J. E., Lavelle, M., &amp; Reedy, G. (2020). Understanding Adaptive Teamwork in Health care: Progress and Future Directions. </w:t>
      </w:r>
      <w:r w:rsidRPr="007F600B">
        <w:rPr>
          <w:rFonts w:eastAsia="Times New Roman"/>
          <w:i/>
          <w:iCs/>
        </w:rPr>
        <w:t>Journal of Health Services Research &amp; Policy</w:t>
      </w:r>
      <w:r w:rsidRPr="007F600B">
        <w:rPr>
          <w:rFonts w:eastAsia="Times New Roman"/>
        </w:rPr>
        <w:t xml:space="preserve">, </w:t>
      </w:r>
      <w:r w:rsidRPr="007F600B">
        <w:rPr>
          <w:rFonts w:eastAsia="Times New Roman"/>
          <w:i/>
          <w:iCs/>
        </w:rPr>
        <w:t>26</w:t>
      </w:r>
      <w:r w:rsidRPr="007F600B">
        <w:rPr>
          <w:rFonts w:eastAsia="Times New Roman"/>
        </w:rPr>
        <w:t>(3), 208–214. https://doi.org/10.1177/1355819620978436</w:t>
      </w:r>
    </w:p>
    <w:p w14:paraId="7FF0A67F" w14:textId="77777777" w:rsidR="007F600B" w:rsidRPr="007F600B" w:rsidRDefault="007F600B" w:rsidP="007F600B">
      <w:pPr>
        <w:spacing w:line="480" w:lineRule="auto"/>
        <w:ind w:left="720" w:hanging="720"/>
        <w:rPr>
          <w:rFonts w:eastAsia="Times New Roman"/>
        </w:rPr>
      </w:pPr>
      <w:r w:rsidRPr="007F600B">
        <w:rPr>
          <w:rFonts w:eastAsia="Times New Roman"/>
        </w:rPr>
        <w:t xml:space="preserve">Bales, M. E., Zhu, J., </w:t>
      </w:r>
      <w:proofErr w:type="spellStart"/>
      <w:r w:rsidRPr="007F600B">
        <w:rPr>
          <w:rFonts w:eastAsia="Times New Roman"/>
        </w:rPr>
        <w:t>Ganzer</w:t>
      </w:r>
      <w:proofErr w:type="spellEnd"/>
      <w:r w:rsidRPr="007F600B">
        <w:rPr>
          <w:rFonts w:eastAsia="Times New Roman"/>
        </w:rPr>
        <w:t xml:space="preserve">, C. A., </w:t>
      </w:r>
      <w:proofErr w:type="spellStart"/>
      <w:r w:rsidRPr="007F600B">
        <w:rPr>
          <w:rFonts w:eastAsia="Times New Roman"/>
        </w:rPr>
        <w:t>Aboharb</w:t>
      </w:r>
      <w:proofErr w:type="spellEnd"/>
      <w:r w:rsidRPr="007F600B">
        <w:rPr>
          <w:rFonts w:eastAsia="Times New Roman"/>
        </w:rPr>
        <w:t xml:space="preserve">, F., Keeler, A., </w:t>
      </w:r>
      <w:proofErr w:type="spellStart"/>
      <w:r w:rsidRPr="007F600B">
        <w:rPr>
          <w:rFonts w:eastAsia="Times New Roman"/>
        </w:rPr>
        <w:t>Ryon</w:t>
      </w:r>
      <w:proofErr w:type="spellEnd"/>
      <w:r w:rsidRPr="007F600B">
        <w:rPr>
          <w:rFonts w:eastAsia="Times New Roman"/>
        </w:rPr>
        <w:t xml:space="preserve">, K., </w:t>
      </w:r>
      <w:proofErr w:type="spellStart"/>
      <w:r w:rsidRPr="007F600B">
        <w:rPr>
          <w:rFonts w:eastAsia="Times New Roman"/>
        </w:rPr>
        <w:t>Ehrmann</w:t>
      </w:r>
      <w:proofErr w:type="spellEnd"/>
      <w:r w:rsidRPr="007F600B">
        <w:rPr>
          <w:rFonts w:eastAsia="Times New Roman"/>
        </w:rPr>
        <w:t xml:space="preserve">, B. J., &amp; </w:t>
      </w:r>
      <w:proofErr w:type="spellStart"/>
      <w:r w:rsidRPr="007F600B">
        <w:rPr>
          <w:rFonts w:eastAsia="Times New Roman"/>
        </w:rPr>
        <w:t>Imperato</w:t>
      </w:r>
      <w:proofErr w:type="spellEnd"/>
      <w:r w:rsidRPr="007F600B">
        <w:rPr>
          <w:rFonts w:eastAsia="Times New Roman"/>
        </w:rPr>
        <w:t xml:space="preserve">-McGinley, J. (2023). A Retrospective Case Study of Successful Translational Research: Cardiovascular Disease Risk Assessment, Experiences in Community Engagement. </w:t>
      </w:r>
      <w:proofErr w:type="spellStart"/>
      <w:r w:rsidRPr="007F600B">
        <w:rPr>
          <w:rFonts w:eastAsia="Times New Roman"/>
          <w:i/>
          <w:iCs/>
        </w:rPr>
        <w:t>MedRxiv</w:t>
      </w:r>
      <w:proofErr w:type="spellEnd"/>
      <w:r w:rsidRPr="007F600B">
        <w:rPr>
          <w:rFonts w:eastAsia="Times New Roman"/>
          <w:i/>
          <w:iCs/>
        </w:rPr>
        <w:t xml:space="preserve"> (Cold Spring Harbor Laboratory)</w:t>
      </w:r>
      <w:r w:rsidRPr="007F600B">
        <w:rPr>
          <w:rFonts w:eastAsia="Times New Roman"/>
        </w:rPr>
        <w:t>. https://doi.org/10.1101/2023.09.26.23296161</w:t>
      </w:r>
    </w:p>
    <w:p w14:paraId="4E304029" w14:textId="77777777" w:rsidR="007F600B" w:rsidRPr="007F600B" w:rsidRDefault="007F600B" w:rsidP="007F600B">
      <w:pPr>
        <w:spacing w:line="480" w:lineRule="auto"/>
        <w:ind w:left="720" w:hanging="720"/>
        <w:rPr>
          <w:rFonts w:eastAsia="Times New Roman"/>
        </w:rPr>
      </w:pPr>
      <w:proofErr w:type="spellStart"/>
      <w:r w:rsidRPr="007F600B">
        <w:rPr>
          <w:rFonts w:eastAsia="Times New Roman"/>
        </w:rPr>
        <w:t>Bhattad</w:t>
      </w:r>
      <w:proofErr w:type="spellEnd"/>
      <w:r w:rsidRPr="007F600B">
        <w:rPr>
          <w:rFonts w:eastAsia="Times New Roman"/>
        </w:rPr>
        <w:t xml:space="preserve">, P. B., &amp; </w:t>
      </w:r>
      <w:proofErr w:type="spellStart"/>
      <w:r w:rsidRPr="007F600B">
        <w:rPr>
          <w:rFonts w:eastAsia="Times New Roman"/>
        </w:rPr>
        <w:t>Pacifico</w:t>
      </w:r>
      <w:proofErr w:type="spellEnd"/>
      <w:r w:rsidRPr="007F600B">
        <w:rPr>
          <w:rFonts w:eastAsia="Times New Roman"/>
        </w:rPr>
        <w:t xml:space="preserve">, L. (2022). Empowering patients: Promoting Patient Education and Health Literacy. </w:t>
      </w:r>
      <w:proofErr w:type="spellStart"/>
      <w:r w:rsidRPr="007F600B">
        <w:rPr>
          <w:rFonts w:eastAsia="Times New Roman"/>
          <w:i/>
          <w:iCs/>
        </w:rPr>
        <w:t>Cureus</w:t>
      </w:r>
      <w:proofErr w:type="spellEnd"/>
      <w:r w:rsidRPr="007F600B">
        <w:rPr>
          <w:rFonts w:eastAsia="Times New Roman"/>
        </w:rPr>
        <w:t xml:space="preserve">, </w:t>
      </w:r>
      <w:r w:rsidRPr="007F600B">
        <w:rPr>
          <w:rFonts w:eastAsia="Times New Roman"/>
          <w:i/>
          <w:iCs/>
        </w:rPr>
        <w:t>14</w:t>
      </w:r>
      <w:r w:rsidRPr="007F600B">
        <w:rPr>
          <w:rFonts w:eastAsia="Times New Roman"/>
        </w:rPr>
        <w:t>(7). https://doi.org/10.7759/cureus.27336</w:t>
      </w:r>
    </w:p>
    <w:p w14:paraId="2C1A3FA2" w14:textId="77777777" w:rsidR="007F600B" w:rsidRPr="007F600B" w:rsidRDefault="007F600B" w:rsidP="007F600B">
      <w:pPr>
        <w:spacing w:line="480" w:lineRule="auto"/>
        <w:ind w:left="720" w:hanging="720"/>
        <w:rPr>
          <w:rFonts w:eastAsia="Times New Roman"/>
        </w:rPr>
      </w:pPr>
      <w:r w:rsidRPr="007F600B">
        <w:rPr>
          <w:rFonts w:eastAsia="Times New Roman"/>
        </w:rPr>
        <w:t xml:space="preserve">California Health Care Foundation. (2024, May 6). </w:t>
      </w:r>
      <w:proofErr w:type="spellStart"/>
      <w:r w:rsidRPr="007F600B">
        <w:rPr>
          <w:rFonts w:eastAsia="Times New Roman"/>
          <w:i/>
          <w:iCs/>
        </w:rPr>
        <w:t>CalAIM</w:t>
      </w:r>
      <w:proofErr w:type="spellEnd"/>
      <w:r w:rsidRPr="007F600B">
        <w:rPr>
          <w:rFonts w:eastAsia="Times New Roman"/>
          <w:i/>
          <w:iCs/>
        </w:rPr>
        <w:t xml:space="preserve"> Explained: A Five-Year Plan to Transform </w:t>
      </w:r>
      <w:proofErr w:type="spellStart"/>
      <w:r w:rsidRPr="007F600B">
        <w:rPr>
          <w:rFonts w:eastAsia="Times New Roman"/>
          <w:i/>
          <w:iCs/>
        </w:rPr>
        <w:t>Medi</w:t>
      </w:r>
      <w:proofErr w:type="spellEnd"/>
      <w:r w:rsidRPr="007F600B">
        <w:rPr>
          <w:rFonts w:eastAsia="Times New Roman"/>
          <w:i/>
          <w:iCs/>
        </w:rPr>
        <w:t>-Cal - California Health Care Foundation</w:t>
      </w:r>
      <w:r w:rsidRPr="007F600B">
        <w:rPr>
          <w:rFonts w:eastAsia="Times New Roman"/>
        </w:rPr>
        <w:t>. California Health Care Foundation. https://www.chcf.org/publication/calaim-explained-five-year-plan-transform-medi-cal/#related-links-and-downloads</w:t>
      </w:r>
    </w:p>
    <w:p w14:paraId="0608026C" w14:textId="77777777" w:rsidR="007F600B" w:rsidRPr="007F600B" w:rsidRDefault="007F600B" w:rsidP="007F600B">
      <w:pPr>
        <w:spacing w:line="480" w:lineRule="auto"/>
        <w:ind w:left="720" w:hanging="720"/>
        <w:rPr>
          <w:rFonts w:eastAsia="Times New Roman"/>
        </w:rPr>
      </w:pPr>
      <w:r w:rsidRPr="007F600B">
        <w:rPr>
          <w:rFonts w:eastAsia="Times New Roman"/>
        </w:rPr>
        <w:t xml:space="preserve">Hempel, S., Ganz, D., </w:t>
      </w:r>
      <w:proofErr w:type="spellStart"/>
      <w:r w:rsidRPr="007F600B">
        <w:rPr>
          <w:rFonts w:eastAsia="Times New Roman"/>
        </w:rPr>
        <w:t>Saluja</w:t>
      </w:r>
      <w:proofErr w:type="spellEnd"/>
      <w:r w:rsidRPr="007F600B">
        <w:rPr>
          <w:rFonts w:eastAsia="Times New Roman"/>
        </w:rPr>
        <w:t xml:space="preserve">, S., </w:t>
      </w:r>
      <w:proofErr w:type="spellStart"/>
      <w:r w:rsidRPr="007F600B">
        <w:rPr>
          <w:rFonts w:eastAsia="Times New Roman"/>
        </w:rPr>
        <w:t>Bolshakova</w:t>
      </w:r>
      <w:proofErr w:type="spellEnd"/>
      <w:r w:rsidRPr="007F600B">
        <w:rPr>
          <w:rFonts w:eastAsia="Times New Roman"/>
        </w:rPr>
        <w:t xml:space="preserve">, M., Kim, T., </w:t>
      </w:r>
      <w:proofErr w:type="spellStart"/>
      <w:r w:rsidRPr="007F600B">
        <w:rPr>
          <w:rFonts w:eastAsia="Times New Roman"/>
        </w:rPr>
        <w:t>Turvey</w:t>
      </w:r>
      <w:proofErr w:type="spellEnd"/>
      <w:r w:rsidRPr="007F600B">
        <w:rPr>
          <w:rFonts w:eastAsia="Times New Roman"/>
        </w:rPr>
        <w:t xml:space="preserve">, C., </w:t>
      </w:r>
      <w:proofErr w:type="spellStart"/>
      <w:r w:rsidRPr="007F600B">
        <w:rPr>
          <w:rFonts w:eastAsia="Times New Roman"/>
        </w:rPr>
        <w:t>Cordasco</w:t>
      </w:r>
      <w:proofErr w:type="spellEnd"/>
      <w:r w:rsidRPr="007F600B">
        <w:rPr>
          <w:rFonts w:eastAsia="Times New Roman"/>
        </w:rPr>
        <w:t xml:space="preserve">, K., </w:t>
      </w:r>
      <w:proofErr w:type="spellStart"/>
      <w:r w:rsidRPr="007F600B">
        <w:rPr>
          <w:rFonts w:eastAsia="Times New Roman"/>
        </w:rPr>
        <w:t>Basu</w:t>
      </w:r>
      <w:proofErr w:type="spellEnd"/>
      <w:r w:rsidRPr="007F600B">
        <w:rPr>
          <w:rFonts w:eastAsia="Times New Roman"/>
        </w:rPr>
        <w:t xml:space="preserve">, A., Page, T., Mahmood, R., </w:t>
      </w:r>
      <w:proofErr w:type="spellStart"/>
      <w:r w:rsidRPr="007F600B">
        <w:rPr>
          <w:rFonts w:eastAsia="Times New Roman"/>
        </w:rPr>
        <w:t>Motala</w:t>
      </w:r>
      <w:proofErr w:type="spellEnd"/>
      <w:r w:rsidRPr="007F600B">
        <w:rPr>
          <w:rFonts w:eastAsia="Times New Roman"/>
        </w:rPr>
        <w:t xml:space="preserve">, A., Barnard, J., Wong, M., Fu, N., &amp; </w:t>
      </w:r>
      <w:proofErr w:type="spellStart"/>
      <w:r w:rsidRPr="007F600B">
        <w:rPr>
          <w:rFonts w:eastAsia="Times New Roman"/>
        </w:rPr>
        <w:t>Miake</w:t>
      </w:r>
      <w:proofErr w:type="spellEnd"/>
      <w:r w:rsidRPr="007F600B">
        <w:rPr>
          <w:rFonts w:eastAsia="Times New Roman"/>
        </w:rPr>
        <w:t xml:space="preserve">-Lye, I. M. (2023). Care coordination across healthcare systems: development of a research agenda, implications for practice, and recommendations for policy based on a modified Delphi panel. </w:t>
      </w:r>
      <w:r w:rsidRPr="007F600B">
        <w:rPr>
          <w:rFonts w:eastAsia="Times New Roman"/>
          <w:i/>
          <w:iCs/>
        </w:rPr>
        <w:t>BMJ Open</w:t>
      </w:r>
      <w:r w:rsidRPr="007F600B">
        <w:rPr>
          <w:rFonts w:eastAsia="Times New Roman"/>
        </w:rPr>
        <w:t xml:space="preserve">, </w:t>
      </w:r>
      <w:r w:rsidRPr="007F600B">
        <w:rPr>
          <w:rFonts w:eastAsia="Times New Roman"/>
          <w:i/>
          <w:iCs/>
        </w:rPr>
        <w:t>13</w:t>
      </w:r>
      <w:r w:rsidRPr="007F600B">
        <w:rPr>
          <w:rFonts w:eastAsia="Times New Roman"/>
        </w:rPr>
        <w:t>(5), e060232. https://doi.org/10.1136/bmjopen-2021-060232</w:t>
      </w:r>
    </w:p>
    <w:p w14:paraId="7C51912B" w14:textId="77777777" w:rsidR="007F600B" w:rsidRPr="007F600B" w:rsidRDefault="007F600B" w:rsidP="007F600B">
      <w:pPr>
        <w:spacing w:line="480" w:lineRule="auto"/>
        <w:ind w:left="720" w:hanging="720"/>
        <w:rPr>
          <w:rFonts w:eastAsia="Times New Roman"/>
        </w:rPr>
      </w:pPr>
      <w:proofErr w:type="spellStart"/>
      <w:r w:rsidRPr="007F600B">
        <w:rPr>
          <w:rFonts w:eastAsia="Times New Roman"/>
        </w:rPr>
        <w:t>Himmelfarb</w:t>
      </w:r>
      <w:proofErr w:type="spellEnd"/>
      <w:r w:rsidRPr="007F600B">
        <w:rPr>
          <w:rFonts w:eastAsia="Times New Roman"/>
        </w:rPr>
        <w:t xml:space="preserve">, C. D., </w:t>
      </w:r>
      <w:proofErr w:type="spellStart"/>
      <w:r w:rsidRPr="007F600B">
        <w:rPr>
          <w:rFonts w:eastAsia="Times New Roman"/>
        </w:rPr>
        <w:t>Beckie</w:t>
      </w:r>
      <w:proofErr w:type="spellEnd"/>
      <w:r w:rsidRPr="007F600B">
        <w:rPr>
          <w:rFonts w:eastAsia="Times New Roman"/>
        </w:rPr>
        <w:t xml:space="preserve">, T. M., Allen, L. A., Commodore-Mensah, Y., Davidson, P. M., Lin, G. A., Lutz, B., &amp; </w:t>
      </w:r>
      <w:proofErr w:type="spellStart"/>
      <w:r w:rsidRPr="007F600B">
        <w:rPr>
          <w:rFonts w:eastAsia="Times New Roman"/>
        </w:rPr>
        <w:t>Spatz</w:t>
      </w:r>
      <w:proofErr w:type="spellEnd"/>
      <w:r w:rsidRPr="007F600B">
        <w:rPr>
          <w:rFonts w:eastAsia="Times New Roman"/>
        </w:rPr>
        <w:t xml:space="preserve">, E. S. (2023). Shared Decision-Making and Cardiovascular </w:t>
      </w:r>
      <w:r w:rsidRPr="007F600B">
        <w:rPr>
          <w:rFonts w:eastAsia="Times New Roman"/>
        </w:rPr>
        <w:lastRenderedPageBreak/>
        <w:t xml:space="preserve">Health: A Scientific Statement </w:t>
      </w:r>
      <w:proofErr w:type="gramStart"/>
      <w:r w:rsidRPr="007F600B">
        <w:rPr>
          <w:rFonts w:eastAsia="Times New Roman"/>
        </w:rPr>
        <w:t>From</w:t>
      </w:r>
      <w:proofErr w:type="gramEnd"/>
      <w:r w:rsidRPr="007F600B">
        <w:rPr>
          <w:rFonts w:eastAsia="Times New Roman"/>
        </w:rPr>
        <w:t xml:space="preserve"> the American Heart Association. </w:t>
      </w:r>
      <w:r w:rsidRPr="007F600B">
        <w:rPr>
          <w:rFonts w:eastAsia="Times New Roman"/>
          <w:i/>
          <w:iCs/>
        </w:rPr>
        <w:t>Circulation</w:t>
      </w:r>
      <w:r w:rsidRPr="007F600B">
        <w:rPr>
          <w:rFonts w:eastAsia="Times New Roman"/>
        </w:rPr>
        <w:t xml:space="preserve">, </w:t>
      </w:r>
      <w:r w:rsidRPr="007F600B">
        <w:rPr>
          <w:rFonts w:eastAsia="Times New Roman"/>
          <w:i/>
          <w:iCs/>
        </w:rPr>
        <w:t>148</w:t>
      </w:r>
      <w:r w:rsidRPr="007F600B">
        <w:rPr>
          <w:rFonts w:eastAsia="Times New Roman"/>
        </w:rPr>
        <w:t>(11), 912–931. https://doi.org/10.1161/cir.0000000000001162</w:t>
      </w:r>
    </w:p>
    <w:p w14:paraId="603B17B4" w14:textId="77777777" w:rsidR="007F600B" w:rsidRPr="007F600B" w:rsidRDefault="007F600B" w:rsidP="007F600B">
      <w:pPr>
        <w:spacing w:line="480" w:lineRule="auto"/>
        <w:ind w:left="720" w:hanging="720"/>
        <w:rPr>
          <w:rFonts w:eastAsia="Times New Roman"/>
        </w:rPr>
      </w:pPr>
      <w:r w:rsidRPr="007F600B">
        <w:rPr>
          <w:rFonts w:eastAsia="Times New Roman"/>
        </w:rPr>
        <w:t xml:space="preserve">Jiang, G. Y., </w:t>
      </w:r>
      <w:proofErr w:type="spellStart"/>
      <w:r w:rsidRPr="007F600B">
        <w:rPr>
          <w:rFonts w:eastAsia="Times New Roman"/>
        </w:rPr>
        <w:t>Urwin</w:t>
      </w:r>
      <w:proofErr w:type="spellEnd"/>
      <w:r w:rsidRPr="007F600B">
        <w:rPr>
          <w:rFonts w:eastAsia="Times New Roman"/>
        </w:rPr>
        <w:t xml:space="preserve">, J. W., &amp; </w:t>
      </w:r>
      <w:proofErr w:type="spellStart"/>
      <w:r w:rsidRPr="007F600B">
        <w:rPr>
          <w:rFonts w:eastAsia="Times New Roman"/>
        </w:rPr>
        <w:t>Wasfy</w:t>
      </w:r>
      <w:proofErr w:type="spellEnd"/>
      <w:r w:rsidRPr="007F600B">
        <w:rPr>
          <w:rFonts w:eastAsia="Times New Roman"/>
        </w:rPr>
        <w:t xml:space="preserve">, J. H. (2023). Medicaid Expansion Under the Affordable Care Act and Association </w:t>
      </w:r>
      <w:proofErr w:type="gramStart"/>
      <w:r w:rsidRPr="007F600B">
        <w:rPr>
          <w:rFonts w:eastAsia="Times New Roman"/>
        </w:rPr>
        <w:t>With</w:t>
      </w:r>
      <w:proofErr w:type="gramEnd"/>
      <w:r w:rsidRPr="007F600B">
        <w:rPr>
          <w:rFonts w:eastAsia="Times New Roman"/>
        </w:rPr>
        <w:t xml:space="preserve"> Cardiac Care: A Systematic Review. </w:t>
      </w:r>
      <w:r w:rsidRPr="007F600B">
        <w:rPr>
          <w:rFonts w:eastAsia="Times New Roman"/>
          <w:i/>
          <w:iCs/>
        </w:rPr>
        <w:t>Circulation: Cardiovascular Quality and Outcomes</w:t>
      </w:r>
      <w:r w:rsidRPr="007F600B">
        <w:rPr>
          <w:rFonts w:eastAsia="Times New Roman"/>
        </w:rPr>
        <w:t xml:space="preserve">, </w:t>
      </w:r>
      <w:r w:rsidRPr="007F600B">
        <w:rPr>
          <w:rFonts w:eastAsia="Times New Roman"/>
          <w:i/>
          <w:iCs/>
        </w:rPr>
        <w:t>16</w:t>
      </w:r>
      <w:r w:rsidRPr="007F600B">
        <w:rPr>
          <w:rFonts w:eastAsia="Times New Roman"/>
        </w:rPr>
        <w:t>(6). https://doi.org/10.1161/circoutcomes.122.009753</w:t>
      </w:r>
    </w:p>
    <w:p w14:paraId="5609429C" w14:textId="77777777" w:rsidR="007F600B" w:rsidRPr="007F600B" w:rsidRDefault="007F600B" w:rsidP="007F600B">
      <w:pPr>
        <w:spacing w:line="480" w:lineRule="auto"/>
        <w:ind w:left="720" w:hanging="720"/>
        <w:rPr>
          <w:rFonts w:eastAsia="Times New Roman"/>
        </w:rPr>
      </w:pPr>
      <w:proofErr w:type="spellStart"/>
      <w:r w:rsidRPr="007F600B">
        <w:rPr>
          <w:rFonts w:eastAsia="Times New Roman"/>
        </w:rPr>
        <w:t>Pawelek</w:t>
      </w:r>
      <w:proofErr w:type="spellEnd"/>
      <w:r w:rsidRPr="007F600B">
        <w:rPr>
          <w:rFonts w:eastAsia="Times New Roman"/>
        </w:rPr>
        <w:t xml:space="preserve">, J., Baca-Motes, K., </w:t>
      </w:r>
      <w:proofErr w:type="spellStart"/>
      <w:r w:rsidRPr="007F600B">
        <w:rPr>
          <w:rFonts w:eastAsia="Times New Roman"/>
        </w:rPr>
        <w:t>Pandit</w:t>
      </w:r>
      <w:proofErr w:type="spellEnd"/>
      <w:r w:rsidRPr="007F600B">
        <w:rPr>
          <w:rFonts w:eastAsia="Times New Roman"/>
        </w:rPr>
        <w:t xml:space="preserve">, J. A., </w:t>
      </w:r>
      <w:proofErr w:type="spellStart"/>
      <w:r w:rsidRPr="007F600B">
        <w:rPr>
          <w:rFonts w:eastAsia="Times New Roman"/>
        </w:rPr>
        <w:t>Berk</w:t>
      </w:r>
      <w:proofErr w:type="spellEnd"/>
      <w:r w:rsidRPr="007F600B">
        <w:rPr>
          <w:rFonts w:eastAsia="Times New Roman"/>
        </w:rPr>
        <w:t xml:space="preserve">, B. B., &amp; Ramos, E. (2022). The Power of Patient Engagement with Electronic Health Records as Research Participants (Preprint). </w:t>
      </w:r>
      <w:r w:rsidRPr="007F600B">
        <w:rPr>
          <w:rFonts w:eastAsia="Times New Roman"/>
          <w:i/>
          <w:iCs/>
        </w:rPr>
        <w:t>JMIR Medical Informatics</w:t>
      </w:r>
      <w:r w:rsidRPr="007F600B">
        <w:rPr>
          <w:rFonts w:eastAsia="Times New Roman"/>
        </w:rPr>
        <w:t xml:space="preserve">, </w:t>
      </w:r>
      <w:r w:rsidRPr="007F600B">
        <w:rPr>
          <w:rFonts w:eastAsia="Times New Roman"/>
          <w:i/>
          <w:iCs/>
        </w:rPr>
        <w:t>10</w:t>
      </w:r>
      <w:r w:rsidRPr="007F600B">
        <w:rPr>
          <w:rFonts w:eastAsia="Times New Roman"/>
        </w:rPr>
        <w:t>(7). https://doi.org/10.2196/39145</w:t>
      </w:r>
    </w:p>
    <w:p w14:paraId="3C4D3BEE" w14:textId="77777777" w:rsidR="007F600B" w:rsidRPr="007F600B" w:rsidRDefault="007F600B" w:rsidP="007F600B">
      <w:pPr>
        <w:spacing w:line="480" w:lineRule="auto"/>
        <w:ind w:left="720" w:hanging="720"/>
        <w:rPr>
          <w:rFonts w:eastAsia="Times New Roman"/>
        </w:rPr>
      </w:pPr>
      <w:r w:rsidRPr="007F600B">
        <w:rPr>
          <w:rFonts w:eastAsia="Times New Roman"/>
        </w:rPr>
        <w:t xml:space="preserve">Spitzer, E. G., </w:t>
      </w:r>
      <w:proofErr w:type="spellStart"/>
      <w:r w:rsidRPr="007F600B">
        <w:rPr>
          <w:rFonts w:eastAsia="Times New Roman"/>
        </w:rPr>
        <w:t>Kaitz</w:t>
      </w:r>
      <w:proofErr w:type="spellEnd"/>
      <w:r w:rsidRPr="007F600B">
        <w:rPr>
          <w:rFonts w:eastAsia="Times New Roman"/>
        </w:rPr>
        <w:t xml:space="preserve">, J., Fix, G. M., Harvey, K. L. L., </w:t>
      </w:r>
      <w:proofErr w:type="spellStart"/>
      <w:r w:rsidRPr="007F600B">
        <w:rPr>
          <w:rFonts w:eastAsia="Times New Roman"/>
        </w:rPr>
        <w:t>Stadnick</w:t>
      </w:r>
      <w:proofErr w:type="spellEnd"/>
      <w:r w:rsidRPr="007F600B">
        <w:rPr>
          <w:rFonts w:eastAsia="Times New Roman"/>
        </w:rPr>
        <w:t xml:space="preserve">, N. A., Sullivan, J. L., Williamson, A. K., &amp; Miller, C. J. (2023). Developing Relational Coordination: A Qualitative Study of Outpatient Mental Health Teams. </w:t>
      </w:r>
      <w:r w:rsidRPr="007F600B">
        <w:rPr>
          <w:rFonts w:eastAsia="Times New Roman"/>
          <w:i/>
          <w:iCs/>
        </w:rPr>
        <w:t>Administration and Policy in Mental Health and Mental Health Services Research</w:t>
      </w:r>
      <w:r w:rsidRPr="007F600B">
        <w:rPr>
          <w:rFonts w:eastAsia="Times New Roman"/>
        </w:rPr>
        <w:t xml:space="preserve">, </w:t>
      </w:r>
      <w:r w:rsidRPr="007F600B">
        <w:rPr>
          <w:rFonts w:eastAsia="Times New Roman"/>
          <w:i/>
          <w:iCs/>
        </w:rPr>
        <w:t>50</w:t>
      </w:r>
      <w:r w:rsidRPr="007F600B">
        <w:rPr>
          <w:rFonts w:eastAsia="Times New Roman"/>
        </w:rPr>
        <w:t>(4). https://doi.org/10.1007/s10488-023-01261-2</w:t>
      </w:r>
    </w:p>
    <w:p w14:paraId="7A00EA75" w14:textId="77777777" w:rsidR="007F600B" w:rsidRPr="007F600B" w:rsidRDefault="007F600B" w:rsidP="007F600B">
      <w:pPr>
        <w:spacing w:line="480" w:lineRule="auto"/>
        <w:ind w:left="720" w:hanging="720"/>
        <w:rPr>
          <w:rFonts w:eastAsia="Times New Roman"/>
        </w:rPr>
      </w:pPr>
      <w:proofErr w:type="spellStart"/>
      <w:r w:rsidRPr="007F600B">
        <w:rPr>
          <w:rFonts w:eastAsia="Times New Roman"/>
        </w:rPr>
        <w:t>Stubbe</w:t>
      </w:r>
      <w:proofErr w:type="spellEnd"/>
      <w:r w:rsidRPr="007F600B">
        <w:rPr>
          <w:rFonts w:eastAsia="Times New Roman"/>
        </w:rPr>
        <w:t xml:space="preserve">, D. E. (2020). Practicing cultural competence and cultural humility in the care of diverse patients. </w:t>
      </w:r>
      <w:r w:rsidRPr="007F600B">
        <w:rPr>
          <w:rFonts w:eastAsia="Times New Roman"/>
          <w:i/>
          <w:iCs/>
        </w:rPr>
        <w:t>Focus</w:t>
      </w:r>
      <w:r w:rsidRPr="007F600B">
        <w:rPr>
          <w:rFonts w:eastAsia="Times New Roman"/>
        </w:rPr>
        <w:t xml:space="preserve">, </w:t>
      </w:r>
      <w:r w:rsidRPr="007F600B">
        <w:rPr>
          <w:rFonts w:eastAsia="Times New Roman"/>
          <w:i/>
          <w:iCs/>
        </w:rPr>
        <w:t>18</w:t>
      </w:r>
      <w:r w:rsidRPr="007F600B">
        <w:rPr>
          <w:rFonts w:eastAsia="Times New Roman"/>
        </w:rPr>
        <w:t>(1), 49–51. https://doi.org/10.1176/appi.focus.20190041</w:t>
      </w:r>
    </w:p>
    <w:p w14:paraId="102F71E8" w14:textId="77777777" w:rsidR="007F600B" w:rsidRPr="007F600B" w:rsidRDefault="007F600B" w:rsidP="007F600B">
      <w:pPr>
        <w:spacing w:line="480" w:lineRule="auto"/>
        <w:ind w:left="720" w:hanging="720"/>
        <w:rPr>
          <w:rFonts w:eastAsia="Times New Roman"/>
        </w:rPr>
      </w:pPr>
      <w:r w:rsidRPr="007F600B">
        <w:rPr>
          <w:rFonts w:eastAsia="Times New Roman"/>
        </w:rPr>
        <w:t xml:space="preserve">Will, M., &amp; </w:t>
      </w:r>
      <w:proofErr w:type="spellStart"/>
      <w:r w:rsidRPr="007F600B">
        <w:rPr>
          <w:rFonts w:eastAsia="Times New Roman"/>
        </w:rPr>
        <w:t>Mascherbauer</w:t>
      </w:r>
      <w:proofErr w:type="spellEnd"/>
      <w:r w:rsidRPr="007F600B">
        <w:rPr>
          <w:rFonts w:eastAsia="Times New Roman"/>
        </w:rPr>
        <w:t xml:space="preserve">, J. (2021). Patient engagement in cardiology—nice or necessary? </w:t>
      </w:r>
      <w:r w:rsidRPr="007F600B">
        <w:rPr>
          <w:rFonts w:eastAsia="Times New Roman"/>
          <w:i/>
          <w:iCs/>
        </w:rPr>
        <w:t xml:space="preserve">Wiener </w:t>
      </w:r>
      <w:proofErr w:type="spellStart"/>
      <w:r w:rsidRPr="007F600B">
        <w:rPr>
          <w:rFonts w:eastAsia="Times New Roman"/>
          <w:i/>
          <w:iCs/>
        </w:rPr>
        <w:t>Klinische</w:t>
      </w:r>
      <w:proofErr w:type="spellEnd"/>
      <w:r w:rsidRPr="007F600B">
        <w:rPr>
          <w:rFonts w:eastAsia="Times New Roman"/>
          <w:i/>
          <w:iCs/>
        </w:rPr>
        <w:t xml:space="preserve"> </w:t>
      </w:r>
      <w:proofErr w:type="spellStart"/>
      <w:r w:rsidRPr="007F600B">
        <w:rPr>
          <w:rFonts w:eastAsia="Times New Roman"/>
          <w:i/>
          <w:iCs/>
        </w:rPr>
        <w:t>Wochenschrift</w:t>
      </w:r>
      <w:proofErr w:type="spellEnd"/>
      <w:r w:rsidRPr="007F600B">
        <w:rPr>
          <w:rFonts w:eastAsia="Times New Roman"/>
        </w:rPr>
        <w:t xml:space="preserve">, </w:t>
      </w:r>
      <w:r w:rsidRPr="007F600B">
        <w:rPr>
          <w:rFonts w:eastAsia="Times New Roman"/>
          <w:i/>
          <w:iCs/>
        </w:rPr>
        <w:t>133</w:t>
      </w:r>
      <w:r w:rsidRPr="007F600B">
        <w:rPr>
          <w:rFonts w:eastAsia="Times New Roman"/>
        </w:rPr>
        <w:t>(15-16), 747–749. https://doi.org/10.1007/s00508-021-01929-5</w:t>
      </w:r>
    </w:p>
    <w:p w14:paraId="27723A6A" w14:textId="77777777" w:rsidR="007F600B" w:rsidRPr="00E21AA4" w:rsidRDefault="007F600B" w:rsidP="00A4466B">
      <w:pPr>
        <w:spacing w:line="480" w:lineRule="auto"/>
        <w:ind w:firstLine="720"/>
      </w:pPr>
    </w:p>
    <w:sectPr w:rsidR="007F600B" w:rsidRPr="00E21AA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98ACB" w14:textId="77777777" w:rsidR="00D31172" w:rsidRDefault="00D31172" w:rsidP="00B958E4">
      <w:pPr>
        <w:spacing w:line="240" w:lineRule="auto"/>
      </w:pPr>
      <w:r>
        <w:separator/>
      </w:r>
    </w:p>
  </w:endnote>
  <w:endnote w:type="continuationSeparator" w:id="0">
    <w:p w14:paraId="6DE9634D" w14:textId="77777777" w:rsidR="00D31172" w:rsidRDefault="00D31172" w:rsidP="00B95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102A6" w14:textId="77777777" w:rsidR="00D31172" w:rsidRDefault="00D31172" w:rsidP="00B958E4">
      <w:pPr>
        <w:spacing w:line="240" w:lineRule="auto"/>
      </w:pPr>
      <w:r>
        <w:separator/>
      </w:r>
    </w:p>
  </w:footnote>
  <w:footnote w:type="continuationSeparator" w:id="0">
    <w:p w14:paraId="3425E4DE" w14:textId="77777777" w:rsidR="00D31172" w:rsidRDefault="00D31172" w:rsidP="00B958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0161477"/>
      <w:docPartObj>
        <w:docPartGallery w:val="Page Numbers (Top of Page)"/>
        <w:docPartUnique/>
      </w:docPartObj>
    </w:sdtPr>
    <w:sdtEndPr>
      <w:rPr>
        <w:rFonts w:ascii="Times New Roman" w:hAnsi="Times New Roman" w:cs="Times New Roman"/>
        <w:noProof/>
        <w:sz w:val="24"/>
        <w:szCs w:val="24"/>
      </w:rPr>
    </w:sdtEndPr>
    <w:sdtContent>
      <w:p w14:paraId="33979224" w14:textId="63B435F0" w:rsidR="00B958E4" w:rsidRPr="00B958E4" w:rsidRDefault="00B958E4">
        <w:pPr>
          <w:pStyle w:val="Header"/>
          <w:jc w:val="right"/>
          <w:rPr>
            <w:rFonts w:ascii="Times New Roman" w:hAnsi="Times New Roman" w:cs="Times New Roman"/>
            <w:sz w:val="24"/>
            <w:szCs w:val="24"/>
          </w:rPr>
        </w:pPr>
        <w:r w:rsidRPr="00B958E4">
          <w:rPr>
            <w:rFonts w:ascii="Times New Roman" w:hAnsi="Times New Roman" w:cs="Times New Roman"/>
            <w:sz w:val="24"/>
            <w:szCs w:val="24"/>
          </w:rPr>
          <w:fldChar w:fldCharType="begin"/>
        </w:r>
        <w:r w:rsidRPr="00B958E4">
          <w:rPr>
            <w:rFonts w:ascii="Times New Roman" w:hAnsi="Times New Roman" w:cs="Times New Roman"/>
            <w:sz w:val="24"/>
            <w:szCs w:val="24"/>
          </w:rPr>
          <w:instrText xml:space="preserve"> PAGE   \* MERGEFORMAT </w:instrText>
        </w:r>
        <w:r w:rsidRPr="00B958E4">
          <w:rPr>
            <w:rFonts w:ascii="Times New Roman" w:hAnsi="Times New Roman" w:cs="Times New Roman"/>
            <w:sz w:val="24"/>
            <w:szCs w:val="24"/>
          </w:rPr>
          <w:fldChar w:fldCharType="separate"/>
        </w:r>
        <w:r w:rsidR="003E0D90">
          <w:rPr>
            <w:rFonts w:ascii="Times New Roman" w:hAnsi="Times New Roman" w:cs="Times New Roman"/>
            <w:noProof/>
            <w:sz w:val="24"/>
            <w:szCs w:val="24"/>
          </w:rPr>
          <w:t>8</w:t>
        </w:r>
        <w:r w:rsidRPr="00B958E4">
          <w:rPr>
            <w:rFonts w:ascii="Times New Roman" w:hAnsi="Times New Roman" w:cs="Times New Roman"/>
            <w:noProof/>
            <w:sz w:val="24"/>
            <w:szCs w:val="24"/>
          </w:rPr>
          <w:fldChar w:fldCharType="end"/>
        </w:r>
      </w:p>
    </w:sdtContent>
  </w:sdt>
  <w:p w14:paraId="14E2715F" w14:textId="77777777" w:rsidR="00B958E4" w:rsidRDefault="00B958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02C42"/>
    <w:multiLevelType w:val="hybridMultilevel"/>
    <w:tmpl w:val="2D824F6A"/>
    <w:lvl w:ilvl="0" w:tplc="6E3E9A7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727BB6"/>
    <w:multiLevelType w:val="hybridMultilevel"/>
    <w:tmpl w:val="5CDCC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809C8"/>
    <w:multiLevelType w:val="hybridMultilevel"/>
    <w:tmpl w:val="360AA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F41DD6"/>
    <w:multiLevelType w:val="hybridMultilevel"/>
    <w:tmpl w:val="A91AE074"/>
    <w:lvl w:ilvl="0" w:tplc="7B2E2B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1A3842"/>
    <w:multiLevelType w:val="hybridMultilevel"/>
    <w:tmpl w:val="F8603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562E82"/>
    <w:multiLevelType w:val="hybridMultilevel"/>
    <w:tmpl w:val="CEF2B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276AA0"/>
    <w:multiLevelType w:val="hybridMultilevel"/>
    <w:tmpl w:val="FCBE945C"/>
    <w:lvl w:ilvl="0" w:tplc="FF24B8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AA014FC"/>
    <w:multiLevelType w:val="hybridMultilevel"/>
    <w:tmpl w:val="30AA6E7C"/>
    <w:lvl w:ilvl="0" w:tplc="A0F6A42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91661BB"/>
    <w:multiLevelType w:val="hybridMultilevel"/>
    <w:tmpl w:val="F8603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5533CA"/>
    <w:multiLevelType w:val="hybridMultilevel"/>
    <w:tmpl w:val="4A7CD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66885"/>
    <w:multiLevelType w:val="multilevel"/>
    <w:tmpl w:val="7A6CE78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B0C56BF"/>
    <w:multiLevelType w:val="hybridMultilevel"/>
    <w:tmpl w:val="60E47AA2"/>
    <w:lvl w:ilvl="0" w:tplc="FF24B8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2"/>
  </w:num>
  <w:num w:numId="3">
    <w:abstractNumId w:val="8"/>
  </w:num>
  <w:num w:numId="4">
    <w:abstractNumId w:val="4"/>
  </w:num>
  <w:num w:numId="5">
    <w:abstractNumId w:val="10"/>
  </w:num>
  <w:num w:numId="6">
    <w:abstractNumId w:val="7"/>
  </w:num>
  <w:num w:numId="7">
    <w:abstractNumId w:val="0"/>
  </w:num>
  <w:num w:numId="8">
    <w:abstractNumId w:val="3"/>
  </w:num>
  <w:num w:numId="9">
    <w:abstractNumId w:val="11"/>
  </w:num>
  <w:num w:numId="10">
    <w:abstractNumId w:val="6"/>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18"/>
    <w:rsid w:val="000242BF"/>
    <w:rsid w:val="00034A18"/>
    <w:rsid w:val="000463F7"/>
    <w:rsid w:val="000466B3"/>
    <w:rsid w:val="00060517"/>
    <w:rsid w:val="000800BB"/>
    <w:rsid w:val="000B15C6"/>
    <w:rsid w:val="000C4D63"/>
    <w:rsid w:val="000C678F"/>
    <w:rsid w:val="00145E93"/>
    <w:rsid w:val="00146CB1"/>
    <w:rsid w:val="00154FE0"/>
    <w:rsid w:val="00156E0A"/>
    <w:rsid w:val="00193E2F"/>
    <w:rsid w:val="0019767A"/>
    <w:rsid w:val="001E6B9B"/>
    <w:rsid w:val="00202335"/>
    <w:rsid w:val="0021379C"/>
    <w:rsid w:val="00244F91"/>
    <w:rsid w:val="00247D26"/>
    <w:rsid w:val="002643DE"/>
    <w:rsid w:val="0026709D"/>
    <w:rsid w:val="00270131"/>
    <w:rsid w:val="00270A97"/>
    <w:rsid w:val="00275C09"/>
    <w:rsid w:val="00281F7B"/>
    <w:rsid w:val="00283AB9"/>
    <w:rsid w:val="00286562"/>
    <w:rsid w:val="002A5700"/>
    <w:rsid w:val="002A5871"/>
    <w:rsid w:val="002E2FBA"/>
    <w:rsid w:val="002E3EE4"/>
    <w:rsid w:val="002F0289"/>
    <w:rsid w:val="002F2C03"/>
    <w:rsid w:val="00311668"/>
    <w:rsid w:val="00313B18"/>
    <w:rsid w:val="00336853"/>
    <w:rsid w:val="0034517D"/>
    <w:rsid w:val="003C4A8C"/>
    <w:rsid w:val="003E0D90"/>
    <w:rsid w:val="003E1A76"/>
    <w:rsid w:val="003F132D"/>
    <w:rsid w:val="004009E3"/>
    <w:rsid w:val="00424C1A"/>
    <w:rsid w:val="004330C0"/>
    <w:rsid w:val="00447E88"/>
    <w:rsid w:val="00451F62"/>
    <w:rsid w:val="00456466"/>
    <w:rsid w:val="004629E7"/>
    <w:rsid w:val="00472BD1"/>
    <w:rsid w:val="00490C9C"/>
    <w:rsid w:val="004C396E"/>
    <w:rsid w:val="004D156C"/>
    <w:rsid w:val="004D79BE"/>
    <w:rsid w:val="004F1656"/>
    <w:rsid w:val="00503A6E"/>
    <w:rsid w:val="005250C1"/>
    <w:rsid w:val="0052537F"/>
    <w:rsid w:val="005A7E67"/>
    <w:rsid w:val="006120AA"/>
    <w:rsid w:val="00617FC5"/>
    <w:rsid w:val="00645C04"/>
    <w:rsid w:val="006675CA"/>
    <w:rsid w:val="006819B5"/>
    <w:rsid w:val="00692513"/>
    <w:rsid w:val="006A1E0C"/>
    <w:rsid w:val="006A324B"/>
    <w:rsid w:val="006A7F59"/>
    <w:rsid w:val="006C579D"/>
    <w:rsid w:val="006C58F0"/>
    <w:rsid w:val="006C7ABD"/>
    <w:rsid w:val="006D2EF1"/>
    <w:rsid w:val="006D38D4"/>
    <w:rsid w:val="006E277F"/>
    <w:rsid w:val="006E547B"/>
    <w:rsid w:val="006E6779"/>
    <w:rsid w:val="006F62FE"/>
    <w:rsid w:val="00704773"/>
    <w:rsid w:val="007168E2"/>
    <w:rsid w:val="00724D21"/>
    <w:rsid w:val="00733332"/>
    <w:rsid w:val="00737F9B"/>
    <w:rsid w:val="00765076"/>
    <w:rsid w:val="007A5216"/>
    <w:rsid w:val="007C4D6C"/>
    <w:rsid w:val="007C6DFA"/>
    <w:rsid w:val="007D214F"/>
    <w:rsid w:val="007F09E6"/>
    <w:rsid w:val="007F2065"/>
    <w:rsid w:val="007F424F"/>
    <w:rsid w:val="007F4FE5"/>
    <w:rsid w:val="007F600B"/>
    <w:rsid w:val="0080774A"/>
    <w:rsid w:val="00826F0A"/>
    <w:rsid w:val="0083282B"/>
    <w:rsid w:val="00873481"/>
    <w:rsid w:val="00874D18"/>
    <w:rsid w:val="00875BA1"/>
    <w:rsid w:val="008911C1"/>
    <w:rsid w:val="00891E8E"/>
    <w:rsid w:val="00893232"/>
    <w:rsid w:val="008A0857"/>
    <w:rsid w:val="008B2BAD"/>
    <w:rsid w:val="008D0EFC"/>
    <w:rsid w:val="008E04BB"/>
    <w:rsid w:val="008E70C9"/>
    <w:rsid w:val="008F045F"/>
    <w:rsid w:val="008F78BD"/>
    <w:rsid w:val="00912DA8"/>
    <w:rsid w:val="00917A1C"/>
    <w:rsid w:val="00922985"/>
    <w:rsid w:val="00924858"/>
    <w:rsid w:val="009534D2"/>
    <w:rsid w:val="009662E4"/>
    <w:rsid w:val="00972609"/>
    <w:rsid w:val="009734DD"/>
    <w:rsid w:val="00977AE3"/>
    <w:rsid w:val="00997950"/>
    <w:rsid w:val="009A0A23"/>
    <w:rsid w:val="009A5DBE"/>
    <w:rsid w:val="009B07CC"/>
    <w:rsid w:val="00A14501"/>
    <w:rsid w:val="00A14CDF"/>
    <w:rsid w:val="00A4466B"/>
    <w:rsid w:val="00A604DB"/>
    <w:rsid w:val="00A619AA"/>
    <w:rsid w:val="00A8030B"/>
    <w:rsid w:val="00A81ECC"/>
    <w:rsid w:val="00A82BFD"/>
    <w:rsid w:val="00AB753E"/>
    <w:rsid w:val="00AC494D"/>
    <w:rsid w:val="00B07FB6"/>
    <w:rsid w:val="00B1273A"/>
    <w:rsid w:val="00B1638B"/>
    <w:rsid w:val="00B511C8"/>
    <w:rsid w:val="00B8266F"/>
    <w:rsid w:val="00B958E4"/>
    <w:rsid w:val="00B97BB3"/>
    <w:rsid w:val="00BC0136"/>
    <w:rsid w:val="00BC0609"/>
    <w:rsid w:val="00BC5B28"/>
    <w:rsid w:val="00BF246A"/>
    <w:rsid w:val="00BF6C57"/>
    <w:rsid w:val="00BF776A"/>
    <w:rsid w:val="00C10BA0"/>
    <w:rsid w:val="00C14296"/>
    <w:rsid w:val="00C162B1"/>
    <w:rsid w:val="00C2142A"/>
    <w:rsid w:val="00C413C4"/>
    <w:rsid w:val="00C47BA6"/>
    <w:rsid w:val="00C61E3C"/>
    <w:rsid w:val="00C66954"/>
    <w:rsid w:val="00C752F0"/>
    <w:rsid w:val="00C85095"/>
    <w:rsid w:val="00C85C30"/>
    <w:rsid w:val="00C93B11"/>
    <w:rsid w:val="00C93CFB"/>
    <w:rsid w:val="00CB399E"/>
    <w:rsid w:val="00CC2933"/>
    <w:rsid w:val="00CC68D8"/>
    <w:rsid w:val="00CD5E2A"/>
    <w:rsid w:val="00CE792D"/>
    <w:rsid w:val="00CF0247"/>
    <w:rsid w:val="00CF3D46"/>
    <w:rsid w:val="00CF4EE4"/>
    <w:rsid w:val="00CF6DB5"/>
    <w:rsid w:val="00D023FD"/>
    <w:rsid w:val="00D05C89"/>
    <w:rsid w:val="00D13E54"/>
    <w:rsid w:val="00D2189C"/>
    <w:rsid w:val="00D272E5"/>
    <w:rsid w:val="00D31172"/>
    <w:rsid w:val="00D32B94"/>
    <w:rsid w:val="00D54867"/>
    <w:rsid w:val="00D56DAD"/>
    <w:rsid w:val="00D76FEB"/>
    <w:rsid w:val="00D80B24"/>
    <w:rsid w:val="00D919B6"/>
    <w:rsid w:val="00DA0843"/>
    <w:rsid w:val="00DA3325"/>
    <w:rsid w:val="00DB4A27"/>
    <w:rsid w:val="00DB55A8"/>
    <w:rsid w:val="00DB6E12"/>
    <w:rsid w:val="00DC4DAE"/>
    <w:rsid w:val="00E13470"/>
    <w:rsid w:val="00E21AA4"/>
    <w:rsid w:val="00E22FC4"/>
    <w:rsid w:val="00E334E1"/>
    <w:rsid w:val="00E7323E"/>
    <w:rsid w:val="00E74FC2"/>
    <w:rsid w:val="00EA5AE9"/>
    <w:rsid w:val="00EC4789"/>
    <w:rsid w:val="00ED66F9"/>
    <w:rsid w:val="00EE75E0"/>
    <w:rsid w:val="00F27E26"/>
    <w:rsid w:val="00F41688"/>
    <w:rsid w:val="00F55AEF"/>
    <w:rsid w:val="00F57804"/>
    <w:rsid w:val="00F60D30"/>
    <w:rsid w:val="00F80BCA"/>
    <w:rsid w:val="00F85791"/>
    <w:rsid w:val="00FA00F7"/>
    <w:rsid w:val="00FA1BFE"/>
    <w:rsid w:val="00FA7391"/>
    <w:rsid w:val="00FC7CE6"/>
    <w:rsid w:val="00FE3C30"/>
    <w:rsid w:val="00FE4200"/>
    <w:rsid w:val="00FE43FC"/>
    <w:rsid w:val="00FF2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BB35"/>
  <w15:chartTrackingRefBased/>
  <w15:docId w15:val="{9EEBDD7C-628E-4450-9628-EA0A4F846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DBE"/>
    <w:pPr>
      <w:spacing w:after="0" w:line="276" w:lineRule="auto"/>
    </w:pPr>
    <w:rPr>
      <w:rFonts w:ascii="Times New Roman" w:eastAsia="Calibri" w:hAnsi="Times New Roman" w:cs="Times New Roman"/>
      <w:sz w:val="24"/>
      <w:szCs w:val="24"/>
    </w:rPr>
  </w:style>
  <w:style w:type="paragraph" w:styleId="Heading1">
    <w:name w:val="heading 1"/>
    <w:basedOn w:val="Normal"/>
    <w:link w:val="Heading1Char"/>
    <w:uiPriority w:val="9"/>
    <w:qFormat/>
    <w:rsid w:val="007F600B"/>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A18"/>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B958E4"/>
    <w:pPr>
      <w:tabs>
        <w:tab w:val="center" w:pos="4680"/>
        <w:tab w:val="right" w:pos="9360"/>
      </w:tabs>
      <w:spacing w:line="240" w:lineRule="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958E4"/>
  </w:style>
  <w:style w:type="paragraph" w:styleId="Footer">
    <w:name w:val="footer"/>
    <w:basedOn w:val="Normal"/>
    <w:link w:val="FooterChar"/>
    <w:uiPriority w:val="99"/>
    <w:unhideWhenUsed/>
    <w:rsid w:val="00B958E4"/>
    <w:pPr>
      <w:tabs>
        <w:tab w:val="center" w:pos="4680"/>
        <w:tab w:val="right" w:pos="9360"/>
      </w:tabs>
      <w:spacing w:line="240" w:lineRule="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958E4"/>
  </w:style>
  <w:style w:type="character" w:styleId="Hyperlink">
    <w:name w:val="Hyperlink"/>
    <w:basedOn w:val="DefaultParagraphFont"/>
    <w:uiPriority w:val="99"/>
    <w:unhideWhenUsed/>
    <w:rsid w:val="00B958E4"/>
    <w:rPr>
      <w:color w:val="0563C1" w:themeColor="hyperlink"/>
      <w:u w:val="single"/>
    </w:rPr>
  </w:style>
  <w:style w:type="character" w:customStyle="1" w:styleId="UnresolvedMention">
    <w:name w:val="Unresolved Mention"/>
    <w:basedOn w:val="DefaultParagraphFont"/>
    <w:uiPriority w:val="99"/>
    <w:semiHidden/>
    <w:unhideWhenUsed/>
    <w:rsid w:val="00B958E4"/>
    <w:rPr>
      <w:color w:val="605E5C"/>
      <w:shd w:val="clear" w:color="auto" w:fill="E1DFDD"/>
    </w:rPr>
  </w:style>
  <w:style w:type="paragraph" w:styleId="NormalWeb">
    <w:name w:val="Normal (Web)"/>
    <w:basedOn w:val="Normal"/>
    <w:uiPriority w:val="99"/>
    <w:semiHidden/>
    <w:unhideWhenUsed/>
    <w:rsid w:val="00424C1A"/>
    <w:pPr>
      <w:spacing w:before="100" w:beforeAutospacing="1" w:after="100" w:afterAutospacing="1" w:line="240" w:lineRule="auto"/>
    </w:pPr>
    <w:rPr>
      <w:rFonts w:eastAsia="Times New Roman"/>
    </w:rPr>
  </w:style>
  <w:style w:type="character" w:customStyle="1" w:styleId="Heading1Char">
    <w:name w:val="Heading 1 Char"/>
    <w:basedOn w:val="DefaultParagraphFont"/>
    <w:link w:val="Heading1"/>
    <w:uiPriority w:val="9"/>
    <w:rsid w:val="007F600B"/>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5577">
      <w:bodyDiv w:val="1"/>
      <w:marLeft w:val="0"/>
      <w:marRight w:val="0"/>
      <w:marTop w:val="0"/>
      <w:marBottom w:val="0"/>
      <w:divBdr>
        <w:top w:val="none" w:sz="0" w:space="0" w:color="auto"/>
        <w:left w:val="none" w:sz="0" w:space="0" w:color="auto"/>
        <w:bottom w:val="none" w:sz="0" w:space="0" w:color="auto"/>
        <w:right w:val="none" w:sz="0" w:space="0" w:color="auto"/>
      </w:divBdr>
      <w:divsChild>
        <w:div w:id="1712531896">
          <w:marLeft w:val="0"/>
          <w:marRight w:val="0"/>
          <w:marTop w:val="0"/>
          <w:marBottom w:val="0"/>
          <w:divBdr>
            <w:top w:val="none" w:sz="0" w:space="0" w:color="auto"/>
            <w:left w:val="none" w:sz="0" w:space="0" w:color="auto"/>
            <w:bottom w:val="none" w:sz="0" w:space="0" w:color="auto"/>
            <w:right w:val="none" w:sz="0" w:space="0" w:color="auto"/>
          </w:divBdr>
        </w:div>
      </w:divsChild>
    </w:div>
    <w:div w:id="16084634">
      <w:bodyDiv w:val="1"/>
      <w:marLeft w:val="0"/>
      <w:marRight w:val="0"/>
      <w:marTop w:val="0"/>
      <w:marBottom w:val="0"/>
      <w:divBdr>
        <w:top w:val="none" w:sz="0" w:space="0" w:color="auto"/>
        <w:left w:val="none" w:sz="0" w:space="0" w:color="auto"/>
        <w:bottom w:val="none" w:sz="0" w:space="0" w:color="auto"/>
        <w:right w:val="none" w:sz="0" w:space="0" w:color="auto"/>
      </w:divBdr>
    </w:div>
    <w:div w:id="146553780">
      <w:bodyDiv w:val="1"/>
      <w:marLeft w:val="0"/>
      <w:marRight w:val="0"/>
      <w:marTop w:val="0"/>
      <w:marBottom w:val="0"/>
      <w:divBdr>
        <w:top w:val="none" w:sz="0" w:space="0" w:color="auto"/>
        <w:left w:val="none" w:sz="0" w:space="0" w:color="auto"/>
        <w:bottom w:val="none" w:sz="0" w:space="0" w:color="auto"/>
        <w:right w:val="none" w:sz="0" w:space="0" w:color="auto"/>
      </w:divBdr>
      <w:divsChild>
        <w:div w:id="511995822">
          <w:marLeft w:val="-720"/>
          <w:marRight w:val="0"/>
          <w:marTop w:val="0"/>
          <w:marBottom w:val="0"/>
          <w:divBdr>
            <w:top w:val="none" w:sz="0" w:space="0" w:color="auto"/>
            <w:left w:val="none" w:sz="0" w:space="0" w:color="auto"/>
            <w:bottom w:val="none" w:sz="0" w:space="0" w:color="auto"/>
            <w:right w:val="none" w:sz="0" w:space="0" w:color="auto"/>
          </w:divBdr>
        </w:div>
      </w:divsChild>
    </w:div>
    <w:div w:id="252933958">
      <w:bodyDiv w:val="1"/>
      <w:marLeft w:val="0"/>
      <w:marRight w:val="0"/>
      <w:marTop w:val="0"/>
      <w:marBottom w:val="0"/>
      <w:divBdr>
        <w:top w:val="none" w:sz="0" w:space="0" w:color="auto"/>
        <w:left w:val="none" w:sz="0" w:space="0" w:color="auto"/>
        <w:bottom w:val="none" w:sz="0" w:space="0" w:color="auto"/>
        <w:right w:val="none" w:sz="0" w:space="0" w:color="auto"/>
      </w:divBdr>
      <w:divsChild>
        <w:div w:id="1089036972">
          <w:marLeft w:val="-720"/>
          <w:marRight w:val="0"/>
          <w:marTop w:val="0"/>
          <w:marBottom w:val="0"/>
          <w:divBdr>
            <w:top w:val="none" w:sz="0" w:space="0" w:color="auto"/>
            <w:left w:val="none" w:sz="0" w:space="0" w:color="auto"/>
            <w:bottom w:val="none" w:sz="0" w:space="0" w:color="auto"/>
            <w:right w:val="none" w:sz="0" w:space="0" w:color="auto"/>
          </w:divBdr>
        </w:div>
      </w:divsChild>
    </w:div>
    <w:div w:id="497037997">
      <w:bodyDiv w:val="1"/>
      <w:marLeft w:val="0"/>
      <w:marRight w:val="0"/>
      <w:marTop w:val="0"/>
      <w:marBottom w:val="0"/>
      <w:divBdr>
        <w:top w:val="none" w:sz="0" w:space="0" w:color="auto"/>
        <w:left w:val="none" w:sz="0" w:space="0" w:color="auto"/>
        <w:bottom w:val="none" w:sz="0" w:space="0" w:color="auto"/>
        <w:right w:val="none" w:sz="0" w:space="0" w:color="auto"/>
      </w:divBdr>
      <w:divsChild>
        <w:div w:id="1393774418">
          <w:marLeft w:val="-720"/>
          <w:marRight w:val="0"/>
          <w:marTop w:val="0"/>
          <w:marBottom w:val="0"/>
          <w:divBdr>
            <w:top w:val="none" w:sz="0" w:space="0" w:color="auto"/>
            <w:left w:val="none" w:sz="0" w:space="0" w:color="auto"/>
            <w:bottom w:val="none" w:sz="0" w:space="0" w:color="auto"/>
            <w:right w:val="none" w:sz="0" w:space="0" w:color="auto"/>
          </w:divBdr>
        </w:div>
      </w:divsChild>
    </w:div>
    <w:div w:id="580061629">
      <w:bodyDiv w:val="1"/>
      <w:marLeft w:val="0"/>
      <w:marRight w:val="0"/>
      <w:marTop w:val="0"/>
      <w:marBottom w:val="0"/>
      <w:divBdr>
        <w:top w:val="none" w:sz="0" w:space="0" w:color="auto"/>
        <w:left w:val="none" w:sz="0" w:space="0" w:color="auto"/>
        <w:bottom w:val="none" w:sz="0" w:space="0" w:color="auto"/>
        <w:right w:val="none" w:sz="0" w:space="0" w:color="auto"/>
      </w:divBdr>
    </w:div>
    <w:div w:id="745884960">
      <w:bodyDiv w:val="1"/>
      <w:marLeft w:val="0"/>
      <w:marRight w:val="0"/>
      <w:marTop w:val="0"/>
      <w:marBottom w:val="0"/>
      <w:divBdr>
        <w:top w:val="none" w:sz="0" w:space="0" w:color="auto"/>
        <w:left w:val="none" w:sz="0" w:space="0" w:color="auto"/>
        <w:bottom w:val="none" w:sz="0" w:space="0" w:color="auto"/>
        <w:right w:val="none" w:sz="0" w:space="0" w:color="auto"/>
      </w:divBdr>
    </w:div>
    <w:div w:id="891504412">
      <w:bodyDiv w:val="1"/>
      <w:marLeft w:val="0"/>
      <w:marRight w:val="0"/>
      <w:marTop w:val="0"/>
      <w:marBottom w:val="0"/>
      <w:divBdr>
        <w:top w:val="none" w:sz="0" w:space="0" w:color="auto"/>
        <w:left w:val="none" w:sz="0" w:space="0" w:color="auto"/>
        <w:bottom w:val="none" w:sz="0" w:space="0" w:color="auto"/>
        <w:right w:val="none" w:sz="0" w:space="0" w:color="auto"/>
      </w:divBdr>
    </w:div>
    <w:div w:id="1231306024">
      <w:bodyDiv w:val="1"/>
      <w:marLeft w:val="0"/>
      <w:marRight w:val="0"/>
      <w:marTop w:val="0"/>
      <w:marBottom w:val="0"/>
      <w:divBdr>
        <w:top w:val="none" w:sz="0" w:space="0" w:color="auto"/>
        <w:left w:val="none" w:sz="0" w:space="0" w:color="auto"/>
        <w:bottom w:val="none" w:sz="0" w:space="0" w:color="auto"/>
        <w:right w:val="none" w:sz="0" w:space="0" w:color="auto"/>
      </w:divBdr>
      <w:divsChild>
        <w:div w:id="1133064297">
          <w:marLeft w:val="-720"/>
          <w:marRight w:val="0"/>
          <w:marTop w:val="0"/>
          <w:marBottom w:val="0"/>
          <w:divBdr>
            <w:top w:val="none" w:sz="0" w:space="0" w:color="auto"/>
            <w:left w:val="none" w:sz="0" w:space="0" w:color="auto"/>
            <w:bottom w:val="none" w:sz="0" w:space="0" w:color="auto"/>
            <w:right w:val="none" w:sz="0" w:space="0" w:color="auto"/>
          </w:divBdr>
        </w:div>
      </w:divsChild>
    </w:div>
    <w:div w:id="1760439844">
      <w:bodyDiv w:val="1"/>
      <w:marLeft w:val="0"/>
      <w:marRight w:val="0"/>
      <w:marTop w:val="0"/>
      <w:marBottom w:val="0"/>
      <w:divBdr>
        <w:top w:val="none" w:sz="0" w:space="0" w:color="auto"/>
        <w:left w:val="none" w:sz="0" w:space="0" w:color="auto"/>
        <w:bottom w:val="none" w:sz="0" w:space="0" w:color="auto"/>
        <w:right w:val="none" w:sz="0" w:space="0" w:color="auto"/>
      </w:divBdr>
      <w:divsChild>
        <w:div w:id="429934483">
          <w:marLeft w:val="-720"/>
          <w:marRight w:val="0"/>
          <w:marTop w:val="0"/>
          <w:marBottom w:val="0"/>
          <w:divBdr>
            <w:top w:val="none" w:sz="0" w:space="0" w:color="auto"/>
            <w:left w:val="none" w:sz="0" w:space="0" w:color="auto"/>
            <w:bottom w:val="none" w:sz="0" w:space="0" w:color="auto"/>
            <w:right w:val="none" w:sz="0" w:space="0" w:color="auto"/>
          </w:divBdr>
        </w:div>
      </w:divsChild>
    </w:div>
    <w:div w:id="1945267038">
      <w:bodyDiv w:val="1"/>
      <w:marLeft w:val="0"/>
      <w:marRight w:val="0"/>
      <w:marTop w:val="0"/>
      <w:marBottom w:val="0"/>
      <w:divBdr>
        <w:top w:val="none" w:sz="0" w:space="0" w:color="auto"/>
        <w:left w:val="none" w:sz="0" w:space="0" w:color="auto"/>
        <w:bottom w:val="none" w:sz="0" w:space="0" w:color="auto"/>
        <w:right w:val="none" w:sz="0" w:space="0" w:color="auto"/>
      </w:divBdr>
    </w:div>
    <w:div w:id="1971015715">
      <w:bodyDiv w:val="1"/>
      <w:marLeft w:val="0"/>
      <w:marRight w:val="0"/>
      <w:marTop w:val="0"/>
      <w:marBottom w:val="0"/>
      <w:divBdr>
        <w:top w:val="none" w:sz="0" w:space="0" w:color="auto"/>
        <w:left w:val="none" w:sz="0" w:space="0" w:color="auto"/>
        <w:bottom w:val="none" w:sz="0" w:space="0" w:color="auto"/>
        <w:right w:val="none" w:sz="0" w:space="0" w:color="auto"/>
      </w:divBdr>
      <w:divsChild>
        <w:div w:id="197493948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8</Pages>
  <Words>1774</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15</cp:revision>
  <dcterms:created xsi:type="dcterms:W3CDTF">2024-09-30T11:00:00Z</dcterms:created>
  <dcterms:modified xsi:type="dcterms:W3CDTF">2024-09-30T15:08:00Z</dcterms:modified>
</cp:coreProperties>
</file>