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B956" w14:textId="22730B87" w:rsidR="00365030" w:rsidRDefault="00365030">
      <w:r>
        <w:t>Part 1</w:t>
      </w:r>
    </w:p>
    <w:p w14:paraId="08CF5697" w14:textId="77777777" w:rsidR="00482FE4" w:rsidRPr="00482FE4" w:rsidRDefault="00482FE4" w:rsidP="00482FE4">
      <w:pPr>
        <w:spacing w:before="100" w:beforeAutospacing="1" w:after="100" w:afterAutospacing="1" w:line="240" w:lineRule="auto"/>
        <w:rPr>
          <w:rFonts w:ascii="Times New Roman" w:hAnsi="Times New Roman" w:cs="Times New Roman"/>
          <w:kern w:val="0"/>
          <w14:ligatures w14:val="none"/>
        </w:rPr>
      </w:pPr>
      <w:r w:rsidRPr="00482FE4">
        <w:rPr>
          <w:rFonts w:ascii="Times New Roman" w:hAnsi="Times New Roman" w:cs="Times New Roman"/>
          <w:kern w:val="0"/>
          <w14:ligatures w14:val="none"/>
        </w:rPr>
        <w:t>Collegial works, collaboration with stakeholders, literary analysis, and self-reflection often shift the professional practices and values of evaluators. Throughout this course, you have analyzed many factors that influence AEA. You have worked with colleagues and stakeholders in your community. In this Module, you examined the role of social change in AEA. In your Final Assignment, you combine these areas in a self-reflection of your learning and your future professional practices.</w:t>
      </w:r>
    </w:p>
    <w:p w14:paraId="1539A01F" w14:textId="77777777" w:rsidR="00482FE4" w:rsidRPr="00482FE4" w:rsidRDefault="00482FE4" w:rsidP="00482FE4">
      <w:pPr>
        <w:spacing w:before="100" w:beforeAutospacing="1" w:after="100" w:afterAutospacing="1" w:line="240" w:lineRule="auto"/>
        <w:rPr>
          <w:rFonts w:ascii="Times New Roman" w:hAnsi="Times New Roman" w:cs="Times New Roman"/>
          <w:kern w:val="0"/>
          <w14:ligatures w14:val="none"/>
        </w:rPr>
      </w:pPr>
      <w:r w:rsidRPr="00482FE4">
        <w:rPr>
          <w:rFonts w:ascii="Times New Roman" w:hAnsi="Times New Roman" w:cs="Times New Roman"/>
          <w:b/>
          <w:bCs/>
          <w:kern w:val="0"/>
          <w14:ligatures w14:val="none"/>
        </w:rPr>
        <w:t>To prepare for this Assignment, </w:t>
      </w:r>
      <w:r w:rsidRPr="00482FE4">
        <w:rPr>
          <w:rFonts w:ascii="Times New Roman" w:hAnsi="Times New Roman" w:cs="Times New Roman"/>
          <w:kern w:val="0"/>
          <w14:ligatures w14:val="none"/>
        </w:rPr>
        <w:t>select three resources that were most influential in shaping your present conceptions during this course. Consider how these resources may influence your role as an evaluator. Then, think about your future goals regarding your work in AEA. Reflect on the strategies that may be useful as an evaluator. Next, think about the benefits and challenges of evaluation work and how you might mitigate the challenges you may encounter. Finally, think about the role of AEA in influencing positive social change. Consider how you will use what you learned in this course to influence social change.</w:t>
      </w:r>
    </w:p>
    <w:p w14:paraId="5EC080C1" w14:textId="77777777" w:rsidR="00482FE4" w:rsidRPr="00482FE4" w:rsidRDefault="00482FE4" w:rsidP="00482FE4">
      <w:pPr>
        <w:spacing w:before="100" w:beforeAutospacing="1" w:after="100" w:afterAutospacing="1" w:line="240" w:lineRule="auto"/>
        <w:rPr>
          <w:rFonts w:ascii="Times New Roman" w:hAnsi="Times New Roman" w:cs="Times New Roman"/>
          <w:kern w:val="0"/>
          <w14:ligatures w14:val="none"/>
        </w:rPr>
      </w:pPr>
      <w:r w:rsidRPr="00482FE4">
        <w:rPr>
          <w:rFonts w:ascii="Times New Roman" w:hAnsi="Times New Roman" w:cs="Times New Roman"/>
          <w:kern w:val="0"/>
          <w14:ligatures w14:val="none"/>
        </w:rPr>
        <w:t>Assignment length:</w:t>
      </w:r>
      <w:r w:rsidRPr="00482FE4">
        <w:rPr>
          <w:rFonts w:ascii="Times New Roman" w:hAnsi="Times New Roman" w:cs="Times New Roman"/>
          <w:b/>
          <w:bCs/>
          <w:kern w:val="0"/>
          <w14:ligatures w14:val="none"/>
        </w:rPr>
        <w:t> 2 pages</w:t>
      </w:r>
    </w:p>
    <w:p w14:paraId="1A184E7F"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Identify the three readings you selected, and summarize why you believe these were influential in the ways in which you now perceive assessment, evaluation, and accountability (AEA) and yourself as an evaluator. How might these readings influence your future role as an evaluator?</w:t>
      </w:r>
    </w:p>
    <w:p w14:paraId="31882492"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What are your goals for the future regarding AEA work? What areas of the field, including specific populations, do you hope to positively impact? Why do you feel that your efforts are necessary?</w:t>
      </w:r>
    </w:p>
    <w:p w14:paraId="4EEFC4FD"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What strategies will be most beneficial to you within your role as an evaluator?</w:t>
      </w:r>
    </w:p>
    <w:p w14:paraId="5F64F07B"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What do you foresee as the benefits and challenges associated with your evaluation work?</w:t>
      </w:r>
    </w:p>
    <w:p w14:paraId="3E6A7EF8"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What steps can you take to overcome these challenges and maximize the benefits of your efforts?</w:t>
      </w:r>
    </w:p>
    <w:p w14:paraId="1695B33B" w14:textId="77777777" w:rsidR="00482FE4" w:rsidRPr="00482FE4" w:rsidRDefault="00482FE4" w:rsidP="00482F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82FE4">
        <w:rPr>
          <w:rFonts w:ascii="Times New Roman" w:eastAsia="Times New Roman" w:hAnsi="Times New Roman" w:cs="Times New Roman"/>
          <w:kern w:val="0"/>
          <w14:ligatures w14:val="none"/>
        </w:rPr>
        <w:t>How will you use what you learned in this course to influence social change?</w:t>
      </w:r>
    </w:p>
    <w:p w14:paraId="0809AEAF" w14:textId="77777777" w:rsidR="00482FE4" w:rsidRPr="00482FE4" w:rsidRDefault="00482FE4" w:rsidP="00482FE4">
      <w:pPr>
        <w:spacing w:after="0" w:line="240" w:lineRule="auto"/>
        <w:rPr>
          <w:rFonts w:ascii="Times New Roman" w:eastAsia="Times New Roman" w:hAnsi="Times New Roman" w:cs="Times New Roman"/>
          <w:kern w:val="0"/>
          <w14:ligatures w14:val="none"/>
        </w:rPr>
      </w:pPr>
    </w:p>
    <w:p w14:paraId="7C00A645" w14:textId="77777777" w:rsidR="00482FE4" w:rsidRDefault="00482FE4"/>
    <w:p w14:paraId="60075F56" w14:textId="77777777" w:rsidR="00265F5C" w:rsidRDefault="00265F5C" w:rsidP="00265F5C">
      <w:pPr>
        <w:pStyle w:val="NormalWeb"/>
        <w:numPr>
          <w:ilvl w:val="0"/>
          <w:numId w:val="2"/>
        </w:numPr>
        <w:shd w:val="clear" w:color="auto" w:fill="FFFFFF"/>
        <w:spacing w:before="0" w:after="0"/>
        <w:rPr>
          <w:rFonts w:ascii="Lato" w:hAnsi="Lato"/>
          <w:color w:val="333333"/>
        </w:rPr>
      </w:pPr>
      <w:proofErr w:type="spellStart"/>
      <w:r>
        <w:rPr>
          <w:rFonts w:ascii="Lato" w:hAnsi="Lato"/>
          <w:color w:val="333333"/>
        </w:rPr>
        <w:t>Aasland</w:t>
      </w:r>
      <w:proofErr w:type="spellEnd"/>
      <w:r>
        <w:rPr>
          <w:rFonts w:ascii="Lato" w:hAnsi="Lato"/>
          <w:color w:val="333333"/>
        </w:rPr>
        <w:t xml:space="preserve">, A., &amp; </w:t>
      </w:r>
      <w:proofErr w:type="spellStart"/>
      <w:r>
        <w:rPr>
          <w:rFonts w:ascii="Lato" w:hAnsi="Lato"/>
          <w:color w:val="333333"/>
        </w:rPr>
        <w:t>Haug</w:t>
      </w:r>
      <w:proofErr w:type="spellEnd"/>
      <w:r>
        <w:rPr>
          <w:rFonts w:ascii="Lato" w:hAnsi="Lato"/>
          <w:color w:val="333333"/>
        </w:rPr>
        <w:t>, M. (2011). Perceptions of social change in Nepal: Are caste, ethnicity, and region of relevance?</w:t>
      </w:r>
      <w:r>
        <w:rPr>
          <w:rStyle w:val="apple-converted-space"/>
          <w:rFonts w:ascii="Lato" w:hAnsi="Lato"/>
          <w:color w:val="333333"/>
        </w:rPr>
        <w:t> </w:t>
      </w:r>
      <w:hyperlink r:id="rId5" w:tgtFrame="_blank" w:history="1">
        <w:r>
          <w:rPr>
            <w:rStyle w:val="Emphasis"/>
            <w:rFonts w:ascii="Lato" w:hAnsi="Lato"/>
            <w:color w:val="0000FF"/>
            <w:u w:val="single"/>
          </w:rPr>
          <w:t>Journal of Asian and African Studies</w:t>
        </w:r>
        <w:r>
          <w:rPr>
            <w:rStyle w:val="screenreader-only"/>
            <w:rFonts w:ascii="Lato" w:hAnsi="Lato"/>
            <w:color w:val="0000FF"/>
            <w:u w:val="single"/>
            <w:bdr w:val="none" w:sz="0" w:space="0" w:color="auto" w:frame="1"/>
          </w:rPr>
          <w:t>Links to an external site.</w:t>
        </w:r>
      </w:hyperlink>
      <w:r>
        <w:rPr>
          <w:rFonts w:ascii="Lato" w:hAnsi="Lato"/>
          <w:color w:val="333333"/>
        </w:rPr>
        <w:t>,</w:t>
      </w:r>
      <w:r>
        <w:rPr>
          <w:rStyle w:val="apple-converted-space"/>
          <w:rFonts w:ascii="Lato" w:hAnsi="Lato"/>
          <w:color w:val="333333"/>
        </w:rPr>
        <w:t> </w:t>
      </w:r>
      <w:r>
        <w:rPr>
          <w:rStyle w:val="Emphasis"/>
          <w:rFonts w:ascii="Lato" w:hAnsi="Lato"/>
          <w:color w:val="333333"/>
        </w:rPr>
        <w:t>46</w:t>
      </w:r>
      <w:r>
        <w:rPr>
          <w:rFonts w:ascii="Lato" w:hAnsi="Lato"/>
          <w:color w:val="333333"/>
        </w:rPr>
        <w:t>(2), 184–201.</w:t>
      </w:r>
    </w:p>
    <w:p w14:paraId="15E15B5C" w14:textId="77777777" w:rsidR="00265F5C" w:rsidRDefault="00265F5C">
      <w:pPr>
        <w:pStyle w:val="NormalWeb"/>
        <w:shd w:val="clear" w:color="auto" w:fill="FFFFFF"/>
        <w:rPr>
          <w:rFonts w:ascii="Lato" w:hAnsi="Lato"/>
          <w:color w:val="333333"/>
        </w:rPr>
      </w:pPr>
      <w:r>
        <w:rPr>
          <w:rStyle w:val="Strong"/>
          <w:rFonts w:ascii="Lato" w:hAnsi="Lato"/>
          <w:color w:val="333333"/>
        </w:rPr>
        <w:t>Focus on</w:t>
      </w:r>
      <w:r>
        <w:rPr>
          <w:rStyle w:val="apple-converted-space"/>
          <w:rFonts w:ascii="Lato" w:hAnsi="Lato"/>
          <w:b/>
          <w:bCs/>
          <w:color w:val="333333"/>
        </w:rPr>
        <w:t> </w:t>
      </w:r>
      <w:r>
        <w:rPr>
          <w:rFonts w:ascii="Lato" w:hAnsi="Lato"/>
          <w:color w:val="333333"/>
        </w:rPr>
        <w:t>the social change that has occurred in Nepal. To prepare for the Discussion and Assignment 1, consider the findings of the study, the factors that affect social change, and how these factors relate to the setting of your stakeholder and your professional practice.</w:t>
      </w:r>
    </w:p>
    <w:p w14:paraId="017A883B" w14:textId="77777777" w:rsidR="00265F5C" w:rsidRDefault="00265F5C" w:rsidP="00265F5C">
      <w:pPr>
        <w:pStyle w:val="NormalWeb"/>
        <w:numPr>
          <w:ilvl w:val="0"/>
          <w:numId w:val="3"/>
        </w:numPr>
        <w:shd w:val="clear" w:color="auto" w:fill="FFFFFF"/>
        <w:spacing w:before="0" w:after="0"/>
        <w:rPr>
          <w:rFonts w:ascii="Lato" w:hAnsi="Lato"/>
          <w:color w:val="333333"/>
        </w:rPr>
      </w:pPr>
      <w:proofErr w:type="spellStart"/>
      <w:r>
        <w:rPr>
          <w:rFonts w:ascii="Lato" w:hAnsi="Lato"/>
          <w:color w:val="333333"/>
        </w:rPr>
        <w:t>Cermak</w:t>
      </w:r>
      <w:proofErr w:type="spellEnd"/>
      <w:r>
        <w:rPr>
          <w:rFonts w:ascii="Lato" w:hAnsi="Lato"/>
          <w:color w:val="333333"/>
        </w:rPr>
        <w:t>, M. J., Christiansen, J. A., Finnegan, A. C., Gleeson, A. P., Leach, D. K., &amp; White, S. K. (2011). Displacing activism? The impact of international service trips on understandings of social change.</w:t>
      </w:r>
      <w:r>
        <w:rPr>
          <w:rStyle w:val="apple-converted-space"/>
          <w:rFonts w:ascii="Lato" w:hAnsi="Lato"/>
          <w:color w:val="333333"/>
        </w:rPr>
        <w:t> </w:t>
      </w:r>
      <w:hyperlink r:id="rId6" w:tgtFrame="_blank" w:history="1">
        <w:r>
          <w:rPr>
            <w:rStyle w:val="Emphasis"/>
            <w:rFonts w:ascii="Lato" w:hAnsi="Lato"/>
            <w:color w:val="0000FF"/>
            <w:u w:val="single"/>
          </w:rPr>
          <w:t>Education, Citizenship, and Social Justice</w:t>
        </w:r>
        <w:r>
          <w:rPr>
            <w:rStyle w:val="screenreader-only"/>
            <w:rFonts w:ascii="Lato" w:hAnsi="Lato"/>
            <w:color w:val="0000FF"/>
            <w:u w:val="single"/>
            <w:bdr w:val="none" w:sz="0" w:space="0" w:color="auto" w:frame="1"/>
          </w:rPr>
          <w:t>Links to an external site.</w:t>
        </w:r>
      </w:hyperlink>
      <w:r>
        <w:rPr>
          <w:rFonts w:ascii="Lato" w:hAnsi="Lato"/>
          <w:color w:val="333333"/>
        </w:rPr>
        <w:t>,</w:t>
      </w:r>
      <w:r>
        <w:rPr>
          <w:rStyle w:val="apple-converted-space"/>
          <w:rFonts w:ascii="Lato" w:hAnsi="Lato"/>
          <w:color w:val="333333"/>
        </w:rPr>
        <w:t> </w:t>
      </w:r>
      <w:r>
        <w:rPr>
          <w:rStyle w:val="Emphasis"/>
          <w:rFonts w:ascii="Lato" w:hAnsi="Lato"/>
          <w:color w:val="333333"/>
        </w:rPr>
        <w:t>6</w:t>
      </w:r>
      <w:r>
        <w:rPr>
          <w:rFonts w:ascii="Lato" w:hAnsi="Lato"/>
          <w:color w:val="333333"/>
        </w:rPr>
        <w:t>(1), 5–19.</w:t>
      </w:r>
    </w:p>
    <w:p w14:paraId="54C8EE90" w14:textId="77777777" w:rsidR="00265F5C" w:rsidRDefault="00265F5C">
      <w:pPr>
        <w:pStyle w:val="NormalWeb"/>
        <w:shd w:val="clear" w:color="auto" w:fill="FFFFFF"/>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student’s perceptions of social change. In preparation for the Discussion and Assignment 1, consider the effect of</w:t>
      </w:r>
      <w:r>
        <w:rPr>
          <w:rStyle w:val="apple-converted-space"/>
          <w:rFonts w:ascii="Lato" w:hAnsi="Lato"/>
          <w:color w:val="333333"/>
        </w:rPr>
        <w:t> </w:t>
      </w:r>
      <w:proofErr w:type="spellStart"/>
      <w:r>
        <w:rPr>
          <w:rStyle w:val="Emphasis"/>
          <w:rFonts w:ascii="Lato" w:hAnsi="Lato"/>
          <w:color w:val="333333"/>
        </w:rPr>
        <w:t>activism</w:t>
      </w:r>
      <w:r>
        <w:rPr>
          <w:rFonts w:ascii="Lato" w:hAnsi="Lato"/>
          <w:color w:val="333333"/>
        </w:rPr>
        <w:t>on</w:t>
      </w:r>
      <w:proofErr w:type="spellEnd"/>
      <w:r>
        <w:rPr>
          <w:rFonts w:ascii="Lato" w:hAnsi="Lato"/>
          <w:color w:val="333333"/>
        </w:rPr>
        <w:t xml:space="preserve"> influencing social change and think about how you could enact change within the setting of your stakeholder.</w:t>
      </w:r>
    </w:p>
    <w:p w14:paraId="3B74EDD2" w14:textId="77777777" w:rsidR="00265F5C" w:rsidRDefault="00265F5C" w:rsidP="00265F5C">
      <w:pPr>
        <w:pStyle w:val="NormalWeb"/>
        <w:numPr>
          <w:ilvl w:val="0"/>
          <w:numId w:val="4"/>
        </w:numPr>
        <w:shd w:val="clear" w:color="auto" w:fill="FFFFFF"/>
        <w:spacing w:before="0" w:after="0"/>
        <w:rPr>
          <w:rFonts w:ascii="Lato" w:hAnsi="Lato"/>
          <w:color w:val="333333"/>
        </w:rPr>
      </w:pPr>
      <w:r>
        <w:rPr>
          <w:rFonts w:ascii="Lato" w:hAnsi="Lato"/>
          <w:color w:val="333333"/>
        </w:rPr>
        <w:t>Christens, B. D., &amp; Dolan, T. (2011). Interweaving youth development, community development, and social change through youth organization.</w:t>
      </w:r>
      <w:r>
        <w:rPr>
          <w:rStyle w:val="apple-converted-space"/>
          <w:rFonts w:ascii="Lato" w:hAnsi="Lato"/>
          <w:color w:val="333333"/>
        </w:rPr>
        <w:t> </w:t>
      </w:r>
      <w:hyperlink r:id="rId7" w:tgtFrame="_blank" w:history="1">
        <w:r>
          <w:rPr>
            <w:rStyle w:val="Emphasis"/>
            <w:rFonts w:ascii="Lato" w:hAnsi="Lato"/>
            <w:color w:val="0000FF"/>
            <w:u w:val="single"/>
          </w:rPr>
          <w:t>Youth &amp; Society</w:t>
        </w:r>
        <w:r>
          <w:rPr>
            <w:rStyle w:val="screenreader-only"/>
            <w:rFonts w:ascii="Lato" w:hAnsi="Lato"/>
            <w:color w:val="0000FF"/>
            <w:u w:val="single"/>
            <w:bdr w:val="none" w:sz="0" w:space="0" w:color="auto" w:frame="1"/>
          </w:rPr>
          <w:t>Links to an external site.</w:t>
        </w:r>
      </w:hyperlink>
      <w:r>
        <w:rPr>
          <w:rFonts w:ascii="Lato" w:hAnsi="Lato"/>
          <w:color w:val="333333"/>
        </w:rPr>
        <w:t>,</w:t>
      </w:r>
      <w:r>
        <w:rPr>
          <w:rStyle w:val="apple-converted-space"/>
          <w:rFonts w:ascii="Lato" w:hAnsi="Lato"/>
          <w:color w:val="333333"/>
        </w:rPr>
        <w:t> </w:t>
      </w:r>
      <w:r>
        <w:rPr>
          <w:rStyle w:val="Emphasis"/>
          <w:rFonts w:ascii="Lato" w:hAnsi="Lato"/>
          <w:color w:val="333333"/>
        </w:rPr>
        <w:t>43</w:t>
      </w:r>
      <w:r>
        <w:rPr>
          <w:rFonts w:ascii="Lato" w:hAnsi="Lato"/>
          <w:color w:val="333333"/>
        </w:rPr>
        <w:t>(2), 528–548.</w:t>
      </w:r>
    </w:p>
    <w:p w14:paraId="0FD458A0" w14:textId="77777777" w:rsidR="00265F5C" w:rsidRDefault="00265F5C">
      <w:pPr>
        <w:pStyle w:val="NormalWeb"/>
        <w:shd w:val="clear" w:color="auto" w:fill="FFFFFF"/>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effect of social change at the community level. To prepare for the Discussion and Assignment 2, think about the strategies used to promote social change and consider whether you could use similar strategies in the setting of your stakeholder.</w:t>
      </w:r>
    </w:p>
    <w:p w14:paraId="6058A29A" w14:textId="77777777" w:rsidR="00265F5C" w:rsidRDefault="00265F5C" w:rsidP="00265F5C">
      <w:pPr>
        <w:pStyle w:val="NormalWeb"/>
        <w:numPr>
          <w:ilvl w:val="0"/>
          <w:numId w:val="5"/>
        </w:numPr>
        <w:shd w:val="clear" w:color="auto" w:fill="FFFFFF"/>
        <w:spacing w:before="0" w:after="0"/>
        <w:rPr>
          <w:rFonts w:ascii="Lato" w:hAnsi="Lato"/>
          <w:color w:val="333333"/>
        </w:rPr>
      </w:pPr>
      <w:proofErr w:type="spellStart"/>
      <w:r>
        <w:rPr>
          <w:rFonts w:ascii="Lato" w:hAnsi="Lato"/>
          <w:color w:val="333333"/>
        </w:rPr>
        <w:t>Dunne</w:t>
      </w:r>
      <w:proofErr w:type="spellEnd"/>
      <w:r>
        <w:rPr>
          <w:rFonts w:ascii="Lato" w:hAnsi="Lato"/>
          <w:color w:val="333333"/>
        </w:rPr>
        <w:t>, S., &amp; Edwards, J. (2010). International schools as sites of social change.</w:t>
      </w:r>
      <w:r>
        <w:rPr>
          <w:rStyle w:val="apple-converted-space"/>
          <w:rFonts w:ascii="Lato" w:hAnsi="Lato"/>
          <w:color w:val="333333"/>
        </w:rPr>
        <w:t> </w:t>
      </w:r>
      <w:hyperlink r:id="rId8" w:tgtFrame="_blank" w:history="1">
        <w:r>
          <w:rPr>
            <w:rStyle w:val="Emphasis"/>
            <w:rFonts w:ascii="Lato" w:hAnsi="Lato"/>
            <w:color w:val="0000FF"/>
            <w:u w:val="single"/>
          </w:rPr>
          <w:t>Journal of Research in International Education</w:t>
        </w:r>
        <w:r>
          <w:rPr>
            <w:rStyle w:val="screenreader-only"/>
            <w:rFonts w:ascii="Lato" w:hAnsi="Lato"/>
            <w:color w:val="0000FF"/>
            <w:u w:val="single"/>
            <w:bdr w:val="none" w:sz="0" w:space="0" w:color="auto" w:frame="1"/>
          </w:rPr>
          <w:t>Links to an external site.</w:t>
        </w:r>
      </w:hyperlink>
      <w:r>
        <w:rPr>
          <w:rFonts w:ascii="Lato" w:hAnsi="Lato"/>
          <w:color w:val="333333"/>
        </w:rPr>
        <w:t>,</w:t>
      </w:r>
      <w:r>
        <w:rPr>
          <w:rStyle w:val="apple-converted-space"/>
          <w:rFonts w:ascii="Lato" w:hAnsi="Lato"/>
          <w:color w:val="333333"/>
        </w:rPr>
        <w:t> </w:t>
      </w:r>
      <w:r>
        <w:rPr>
          <w:rStyle w:val="Emphasis"/>
          <w:rFonts w:ascii="Lato" w:hAnsi="Lato"/>
          <w:color w:val="333333"/>
        </w:rPr>
        <w:t>9</w:t>
      </w:r>
      <w:r>
        <w:rPr>
          <w:rFonts w:ascii="Lato" w:hAnsi="Lato"/>
          <w:color w:val="333333"/>
        </w:rPr>
        <w:t>(1), 24–39.</w:t>
      </w:r>
    </w:p>
    <w:p w14:paraId="4362DBCA" w14:textId="77777777" w:rsidR="00265F5C" w:rsidRDefault="00265F5C">
      <w:pPr>
        <w:pStyle w:val="NormalWeb"/>
        <w:shd w:val="clear" w:color="auto" w:fill="FFFFFF"/>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challenges and factors of promoting social change in international schools. To prepare for the Discussion and Assignment 2, consider the power of using international schools to promote social change and think about how the factors underpinning this study may affect the setting of your stakeholder.</w:t>
      </w:r>
    </w:p>
    <w:p w14:paraId="4296B929" w14:textId="77777777" w:rsidR="00265F5C" w:rsidRDefault="00265F5C" w:rsidP="00265F5C">
      <w:pPr>
        <w:pStyle w:val="NormalWeb"/>
        <w:numPr>
          <w:ilvl w:val="0"/>
          <w:numId w:val="6"/>
        </w:numPr>
        <w:shd w:val="clear" w:color="auto" w:fill="FFFFFF"/>
        <w:spacing w:before="0" w:after="0"/>
        <w:rPr>
          <w:rFonts w:ascii="Lato" w:hAnsi="Lato"/>
          <w:color w:val="333333"/>
        </w:rPr>
      </w:pPr>
      <w:r>
        <w:rPr>
          <w:rFonts w:ascii="Lato" w:hAnsi="Lato"/>
          <w:color w:val="333333"/>
        </w:rPr>
        <w:t>Microsoft. (2016).</w:t>
      </w:r>
      <w:r>
        <w:rPr>
          <w:rStyle w:val="apple-converted-space"/>
          <w:rFonts w:ascii="Lato" w:hAnsi="Lato"/>
          <w:color w:val="333333"/>
        </w:rPr>
        <w:t> </w:t>
      </w:r>
      <w:hyperlink r:id="rId9" w:tgtFrame="_blank" w:history="1">
        <w:r>
          <w:rPr>
            <w:rStyle w:val="Hyperlink"/>
            <w:rFonts w:ascii="Lato" w:hAnsi="Lato"/>
          </w:rPr>
          <w:t>PowerPoint help</w:t>
        </w:r>
        <w:r>
          <w:rPr>
            <w:rStyle w:val="screenreader-only"/>
            <w:rFonts w:ascii="Lato" w:hAnsi="Lato"/>
            <w:color w:val="0000FF"/>
            <w:u w:val="single"/>
            <w:bdr w:val="none" w:sz="0" w:space="0" w:color="auto" w:frame="1"/>
          </w:rPr>
          <w:t>Links to an external site.</w:t>
        </w:r>
      </w:hyperlink>
      <w:r>
        <w:rPr>
          <w:rFonts w:ascii="Lato" w:hAnsi="Lato"/>
          <w:color w:val="333333"/>
        </w:rPr>
        <w:t>.</w:t>
      </w:r>
    </w:p>
    <w:p w14:paraId="2B4A3F80" w14:textId="77777777" w:rsidR="00265F5C" w:rsidRDefault="00265F5C">
      <w:pPr>
        <w:pStyle w:val="NormalWeb"/>
        <w:shd w:val="clear" w:color="auto" w:fill="FFFFFF"/>
        <w:ind w:left="720"/>
        <w:rPr>
          <w:rFonts w:ascii="Lato" w:hAnsi="Lato"/>
          <w:color w:val="333333"/>
        </w:rPr>
      </w:pPr>
      <w:r>
        <w:rPr>
          <w:rFonts w:ascii="Lato" w:hAnsi="Lato"/>
          <w:color w:val="333333"/>
        </w:rPr>
        <w:t>Retrieved from https://support.office.com/en-us/powerpoint</w:t>
      </w:r>
    </w:p>
    <w:p w14:paraId="5A72D0AA" w14:textId="77777777" w:rsidR="00265F5C" w:rsidRDefault="00265F5C">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color w:val="333333"/>
        </w:rPr>
        <w:t> </w:t>
      </w:r>
      <w:r>
        <w:rPr>
          <w:rFonts w:ascii="Lato" w:hAnsi="Lato"/>
          <w:color w:val="333333"/>
        </w:rPr>
        <w:t>the steps of adding sound to your PowerPoint presentation to prepare for Assignment 2.</w:t>
      </w:r>
    </w:p>
    <w:p w14:paraId="01BBE852" w14:textId="77777777" w:rsidR="00265F5C" w:rsidRDefault="00265F5C" w:rsidP="00265F5C">
      <w:pPr>
        <w:pStyle w:val="NormalWeb"/>
        <w:numPr>
          <w:ilvl w:val="0"/>
          <w:numId w:val="6"/>
        </w:numPr>
        <w:shd w:val="clear" w:color="auto" w:fill="FFFFFF"/>
        <w:spacing w:before="0" w:after="0"/>
        <w:rPr>
          <w:rFonts w:ascii="Lato" w:hAnsi="Lato"/>
          <w:color w:val="333333"/>
        </w:rPr>
      </w:pPr>
      <w:r>
        <w:rPr>
          <w:rFonts w:ascii="Lato" w:hAnsi="Lato"/>
          <w:color w:val="333333"/>
        </w:rPr>
        <w:t>University of Pennsylvania. (n.d.).</w:t>
      </w:r>
      <w:r>
        <w:rPr>
          <w:rStyle w:val="apple-converted-space"/>
          <w:rFonts w:ascii="Lato" w:hAnsi="Lato"/>
          <w:color w:val="333333"/>
        </w:rPr>
        <w:t> </w:t>
      </w:r>
      <w:hyperlink r:id="rId10" w:tgtFrame="_blank" w:history="1">
        <w:r>
          <w:rPr>
            <w:rStyle w:val="Hyperlink"/>
            <w:rFonts w:ascii="Lato" w:hAnsi="Lato"/>
          </w:rPr>
          <w:t>PowerPoint tutorial: Adding sound</w:t>
        </w:r>
        <w:r>
          <w:rPr>
            <w:rStyle w:val="screenreader-only"/>
            <w:rFonts w:ascii="Lato" w:hAnsi="Lato"/>
            <w:color w:val="0000FF"/>
            <w:u w:val="single"/>
            <w:bdr w:val="none" w:sz="0" w:space="0" w:color="auto" w:frame="1"/>
          </w:rPr>
          <w:t>Links to an external site.</w:t>
        </w:r>
      </w:hyperlink>
      <w:r>
        <w:rPr>
          <w:rFonts w:ascii="Lato" w:hAnsi="Lato"/>
          <w:color w:val="333333"/>
        </w:rPr>
        <w:t>. Retrieved from http://gethelp.library.upenn.edu/workshops/biomed/ppt/sound.html</w:t>
      </w:r>
    </w:p>
    <w:p w14:paraId="20CC4E1C" w14:textId="77777777" w:rsidR="00265F5C" w:rsidRDefault="00265F5C">
      <w:pPr>
        <w:pStyle w:val="NormalWeb"/>
        <w:shd w:val="clear" w:color="auto" w:fill="FFFFFF"/>
        <w:ind w:left="720"/>
        <w:rPr>
          <w:rFonts w:ascii="Lato" w:hAnsi="Lato"/>
          <w:color w:val="333333"/>
        </w:rPr>
      </w:pPr>
      <w:r>
        <w:rPr>
          <w:rStyle w:val="Strong"/>
          <w:rFonts w:ascii="Lato" w:hAnsi="Lato"/>
          <w:color w:val="333333"/>
        </w:rPr>
        <w:t>Focus on</w:t>
      </w:r>
      <w:r>
        <w:rPr>
          <w:rStyle w:val="apple-converted-space"/>
          <w:rFonts w:ascii="Lato" w:hAnsi="Lato"/>
          <w:b/>
          <w:bCs/>
          <w:color w:val="333333"/>
        </w:rPr>
        <w:t> </w:t>
      </w:r>
      <w:r>
        <w:rPr>
          <w:rFonts w:ascii="Lato" w:hAnsi="Lato"/>
          <w:color w:val="333333"/>
        </w:rPr>
        <w:t>the steps of adding sound to your PowerPoint presentation to prepare for Assignment 2.</w:t>
      </w:r>
    </w:p>
    <w:p w14:paraId="09B14E78" w14:textId="77777777" w:rsidR="00265F5C" w:rsidRDefault="00265F5C"/>
    <w:p w14:paraId="19F0E0CD" w14:textId="77777777" w:rsidR="00482FE4" w:rsidRDefault="00482FE4"/>
    <w:p w14:paraId="2ADC244B" w14:textId="77777777" w:rsidR="003971BC" w:rsidRDefault="003971BC" w:rsidP="003971BC">
      <w:pPr>
        <w:pStyle w:val="NormalWeb"/>
        <w:numPr>
          <w:ilvl w:val="0"/>
          <w:numId w:val="7"/>
        </w:numPr>
        <w:shd w:val="clear" w:color="auto" w:fill="FFFFFF"/>
        <w:spacing w:before="0" w:after="0"/>
        <w:rPr>
          <w:rFonts w:ascii="Lato" w:hAnsi="Lato"/>
          <w:color w:val="333333"/>
        </w:rPr>
      </w:pPr>
      <w:r>
        <w:rPr>
          <w:rFonts w:ascii="Lato" w:hAnsi="Lato"/>
          <w:color w:val="333333"/>
        </w:rPr>
        <w:t>Walden University, LLC. (Executive Producer). (2012b).</w:t>
      </w:r>
      <w:r>
        <w:rPr>
          <w:rStyle w:val="apple-converted-space"/>
          <w:rFonts w:ascii="Lato" w:hAnsi="Lato"/>
          <w:color w:val="333333"/>
        </w:rPr>
        <w:t> </w:t>
      </w:r>
      <w:hyperlink r:id="rId11" w:tgtFrame="_blank" w:history="1">
        <w:r>
          <w:rPr>
            <w:rStyle w:val="Emphasis"/>
            <w:rFonts w:ascii="Lato" w:hAnsi="Lato"/>
            <w:color w:val="0000FF"/>
            <w:u w:val="single"/>
          </w:rPr>
          <w:t>Voice from the field: Community-based social change</w:t>
        </w:r>
        <w:r>
          <w:rPr>
            <w:rStyle w:val="screenreader-only"/>
            <w:rFonts w:ascii="Lato" w:hAnsi="Lato"/>
            <w:color w:val="0000FF"/>
            <w:u w:val="single"/>
            <w:bdr w:val="none" w:sz="0" w:space="0" w:color="auto" w:frame="1"/>
          </w:rPr>
          <w:t>Links to an external site.</w:t>
        </w:r>
      </w:hyperlink>
      <w:r>
        <w:rPr>
          <w:rFonts w:ascii="Lato" w:hAnsi="Lato"/>
          <w:color w:val="333333"/>
        </w:rPr>
        <w:t>. Baltimore, MD: Author.</w:t>
      </w:r>
    </w:p>
    <w:p w14:paraId="71E7DFEE" w14:textId="77777777" w:rsidR="00DE4BB2" w:rsidRDefault="00DE4BB2" w:rsidP="00DE4BB2">
      <w:pPr>
        <w:pStyle w:val="NormalWeb"/>
        <w:numPr>
          <w:ilvl w:val="0"/>
          <w:numId w:val="7"/>
        </w:numPr>
        <w:shd w:val="clear" w:color="auto" w:fill="FFFFFF"/>
        <w:rPr>
          <w:rFonts w:ascii="Lato" w:hAnsi="Lato"/>
          <w:color w:val="333333"/>
        </w:rPr>
      </w:pPr>
      <w:r>
        <w:rPr>
          <w:rFonts w:ascii="Lato" w:hAnsi="Lato"/>
          <w:color w:val="333333"/>
        </w:rPr>
        <w:t>Fink, A. (2003).</w:t>
      </w:r>
      <w:r>
        <w:rPr>
          <w:rStyle w:val="apple-converted-space"/>
          <w:rFonts w:ascii="Lato" w:hAnsi="Lato"/>
          <w:color w:val="333333"/>
        </w:rPr>
        <w:t> </w:t>
      </w:r>
      <w:r>
        <w:rPr>
          <w:rStyle w:val="Emphasis"/>
          <w:rFonts w:ascii="Lato" w:hAnsi="Lato"/>
          <w:color w:val="333333"/>
        </w:rPr>
        <w:t>How to ask survey questions</w:t>
      </w:r>
      <w:r>
        <w:rPr>
          <w:rFonts w:ascii="Lato" w:hAnsi="Lato"/>
          <w:color w:val="333333"/>
        </w:rPr>
        <w:t>. Thousand Oaks, CA: Sage.</w:t>
      </w:r>
    </w:p>
    <w:p w14:paraId="678694A3" w14:textId="77777777" w:rsidR="00DE4BB2" w:rsidRDefault="00DE4BB2">
      <w:pPr>
        <w:pStyle w:val="NormalWeb"/>
        <w:shd w:val="clear" w:color="auto" w:fill="FFFFFF"/>
        <w:ind w:left="720"/>
        <w:rPr>
          <w:rFonts w:ascii="Lato" w:hAnsi="Lato"/>
          <w:color w:val="333333"/>
        </w:rPr>
      </w:pPr>
      <w:r>
        <w:rPr>
          <w:rFonts w:ascii="Lato" w:hAnsi="Lato"/>
          <w:color w:val="333333"/>
        </w:rPr>
        <w:t>Retrieved from the Walden Library databases.</w:t>
      </w:r>
    </w:p>
    <w:p w14:paraId="31010FB3" w14:textId="77777777" w:rsidR="00DE4BB2" w:rsidRDefault="00DE4BB2" w:rsidP="00DE4BB2">
      <w:pPr>
        <w:pStyle w:val="NormalWeb"/>
        <w:numPr>
          <w:ilvl w:val="1"/>
          <w:numId w:val="7"/>
        </w:numPr>
        <w:shd w:val="clear" w:color="auto" w:fill="FFFFFF"/>
        <w:rPr>
          <w:rFonts w:ascii="Lato" w:hAnsi="Lato"/>
          <w:color w:val="333333"/>
        </w:rPr>
      </w:pPr>
      <w:r>
        <w:rPr>
          <w:rFonts w:ascii="Lato" w:hAnsi="Lato"/>
          <w:color w:val="333333"/>
        </w:rPr>
        <w:t>Chapter 1, “Asking Questions: A Matter of Context” (pp. 2–35)</w:t>
      </w:r>
    </w:p>
    <w:p w14:paraId="10C421BE" w14:textId="77777777" w:rsidR="00DE4BB2" w:rsidRDefault="00DE4BB2" w:rsidP="00DE4BB2">
      <w:pPr>
        <w:pStyle w:val="NormalWeb"/>
        <w:numPr>
          <w:ilvl w:val="1"/>
          <w:numId w:val="7"/>
        </w:numPr>
        <w:shd w:val="clear" w:color="auto" w:fill="FFFFFF"/>
        <w:rPr>
          <w:rFonts w:ascii="Lato" w:hAnsi="Lato"/>
          <w:color w:val="333333"/>
        </w:rPr>
      </w:pPr>
      <w:r>
        <w:rPr>
          <w:rFonts w:ascii="Lato" w:hAnsi="Lato"/>
          <w:color w:val="333333"/>
        </w:rPr>
        <w:t>Chapter 2, “Keeping Questions Closed or Open Them Up” (pp. 35–39)</w:t>
      </w:r>
    </w:p>
    <w:p w14:paraId="4F4F3616" w14:textId="77777777" w:rsidR="00DE4BB2" w:rsidRDefault="00DE4BB2" w:rsidP="00DE4BB2">
      <w:pPr>
        <w:pStyle w:val="NormalWeb"/>
        <w:numPr>
          <w:ilvl w:val="1"/>
          <w:numId w:val="7"/>
        </w:numPr>
        <w:shd w:val="clear" w:color="auto" w:fill="FFFFFF"/>
        <w:rPr>
          <w:rFonts w:ascii="Lato" w:hAnsi="Lato"/>
          <w:color w:val="333333"/>
        </w:rPr>
      </w:pPr>
      <w:r>
        <w:rPr>
          <w:rFonts w:ascii="Lato" w:hAnsi="Lato"/>
          <w:color w:val="333333"/>
        </w:rPr>
        <w:t>Chapter 4, “Knowledge, Attitudes, and Behavior: Additional Tips for Creating Survey Questions” (pp. 67–93)</w:t>
      </w:r>
    </w:p>
    <w:p w14:paraId="2CDACF72" w14:textId="77777777" w:rsidR="00DE4BB2" w:rsidRDefault="00DE4BB2" w:rsidP="00DE4BB2">
      <w:pPr>
        <w:pStyle w:val="NormalWeb"/>
        <w:numPr>
          <w:ilvl w:val="0"/>
          <w:numId w:val="7"/>
        </w:numPr>
        <w:shd w:val="clear" w:color="auto" w:fill="FFFFFF"/>
        <w:rPr>
          <w:rFonts w:ascii="Lato" w:hAnsi="Lato"/>
          <w:color w:val="333333"/>
        </w:rPr>
      </w:pPr>
      <w:r>
        <w:rPr>
          <w:rFonts w:ascii="Lato" w:hAnsi="Lato"/>
          <w:color w:val="333333"/>
        </w:rPr>
        <w:t>Loxton, D., &amp; Young, A. (2007). Longitudinal survey development and design.</w:t>
      </w:r>
      <w:r>
        <w:rPr>
          <w:rStyle w:val="apple-converted-space"/>
          <w:rFonts w:ascii="Lato" w:hAnsi="Lato"/>
          <w:color w:val="333333"/>
        </w:rPr>
        <w:t> </w:t>
      </w:r>
      <w:r>
        <w:rPr>
          <w:rStyle w:val="Emphasis"/>
          <w:rFonts w:ascii="Lato" w:hAnsi="Lato"/>
          <w:color w:val="333333"/>
        </w:rPr>
        <w:t>International Journal of Multiple Research Approaches</w:t>
      </w:r>
      <w:r>
        <w:rPr>
          <w:rFonts w:ascii="Lato" w:hAnsi="Lato"/>
          <w:color w:val="333333"/>
        </w:rPr>
        <w:t>,</w:t>
      </w:r>
      <w:r>
        <w:rPr>
          <w:rStyle w:val="apple-converted-space"/>
          <w:rFonts w:ascii="Lato" w:hAnsi="Lato"/>
          <w:color w:val="333333"/>
        </w:rPr>
        <w:t> </w:t>
      </w:r>
      <w:r>
        <w:rPr>
          <w:rStyle w:val="Emphasis"/>
          <w:rFonts w:ascii="Lato" w:hAnsi="Lato"/>
          <w:color w:val="333333"/>
        </w:rPr>
        <w:t>1</w:t>
      </w:r>
      <w:r>
        <w:rPr>
          <w:rFonts w:ascii="Lato" w:hAnsi="Lato"/>
          <w:color w:val="333333"/>
        </w:rPr>
        <w:t>(2), 114–125. </w:t>
      </w:r>
    </w:p>
    <w:p w14:paraId="61552001" w14:textId="77777777" w:rsidR="00DE4BB2" w:rsidRDefault="00DE4BB2">
      <w:pPr>
        <w:pStyle w:val="NormalWeb"/>
        <w:shd w:val="clear" w:color="auto" w:fill="FFFFFF"/>
        <w:ind w:left="720"/>
        <w:rPr>
          <w:rFonts w:ascii="Lato" w:hAnsi="Lato"/>
          <w:color w:val="333333"/>
        </w:rPr>
      </w:pPr>
      <w:r>
        <w:rPr>
          <w:rFonts w:ascii="Lato" w:hAnsi="Lato"/>
          <w:color w:val="333333"/>
        </w:rPr>
        <w:t>Retrieved from the Walden Library databases.</w:t>
      </w:r>
    </w:p>
    <w:p w14:paraId="19B9AD2B" w14:textId="77777777" w:rsidR="00DE4BB2" w:rsidRDefault="00DE4BB2" w:rsidP="00DE4BB2">
      <w:pPr>
        <w:pStyle w:val="NormalWeb"/>
        <w:numPr>
          <w:ilvl w:val="0"/>
          <w:numId w:val="7"/>
        </w:numPr>
        <w:shd w:val="clear" w:color="auto" w:fill="FFFFFF"/>
        <w:rPr>
          <w:rFonts w:ascii="Lato" w:hAnsi="Lato"/>
          <w:color w:val="333333"/>
        </w:rPr>
      </w:pPr>
      <w:proofErr w:type="spellStart"/>
      <w:r>
        <w:rPr>
          <w:rFonts w:ascii="Lato" w:hAnsi="Lato"/>
          <w:color w:val="333333"/>
        </w:rPr>
        <w:t>Umbach</w:t>
      </w:r>
      <w:proofErr w:type="spellEnd"/>
      <w:r>
        <w:rPr>
          <w:rFonts w:ascii="Lato" w:hAnsi="Lato"/>
          <w:color w:val="333333"/>
        </w:rPr>
        <w:t>, P. D. (2005). Getting back to the basics of survey research.</w:t>
      </w:r>
      <w:r>
        <w:rPr>
          <w:rStyle w:val="apple-converted-space"/>
          <w:rFonts w:ascii="Lato" w:hAnsi="Lato"/>
          <w:color w:val="333333"/>
        </w:rPr>
        <w:t> </w:t>
      </w:r>
      <w:r>
        <w:rPr>
          <w:rStyle w:val="Emphasis"/>
          <w:rFonts w:ascii="Lato" w:hAnsi="Lato"/>
          <w:color w:val="333333"/>
        </w:rPr>
        <w:t>New Directions for Institutional Research</w:t>
      </w:r>
      <w:r>
        <w:rPr>
          <w:rFonts w:ascii="Lato" w:hAnsi="Lato"/>
          <w:color w:val="333333"/>
        </w:rPr>
        <w:t>,</w:t>
      </w:r>
      <w:r>
        <w:rPr>
          <w:rStyle w:val="apple-converted-space"/>
          <w:rFonts w:ascii="Lato" w:hAnsi="Lato"/>
          <w:color w:val="333333"/>
        </w:rPr>
        <w:t> </w:t>
      </w:r>
      <w:r>
        <w:rPr>
          <w:rStyle w:val="Emphasis"/>
          <w:rFonts w:ascii="Lato" w:hAnsi="Lato"/>
          <w:color w:val="333333"/>
        </w:rPr>
        <w:t>2005</w:t>
      </w:r>
      <w:r>
        <w:rPr>
          <w:rFonts w:ascii="Lato" w:hAnsi="Lato"/>
          <w:color w:val="333333"/>
        </w:rPr>
        <w:t>(127), 91–100.</w:t>
      </w:r>
    </w:p>
    <w:p w14:paraId="03350631" w14:textId="77777777" w:rsidR="00DE4BB2" w:rsidRDefault="00DE4BB2">
      <w:pPr>
        <w:pStyle w:val="NormalWeb"/>
        <w:shd w:val="clear" w:color="auto" w:fill="FFFFFF"/>
        <w:ind w:left="720"/>
        <w:rPr>
          <w:rFonts w:ascii="Lato" w:hAnsi="Lato"/>
          <w:color w:val="333333"/>
        </w:rPr>
      </w:pPr>
      <w:r>
        <w:rPr>
          <w:rFonts w:ascii="Lato" w:hAnsi="Lato"/>
          <w:color w:val="333333"/>
        </w:rPr>
        <w:t>Retrieved from the Walden Library databases.</w:t>
      </w:r>
    </w:p>
    <w:p w14:paraId="3F2DDCE4" w14:textId="77777777" w:rsidR="00482FE4" w:rsidRDefault="00482FE4"/>
    <w:p w14:paraId="0DF35C4F" w14:textId="77777777" w:rsidR="00482FE4" w:rsidRDefault="00482FE4"/>
    <w:p w14:paraId="0CE5F613" w14:textId="77777777" w:rsidR="00365030" w:rsidRDefault="00365030"/>
    <w:p w14:paraId="2F9E5DF2" w14:textId="3BE15A82" w:rsidR="00365030" w:rsidRDefault="00365030">
      <w:r>
        <w:t>Part2</w:t>
      </w:r>
    </w:p>
    <w:p w14:paraId="766F15DF" w14:textId="05C0503B" w:rsidR="00365030" w:rsidRDefault="00A30624">
      <w:r>
        <w:t>Responding to discussion</w:t>
      </w:r>
    </w:p>
    <w:p w14:paraId="7B49F13D" w14:textId="77777777" w:rsidR="00365030" w:rsidRDefault="00365030">
      <w:pPr>
        <w:pStyle w:val="NormalWeb"/>
        <w:spacing w:before="180" w:beforeAutospacing="0" w:after="180" w:afterAutospacing="0"/>
        <w:rPr>
          <w:rFonts w:ascii="Lato" w:hAnsi="Lato"/>
          <w:color w:val="273540"/>
        </w:rPr>
      </w:pPr>
      <w:r>
        <w:rPr>
          <w:rFonts w:ascii="Lato" w:hAnsi="Lato"/>
          <w:color w:val="273540"/>
        </w:rPr>
        <w:t>One challenge during the survey development was finding the right balance between clear, participant-friendly language and questions that produced meaningful evaluation data, particularly given the diverse levels of digital literacy and prior exposure to artificial intelligence among participants. Because the RH Foundation serves young adults from diverse educational and technological backgrounds, attention was paid to avoiding technical jargon while still capturing meaningful data on confidence, competence, motivation, and intended application. As Andres (2012) emphasizes, questions should be designed from multiple lenses for the same construct, because a single word can distort the meaning of a question.  </w:t>
      </w:r>
    </w:p>
    <w:p w14:paraId="5EB8AD77" w14:textId="77777777" w:rsidR="00365030" w:rsidRDefault="00365030">
      <w:pPr>
        <w:pStyle w:val="NormalWeb"/>
        <w:spacing w:before="180" w:beforeAutospacing="0" w:after="180" w:afterAutospacing="0"/>
        <w:rPr>
          <w:rFonts w:ascii="Lato" w:hAnsi="Lato"/>
          <w:color w:val="273540"/>
        </w:rPr>
      </w:pPr>
      <w:r>
        <w:rPr>
          <w:rFonts w:ascii="Lato" w:hAnsi="Lato"/>
          <w:color w:val="273540"/>
        </w:rPr>
        <w:t xml:space="preserve">Another challenge was anticipating response bias, particularly social desirability bias. Participants who complete the survey immediately after a workshop led by trusted leaders may risk </w:t>
      </w:r>
      <w:proofErr w:type="spellStart"/>
      <w:r>
        <w:rPr>
          <w:rFonts w:ascii="Lato" w:hAnsi="Lato"/>
          <w:color w:val="273540"/>
        </w:rPr>
        <w:t>overreporting</w:t>
      </w:r>
      <w:proofErr w:type="spellEnd"/>
      <w:r>
        <w:rPr>
          <w:rFonts w:ascii="Lato" w:hAnsi="Lato"/>
          <w:color w:val="273540"/>
        </w:rPr>
        <w:t xml:space="preserve"> confidence or satisfaction. To mitigate this, the survey was designed to be anonymous and self-administered, which research suggests can improve the honesty of responses when measuring perceptions and self-efficacy (Andres, 2012).</w:t>
      </w:r>
    </w:p>
    <w:p w14:paraId="6DE39541" w14:textId="77777777" w:rsidR="00365030" w:rsidRDefault="00365030">
      <w:pPr>
        <w:pStyle w:val="NormalWeb"/>
        <w:spacing w:before="180" w:beforeAutospacing="0" w:after="180" w:afterAutospacing="0"/>
        <w:rPr>
          <w:rFonts w:ascii="Lato" w:hAnsi="Lato"/>
          <w:color w:val="273540"/>
        </w:rPr>
      </w:pPr>
      <w:r>
        <w:rPr>
          <w:rFonts w:ascii="Lato" w:hAnsi="Lato"/>
          <w:color w:val="273540"/>
        </w:rPr>
        <w:t>Several important insights emerged from this process. I gained a deeper appreciation for how participants’ prior experiences with assessment shaped their engagement with evaluation tools. During the interview planning, it became clear that some participants may associate surveys with high-stakes evaluation or judgment, which can affect how candidly they respond. This insight reinforced the value of framing evaluations as a tool for program improvement rather than performance measurement, consistent with principles of culturally responsive and utilization-focused evaluation (Yarbrough et al., 2011).</w:t>
      </w:r>
    </w:p>
    <w:p w14:paraId="4EE1D573" w14:textId="77777777" w:rsidR="00365030" w:rsidRDefault="00365030">
      <w:pPr>
        <w:pStyle w:val="NormalWeb"/>
        <w:spacing w:before="180" w:beforeAutospacing="0" w:after="180" w:afterAutospacing="0"/>
        <w:rPr>
          <w:rFonts w:ascii="Lato" w:hAnsi="Lato"/>
          <w:color w:val="273540"/>
        </w:rPr>
      </w:pPr>
      <w:r>
        <w:rPr>
          <w:rFonts w:ascii="Lato" w:hAnsi="Lato"/>
          <w:color w:val="273540"/>
        </w:rPr>
        <w:t>Aligning survey items with clear evaluation purposes and levels of analysis strengthened the overall design. Structuring questions to capture reactions, learning, and intended behavior helped ensure that the findings would be meaningfully interpreted and communicated to stakeholders and could potentially be used for future designs. As Loxton and Young (2007) note, well-aligned survey designs increase the usefulness of findings, produce longitudinal integrity, and contribute to ongoing quality for participants.</w:t>
      </w:r>
    </w:p>
    <w:p w14:paraId="48C679C3" w14:textId="77777777" w:rsidR="00365030" w:rsidRDefault="00365030">
      <w:pPr>
        <w:pStyle w:val="NormalWeb"/>
        <w:spacing w:before="180" w:beforeAutospacing="0" w:after="180" w:afterAutospacing="0"/>
        <w:rPr>
          <w:rFonts w:ascii="Lato" w:hAnsi="Lato"/>
          <w:color w:val="273540"/>
        </w:rPr>
      </w:pPr>
      <w:r>
        <w:rPr>
          <w:rFonts w:ascii="Lato" w:hAnsi="Lato"/>
          <w:color w:val="273540"/>
        </w:rPr>
        <w:t>If I were to revise the evaluation design, I would consider incorporating a brief pre-workshop survey to establish a true baseline rather than relying on retrospective self-reporting of prior confidence and readiness. While post-only designs are practical in community-based settings, a pre-post comparison would strengthen claims related to perceived growth and learning. It would also be beneficial to add a delayed follow-up survey to assess whether participants actually applied AI tools in academic, professional, or community contexts.</w:t>
      </w:r>
    </w:p>
    <w:p w14:paraId="013A17A5" w14:textId="77777777" w:rsidR="00365030" w:rsidRDefault="00365030">
      <w:pPr>
        <w:pStyle w:val="NormalWeb"/>
        <w:spacing w:before="180" w:beforeAutospacing="0" w:after="180" w:afterAutospacing="0"/>
        <w:rPr>
          <w:rFonts w:ascii="Lato" w:hAnsi="Lato"/>
          <w:color w:val="273540"/>
        </w:rPr>
      </w:pPr>
      <w:r>
        <w:rPr>
          <w:rFonts w:ascii="Lato" w:hAnsi="Lato"/>
          <w:color w:val="273540"/>
        </w:rPr>
        <w:t> </w:t>
      </w:r>
    </w:p>
    <w:p w14:paraId="2CA9B456" w14:textId="77777777" w:rsidR="00365030" w:rsidRDefault="00365030">
      <w:pPr>
        <w:pStyle w:val="NormalWeb"/>
        <w:spacing w:before="0" w:beforeAutospacing="0" w:after="0" w:afterAutospacing="0"/>
        <w:rPr>
          <w:rFonts w:ascii="Lato" w:hAnsi="Lato"/>
          <w:color w:val="273540"/>
        </w:rPr>
      </w:pPr>
      <w:r>
        <w:rPr>
          <w:rFonts w:ascii="Lato" w:hAnsi="Lato"/>
          <w:color w:val="273540"/>
        </w:rPr>
        <w:t>References:</w:t>
      </w:r>
      <w:r>
        <w:rPr>
          <w:rFonts w:ascii="Lato" w:hAnsi="Lato"/>
          <w:color w:val="273540"/>
        </w:rPr>
        <w:br/>
        <w:t>Lesley Andres. (2012). </w:t>
      </w:r>
      <w:r>
        <w:rPr>
          <w:rStyle w:val="Emphasis"/>
          <w:rFonts w:ascii="Lato" w:hAnsi="Lato"/>
          <w:color w:val="273540"/>
        </w:rPr>
        <w:t>Designing &amp; Doing Survey Research</w:t>
      </w:r>
      <w:r>
        <w:rPr>
          <w:rFonts w:ascii="Lato" w:hAnsi="Lato"/>
          <w:color w:val="273540"/>
        </w:rPr>
        <w:t>. SAGE Publications, Ltd.</w:t>
      </w:r>
      <w:r>
        <w:rPr>
          <w:rStyle w:val="apple-converted-space"/>
          <w:rFonts w:ascii="Lato" w:hAnsi="Lato"/>
          <w:color w:val="273540"/>
        </w:rPr>
        <w:t> </w:t>
      </w:r>
      <w:hyperlink r:id="rId12" w:tgtFrame="_blank" w:history="1">
        <w:r>
          <w:rPr>
            <w:rStyle w:val="Hyperlink"/>
            <w:rFonts w:ascii="Lato" w:hAnsi="Lato"/>
          </w:rPr>
          <w:t>https://doi.org/10.4135/9781526402202</w:t>
        </w:r>
        <w:r>
          <w:rPr>
            <w:rStyle w:val="screenreader-only"/>
            <w:rFonts w:ascii="Lato" w:hAnsi="Lato"/>
            <w:color w:val="0000FF"/>
            <w:u w:val="single"/>
            <w:bdr w:val="none" w:sz="0" w:space="0" w:color="auto" w:frame="1"/>
          </w:rPr>
          <w:t>Links to an external site.</w:t>
        </w:r>
      </w:hyperlink>
    </w:p>
    <w:p w14:paraId="05782535" w14:textId="77777777" w:rsidR="00365030" w:rsidRDefault="00365030">
      <w:pPr>
        <w:pStyle w:val="NormalWeb"/>
        <w:spacing w:before="180" w:beforeAutospacing="0" w:after="180" w:afterAutospacing="0"/>
        <w:rPr>
          <w:rFonts w:ascii="Lato" w:hAnsi="Lato"/>
          <w:color w:val="273540"/>
        </w:rPr>
      </w:pPr>
      <w:r>
        <w:rPr>
          <w:rFonts w:ascii="Lato" w:hAnsi="Lato"/>
          <w:color w:val="273540"/>
        </w:rPr>
        <w:t xml:space="preserve">Yarbrough, D. B., </w:t>
      </w:r>
      <w:proofErr w:type="spellStart"/>
      <w:r>
        <w:rPr>
          <w:rFonts w:ascii="Lato" w:hAnsi="Lato"/>
          <w:color w:val="273540"/>
        </w:rPr>
        <w:t>Shulha</w:t>
      </w:r>
      <w:proofErr w:type="spellEnd"/>
      <w:r>
        <w:rPr>
          <w:rFonts w:ascii="Lato" w:hAnsi="Lato"/>
          <w:color w:val="273540"/>
        </w:rPr>
        <w:t xml:space="preserve">, L. M., </w:t>
      </w:r>
      <w:proofErr w:type="spellStart"/>
      <w:r>
        <w:rPr>
          <w:rFonts w:ascii="Lato" w:hAnsi="Lato"/>
          <w:color w:val="273540"/>
        </w:rPr>
        <w:t>Hopson</w:t>
      </w:r>
      <w:proofErr w:type="spellEnd"/>
      <w:r>
        <w:rPr>
          <w:rFonts w:ascii="Lato" w:hAnsi="Lato"/>
          <w:color w:val="273540"/>
        </w:rPr>
        <w:t>, R. K., &amp; Caruthers, F. A. (2011). </w:t>
      </w:r>
      <w:r>
        <w:rPr>
          <w:rStyle w:val="Emphasis"/>
          <w:rFonts w:ascii="Lato" w:hAnsi="Lato"/>
          <w:color w:val="273540"/>
        </w:rPr>
        <w:t>The program evaluation standards</w:t>
      </w:r>
      <w:r>
        <w:rPr>
          <w:rFonts w:ascii="Lato" w:hAnsi="Lato"/>
          <w:color w:val="273540"/>
        </w:rPr>
        <w:t> (3rd ed.). Thousand Oaks, CA: Sage.</w:t>
      </w:r>
    </w:p>
    <w:p w14:paraId="05E915A2" w14:textId="77777777" w:rsidR="00365030" w:rsidRDefault="00365030"/>
    <w:p w14:paraId="58948FAC" w14:textId="77777777" w:rsidR="00A25A6E" w:rsidRDefault="00A25A6E"/>
    <w:p w14:paraId="40321715" w14:textId="77777777" w:rsidR="00A25A6E" w:rsidRDefault="00A25A6E">
      <w:pPr>
        <w:pStyle w:val="NormalWeb"/>
        <w:spacing w:before="0" w:beforeAutospacing="0" w:after="180" w:afterAutospacing="0"/>
        <w:rPr>
          <w:rFonts w:ascii="Lato" w:hAnsi="Lato"/>
          <w:color w:val="273540"/>
        </w:rPr>
      </w:pPr>
      <w:r>
        <w:rPr>
          <w:rFonts w:ascii="Lato" w:hAnsi="Lato"/>
          <w:color w:val="273540"/>
        </w:rPr>
        <w:t>One significant challenge I encountered during the Classroom Communication interview process was determining the most effective timing for distributing the electronic survey. January presents complexities in elementary schools due to the transition following Winter Break, which includes numerous school events, the possibility of adverse weather, and adjustments to daily routines. For parents and guardians of second-grade students, the stakeholders, these circumstances necessitate active engagement in school activities through their children and result in frequent notifications about each event via email, text message, or phone, depending on the situation. </w:t>
      </w:r>
    </w:p>
    <w:p w14:paraId="5CAC475C" w14:textId="77777777" w:rsidR="00A25A6E" w:rsidRDefault="00A25A6E">
      <w:pPr>
        <w:pStyle w:val="NormalWeb"/>
        <w:spacing w:before="180" w:beforeAutospacing="0" w:after="180" w:afterAutospacing="0"/>
        <w:rPr>
          <w:rFonts w:ascii="Lato" w:hAnsi="Lato"/>
          <w:color w:val="273540"/>
        </w:rPr>
      </w:pPr>
      <w:r>
        <w:rPr>
          <w:rFonts w:ascii="Lato" w:hAnsi="Lato"/>
          <w:color w:val="273540"/>
        </w:rPr>
        <w:t>Given these competing priorities, the concerned that stakeholders might not prioritize my request. The elementary school calendar often overlaps multiple events, making it challenging to identify a single optimal time for survey distribution.  Repeating the survey next school year, the plan for improvement is to announce it during back-to-school night at the start of the academic year. Recognizing that January is historically a busy period in elementary schools, I would continue to assess stakeholders at the midpoint of the school year, as this timing remains suitable for reevaluation and necessary adjustments. Additionally, the plan is to provide stakeholders with at least one week's notice to help them anticipate and prioritize the survey. </w:t>
      </w:r>
    </w:p>
    <w:p w14:paraId="583A803E" w14:textId="77777777" w:rsidR="00A25A6E" w:rsidRDefault="00A25A6E">
      <w:pPr>
        <w:pStyle w:val="NormalWeb"/>
        <w:spacing w:before="180" w:beforeAutospacing="0" w:after="180" w:afterAutospacing="0"/>
        <w:rPr>
          <w:rFonts w:ascii="Lato" w:hAnsi="Lato"/>
          <w:color w:val="273540"/>
        </w:rPr>
      </w:pPr>
      <w:r>
        <w:rPr>
          <w:rFonts w:ascii="Lato" w:hAnsi="Lato"/>
          <w:color w:val="273540"/>
        </w:rPr>
        <w:t>The survey will be repeated in the following school year to build on the valuable responses received regarding the stakeholders’ preferred methods for receiving important classroom and school-wide information.  </w:t>
      </w:r>
    </w:p>
    <w:p w14:paraId="5756B2F9" w14:textId="77777777" w:rsidR="00A25A6E" w:rsidRDefault="00A25A6E">
      <w:pPr>
        <w:pStyle w:val="NormalWeb"/>
        <w:spacing w:before="180" w:beforeAutospacing="0" w:after="180" w:afterAutospacing="0"/>
        <w:rPr>
          <w:rFonts w:ascii="Lato" w:hAnsi="Lato"/>
          <w:color w:val="273540"/>
        </w:rPr>
      </w:pPr>
      <w:r>
        <w:rPr>
          <w:rFonts w:ascii="Lato" w:hAnsi="Lato"/>
          <w:color w:val="273540"/>
        </w:rPr>
        <w:t xml:space="preserve">The School Communications survey met the intended goal of evaluating the effectiveness of classroom communication strategies introduced at the beginning of the school year. The strategies implemented were proven to foster meaningful engagement with students’ parents and guardians, underscore the importance of providing all students with the 'opportunity to learn' (Wyatt-Smith &amp; </w:t>
      </w:r>
      <w:proofErr w:type="spellStart"/>
      <w:r>
        <w:rPr>
          <w:rFonts w:ascii="Lato" w:hAnsi="Lato"/>
          <w:color w:val="273540"/>
        </w:rPr>
        <w:t>Cumming</w:t>
      </w:r>
      <w:proofErr w:type="spellEnd"/>
      <w:r>
        <w:rPr>
          <w:rFonts w:ascii="Lato" w:hAnsi="Lato"/>
          <w:color w:val="273540"/>
        </w:rPr>
        <w:t>, 2009), and support the development of essential grade-level executive functioning skills. </w:t>
      </w:r>
    </w:p>
    <w:p w14:paraId="341CDC3D" w14:textId="77777777" w:rsidR="00A25A6E" w:rsidRDefault="00A25A6E">
      <w:pPr>
        <w:pStyle w:val="NormalWeb"/>
        <w:spacing w:before="180" w:beforeAutospacing="0" w:after="180" w:afterAutospacing="0"/>
        <w:rPr>
          <w:rFonts w:ascii="Lato" w:hAnsi="Lato"/>
          <w:color w:val="273540"/>
        </w:rPr>
      </w:pPr>
      <w:r>
        <w:rPr>
          <w:rFonts w:ascii="Lato" w:hAnsi="Lato"/>
          <w:color w:val="273540"/>
        </w:rPr>
        <w:t> </w:t>
      </w:r>
    </w:p>
    <w:p w14:paraId="5239EB92" w14:textId="77777777" w:rsidR="00A25A6E" w:rsidRDefault="00A25A6E">
      <w:pPr>
        <w:pStyle w:val="NormalWeb"/>
        <w:spacing w:before="180" w:beforeAutospacing="0" w:after="180" w:afterAutospacing="0"/>
        <w:rPr>
          <w:rFonts w:ascii="Lato" w:hAnsi="Lato"/>
          <w:color w:val="273540"/>
        </w:rPr>
      </w:pPr>
      <w:r>
        <w:rPr>
          <w:rFonts w:ascii="Lato" w:hAnsi="Lato"/>
          <w:color w:val="273540"/>
        </w:rPr>
        <w:t>References:  </w:t>
      </w:r>
    </w:p>
    <w:p w14:paraId="130F30F6" w14:textId="77777777" w:rsidR="00A25A6E" w:rsidRDefault="00A25A6E">
      <w:pPr>
        <w:pStyle w:val="NormalWeb"/>
        <w:spacing w:before="180" w:beforeAutospacing="0" w:after="180" w:afterAutospacing="0"/>
        <w:rPr>
          <w:rFonts w:ascii="Lato" w:hAnsi="Lato"/>
          <w:color w:val="273540"/>
        </w:rPr>
      </w:pPr>
      <w:r>
        <w:rPr>
          <w:rFonts w:ascii="Lato" w:hAnsi="Lato"/>
          <w:color w:val="273540"/>
        </w:rPr>
        <w:t xml:space="preserve">Wyatt-Smith, C., &amp; </w:t>
      </w:r>
      <w:proofErr w:type="spellStart"/>
      <w:r>
        <w:rPr>
          <w:rFonts w:ascii="Lato" w:hAnsi="Lato"/>
          <w:color w:val="273540"/>
        </w:rPr>
        <w:t>Cumming</w:t>
      </w:r>
      <w:proofErr w:type="spellEnd"/>
      <w:r>
        <w:rPr>
          <w:rFonts w:ascii="Lato" w:hAnsi="Lato"/>
          <w:color w:val="273540"/>
        </w:rPr>
        <w:t>, J. (2009). Educational assessment in the 21st century Download Educational assessment in the 21st century. London, England: Springer. </w:t>
      </w:r>
    </w:p>
    <w:p w14:paraId="229F4038" w14:textId="77777777" w:rsidR="00A25A6E" w:rsidRDefault="00A25A6E"/>
    <w:sectPr w:rsidR="00A2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2B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08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3A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035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85A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A63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C04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B36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262240">
    <w:abstractNumId w:val="4"/>
  </w:num>
  <w:num w:numId="2" w16cid:durableId="517043386">
    <w:abstractNumId w:val="7"/>
  </w:num>
  <w:num w:numId="3" w16cid:durableId="435254491">
    <w:abstractNumId w:val="3"/>
  </w:num>
  <w:num w:numId="4" w16cid:durableId="2045128488">
    <w:abstractNumId w:val="5"/>
  </w:num>
  <w:num w:numId="5" w16cid:durableId="1380008357">
    <w:abstractNumId w:val="6"/>
  </w:num>
  <w:num w:numId="6" w16cid:durableId="532154005">
    <w:abstractNumId w:val="0"/>
  </w:num>
  <w:num w:numId="7" w16cid:durableId="2071610892">
    <w:abstractNumId w:val="1"/>
  </w:num>
  <w:num w:numId="8" w16cid:durableId="6229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30"/>
    <w:rsid w:val="00265F5C"/>
    <w:rsid w:val="00365030"/>
    <w:rsid w:val="003971BC"/>
    <w:rsid w:val="00482FE4"/>
    <w:rsid w:val="006B198A"/>
    <w:rsid w:val="00A25A6E"/>
    <w:rsid w:val="00A30624"/>
    <w:rsid w:val="00DE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338CF"/>
  <w15:chartTrackingRefBased/>
  <w15:docId w15:val="{2BF6E82D-290B-6740-A0BD-04FB8096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30"/>
    <w:rPr>
      <w:rFonts w:eastAsiaTheme="majorEastAsia" w:cstheme="majorBidi"/>
      <w:color w:val="272727" w:themeColor="text1" w:themeTint="D8"/>
    </w:rPr>
  </w:style>
  <w:style w:type="paragraph" w:styleId="Title">
    <w:name w:val="Title"/>
    <w:basedOn w:val="Normal"/>
    <w:next w:val="Normal"/>
    <w:link w:val="TitleChar"/>
    <w:uiPriority w:val="10"/>
    <w:qFormat/>
    <w:rsid w:val="00365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30"/>
    <w:pPr>
      <w:spacing w:before="160"/>
      <w:jc w:val="center"/>
    </w:pPr>
    <w:rPr>
      <w:i/>
      <w:iCs/>
      <w:color w:val="404040" w:themeColor="text1" w:themeTint="BF"/>
    </w:rPr>
  </w:style>
  <w:style w:type="character" w:customStyle="1" w:styleId="QuoteChar">
    <w:name w:val="Quote Char"/>
    <w:basedOn w:val="DefaultParagraphFont"/>
    <w:link w:val="Quote"/>
    <w:uiPriority w:val="29"/>
    <w:rsid w:val="00365030"/>
    <w:rPr>
      <w:i/>
      <w:iCs/>
      <w:color w:val="404040" w:themeColor="text1" w:themeTint="BF"/>
    </w:rPr>
  </w:style>
  <w:style w:type="paragraph" w:styleId="ListParagraph">
    <w:name w:val="List Paragraph"/>
    <w:basedOn w:val="Normal"/>
    <w:uiPriority w:val="34"/>
    <w:qFormat/>
    <w:rsid w:val="00365030"/>
    <w:pPr>
      <w:ind w:left="720"/>
      <w:contextualSpacing/>
    </w:pPr>
  </w:style>
  <w:style w:type="character" w:styleId="IntenseEmphasis">
    <w:name w:val="Intense Emphasis"/>
    <w:basedOn w:val="DefaultParagraphFont"/>
    <w:uiPriority w:val="21"/>
    <w:qFormat/>
    <w:rsid w:val="00365030"/>
    <w:rPr>
      <w:i/>
      <w:iCs/>
      <w:color w:val="2F5496" w:themeColor="accent1" w:themeShade="BF"/>
    </w:rPr>
  </w:style>
  <w:style w:type="paragraph" w:styleId="IntenseQuote">
    <w:name w:val="Intense Quote"/>
    <w:basedOn w:val="Normal"/>
    <w:next w:val="Normal"/>
    <w:link w:val="IntenseQuoteChar"/>
    <w:uiPriority w:val="30"/>
    <w:qFormat/>
    <w:rsid w:val="00365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30"/>
    <w:rPr>
      <w:i/>
      <w:iCs/>
      <w:color w:val="2F5496" w:themeColor="accent1" w:themeShade="BF"/>
    </w:rPr>
  </w:style>
  <w:style w:type="character" w:styleId="IntenseReference">
    <w:name w:val="Intense Reference"/>
    <w:basedOn w:val="DefaultParagraphFont"/>
    <w:uiPriority w:val="32"/>
    <w:qFormat/>
    <w:rsid w:val="00365030"/>
    <w:rPr>
      <w:b/>
      <w:bCs/>
      <w:smallCaps/>
      <w:color w:val="2F5496" w:themeColor="accent1" w:themeShade="BF"/>
      <w:spacing w:val="5"/>
    </w:rPr>
  </w:style>
  <w:style w:type="paragraph" w:styleId="NormalWeb">
    <w:name w:val="Normal (Web)"/>
    <w:basedOn w:val="Normal"/>
    <w:uiPriority w:val="99"/>
    <w:semiHidden/>
    <w:unhideWhenUsed/>
    <w:rsid w:val="00365030"/>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365030"/>
    <w:rPr>
      <w:i/>
      <w:iCs/>
    </w:rPr>
  </w:style>
  <w:style w:type="character" w:customStyle="1" w:styleId="apple-converted-space">
    <w:name w:val="apple-converted-space"/>
    <w:basedOn w:val="DefaultParagraphFont"/>
    <w:rsid w:val="00365030"/>
  </w:style>
  <w:style w:type="character" w:styleId="Hyperlink">
    <w:name w:val="Hyperlink"/>
    <w:basedOn w:val="DefaultParagraphFont"/>
    <w:uiPriority w:val="99"/>
    <w:semiHidden/>
    <w:unhideWhenUsed/>
    <w:rsid w:val="00365030"/>
    <w:rPr>
      <w:color w:val="0000FF"/>
      <w:u w:val="single"/>
    </w:rPr>
  </w:style>
  <w:style w:type="character" w:customStyle="1" w:styleId="screenreader-only">
    <w:name w:val="screenreader-only"/>
    <w:basedOn w:val="DefaultParagraphFont"/>
    <w:rsid w:val="00365030"/>
  </w:style>
  <w:style w:type="character" w:styleId="Strong">
    <w:name w:val="Strong"/>
    <w:basedOn w:val="DefaultParagraphFont"/>
    <w:uiPriority w:val="22"/>
    <w:qFormat/>
    <w:rsid w:val="00482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penathens.net/redirector/waldenu.edu?url=https://doi.org/10.1177/14752409093567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penathens.net/redirector/waldenu.edu?url=https://doi.org/10.1177/0044118X10383647" TargetMode="External"/><Relationship Id="rId12" Type="http://schemas.openxmlformats.org/officeDocument/2006/relationships/hyperlink" Target="https://doi.org/10.4135/9781526402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penathens.net/redirector/waldenu.edu?url=https://doi.org/10.1177/1746197910397915" TargetMode="External"/><Relationship Id="rId11" Type="http://schemas.openxmlformats.org/officeDocument/2006/relationships/hyperlink" Target="https://cdn-media.waldenu.edu/2dett4d/Walden/EDPD/8021/06/mm/audio_interface/index.html" TargetMode="External"/><Relationship Id="rId5" Type="http://schemas.openxmlformats.org/officeDocument/2006/relationships/hyperlink" Target="https://go.openathens.net/redirector/waldenu.edu?url=https://doi.org/10.1177/0021909610389133" TargetMode="External"/><Relationship Id="rId10" Type="http://schemas.openxmlformats.org/officeDocument/2006/relationships/hyperlink" Target="http://gethelp.library.upenn.edu/workshops/biomed/ppt/sound.html" TargetMode="External"/><Relationship Id="rId4" Type="http://schemas.openxmlformats.org/officeDocument/2006/relationships/webSettings" Target="webSettings.xml"/><Relationship Id="rId9" Type="http://schemas.openxmlformats.org/officeDocument/2006/relationships/hyperlink" Target="https://support.office.com/en-us/power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2026-02-04T21:24:00Z</dcterms:created>
  <dcterms:modified xsi:type="dcterms:W3CDTF">2026-02-04T21:24:00Z</dcterms:modified>
</cp:coreProperties>
</file>