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D7F479" w:rsidRDefault="67D7F479" w14:paraId="23989667" w14:textId="21F56B05"/>
    <w:p w:rsidR="7C033E64" w:rsidP="67D7F479" w:rsidRDefault="7C033E64" w14:paraId="52D00429" w14:textId="2323629B">
      <w:pPr>
        <w:pStyle w:val="Heading1"/>
        <w:shd w:val="clear" w:color="auto" w:fill="FFFFFF" w:themeFill="background1"/>
        <w:spacing w:before="0" w:beforeAutospacing="off" w:after="0" w:afterAutospacing="off"/>
        <w:jc w:val="left"/>
      </w:pPr>
      <w:r w:rsidRPr="67D7F479" w:rsidR="7C033E6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Research Topic </w:t>
      </w:r>
    </w:p>
    <w:p w:rsidR="72E2619B" w:rsidP="67D7F479" w:rsidRDefault="72E2619B" w14:paraId="5A079D0B" w14:textId="62C4E641">
      <w:pPr>
        <w:pStyle w:val="Normal"/>
        <w:spacing w:line="480" w:lineRule="auto"/>
        <w:ind w:firstLine="72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7D7F479" w:rsidR="72E2619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Role of Music and Art in African Christianity</w:t>
      </w:r>
    </w:p>
    <w:p w:rsidR="72E2619B" w:rsidP="67D7F479" w:rsidRDefault="72E2619B" w14:paraId="66E11471" w14:textId="30862EEE">
      <w:pPr>
        <w:pStyle w:val="Normal"/>
        <w:spacing w:line="480" w:lineRule="auto"/>
        <w:ind w:firstLine="72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7D7F479" w:rsidR="72E2619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Investigate how music, dance, and visual arts are used in African Christian worship and evangelism.</w:t>
      </w:r>
      <w:r>
        <w:br/>
      </w:r>
      <w:r w:rsidRPr="67D7F479" w:rsidR="72E2619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Explore the theological significance of African Christian art forms.</w:t>
      </w:r>
    </w:p>
    <w:p w:rsidR="018AF91C" w:rsidP="67D7F479" w:rsidRDefault="018AF91C" w14:paraId="6DE1EAB8" w14:textId="2A79F750">
      <w:pPr>
        <w:pStyle w:val="Heading1"/>
        <w:shd w:val="clear" w:color="auto" w:fill="FFFFFF" w:themeFill="background1"/>
        <w:spacing w:before="0" w:beforeAutospacing="off" w:after="0" w:afterAutospacing="off"/>
        <w:jc w:val="left"/>
      </w:pPr>
      <w:r w:rsidRPr="67D7F479" w:rsidR="018AF91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>Thesis statement for the research paper</w:t>
      </w:r>
    </w:p>
    <w:p w:rsidR="67D7F479" w:rsidP="67D7F479" w:rsidRDefault="67D7F479" w14:paraId="7014441E" w14:textId="76215575">
      <w:pPr>
        <w:pStyle w:val="Normal"/>
        <w:spacing w:line="480" w:lineRule="auto"/>
        <w:ind w:firstLine="720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0334683E" w:rsidP="67D7F479" w:rsidRDefault="0334683E" w14:paraId="414F544D" w14:textId="5DE4D5F1">
      <w:pPr>
        <w:pStyle w:val="Normal"/>
        <w:spacing w:line="480" w:lineRule="auto"/>
        <w:ind w:firstLine="720"/>
      </w:pPr>
      <w:r w:rsidRPr="67D7F479" w:rsidR="0334683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 African Christianity use music, dance, and visual arts </w:t>
      </w:r>
      <w:r w:rsidRPr="67D7F479" w:rsidR="0334683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asf</w:t>
      </w:r>
      <w:r w:rsidRPr="67D7F479" w:rsidR="0334683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unction of powerful theological and evangelistic tools that embody faith, communicate spiritual meaning, and strengthen communal identity</w:t>
      </w:r>
      <w:r w:rsidRPr="67D7F479" w:rsidR="0334683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</w:p>
    <w:p w:rsidR="67D7F479" w:rsidP="67D7F479" w:rsidRDefault="67D7F479" w14:paraId="2A80A1C3" w14:textId="2BC43DFA">
      <w:pPr>
        <w:pStyle w:val="Normal"/>
      </w:pPr>
    </w:p>
    <w:p w:rsidR="67D7F479" w:rsidP="67D7F479" w:rsidRDefault="67D7F479" w14:paraId="76859A5D" w14:textId="5AAABC42">
      <w:pPr>
        <w:pStyle w:val="Normal"/>
      </w:pPr>
    </w:p>
    <w:p w:rsidR="4229B2F6" w:rsidP="67D7F479" w:rsidRDefault="4229B2F6" w14:paraId="5FDB150D" w14:textId="183CBADD">
      <w:pPr>
        <w:pStyle w:val="Normal"/>
        <w:shd w:val="clear" w:color="auto" w:fill="FFFFFF" w:themeFill="background1"/>
        <w:spacing w:before="0" w:beforeAutospacing="off" w:after="0" w:afterAutospacing="off"/>
        <w:jc w:val="left"/>
      </w:pPr>
      <w:r>
        <w:br/>
      </w:r>
      <w:r w:rsidRPr="67D7F479" w:rsidR="7A4E119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D2125"/>
          <w:sz w:val="22"/>
          <w:szCs w:val="22"/>
          <w:lang w:val="en-US"/>
        </w:rPr>
        <w:t>Peer Reviewed Citations</w:t>
      </w:r>
    </w:p>
    <w:p w:rsidR="4229B2F6" w:rsidP="67D7F479" w:rsidRDefault="4229B2F6" w14:paraId="0620BB86" w14:textId="78815A05">
      <w:pPr>
        <w:pStyle w:val="Normal"/>
        <w:spacing w:line="480" w:lineRule="auto"/>
        <w:ind w:firstLine="720"/>
      </w:pPr>
      <w:r>
        <w:br/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Dong, 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>Yuetong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, Yan Zhang, and Qian Cheng. 2025. "At the Boundary of Sound and Faith: A Systematic Review of Religious Music Education in Multicultural Settings" Religions 16, no. 9: 1171. </w:t>
      </w:r>
      <w:hyperlink r:id="R4457322d68cb4259">
        <w:r w:rsidRPr="67D7F479" w:rsidR="4229B2F6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32A7B"/>
            <w:sz w:val="24"/>
            <w:szCs w:val="24"/>
            <w:u w:val="none"/>
            <w:lang w:val="en-US"/>
          </w:rPr>
          <w:t>https://doi.org/10.3390/rel16091171</w:t>
        </w:r>
      </w:hyperlink>
      <w:r>
        <w:br/>
      </w:r>
      <w:r>
        <w:br/>
      </w:r>
      <w:r>
        <w:br/>
      </w:r>
      <w:r>
        <w:br/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Yende, 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>Sakhiseni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 Joseph. 2025. “Sacred Weaponry: The Historical and Theological Role of Gospel Music in Spiritual Warfare and Liberation in Christianity—A Perspective of Acts 16:25–26”. Studia Historiae 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>Ecclesiasticae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 51 (1):22 pages. </w:t>
      </w:r>
      <w:hyperlink r:id="R640d9d7b468e4633">
        <w:r w:rsidRPr="67D7F479" w:rsidR="4229B2F6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32A7B"/>
            <w:sz w:val="24"/>
            <w:szCs w:val="24"/>
            <w:u w:val="none"/>
            <w:lang w:val="en-US"/>
          </w:rPr>
          <w:t>https://doi.org/10.25159/2412-4265/17959</w:t>
        </w:r>
      </w:hyperlink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>.</w:t>
      </w:r>
      <w:r>
        <w:br/>
      </w:r>
      <w:r>
        <w:br/>
      </w:r>
      <w:r>
        <w:br/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Haidar, A., 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>Nwosisi</w:t>
      </w:r>
      <w:r w:rsidRPr="67D7F479" w:rsidR="4229B2F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D2125"/>
          <w:sz w:val="24"/>
          <w:szCs w:val="24"/>
          <w:lang w:val="en-US"/>
        </w:rPr>
        <w:t xml:space="preserve">, E. &amp; Burnett-Zeigler, I. The Role of Religion and Spirituality in Adapting Mindfulness-Based Interventions for Black American Communities: A Scoping Review. Mindfulness 14, 1852–1867 (2023). </w:t>
      </w:r>
      <w:hyperlink r:id="R47d473c28e0e42d0">
        <w:r w:rsidRPr="67D7F479" w:rsidR="4229B2F6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32A7B"/>
            <w:sz w:val="24"/>
            <w:szCs w:val="24"/>
            <w:u w:val="none"/>
            <w:lang w:val="en-US"/>
          </w:rPr>
          <w:t>https://doi.org/10.1007/s12671-023-02194-5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7AC821"/>
    <w:rsid w:val="016EB85D"/>
    <w:rsid w:val="018AF91C"/>
    <w:rsid w:val="02D31C09"/>
    <w:rsid w:val="0334683E"/>
    <w:rsid w:val="0503B3B0"/>
    <w:rsid w:val="37081F6A"/>
    <w:rsid w:val="370AF4ED"/>
    <w:rsid w:val="37C444E7"/>
    <w:rsid w:val="40A130A1"/>
    <w:rsid w:val="41376389"/>
    <w:rsid w:val="4229B2F6"/>
    <w:rsid w:val="4F20D625"/>
    <w:rsid w:val="51F81B7F"/>
    <w:rsid w:val="677AC821"/>
    <w:rsid w:val="67D7F479"/>
    <w:rsid w:val="6943BD19"/>
    <w:rsid w:val="6AAC2ED5"/>
    <w:rsid w:val="6BD96F5C"/>
    <w:rsid w:val="6E499226"/>
    <w:rsid w:val="72E2619B"/>
    <w:rsid w:val="73B8FD14"/>
    <w:rsid w:val="7A4E119B"/>
    <w:rsid w:val="7ABECF41"/>
    <w:rsid w:val="7C033E64"/>
    <w:rsid w:val="7F7BA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C821"/>
  <w15:chartTrackingRefBased/>
  <w15:docId w15:val="{25828B60-580D-497E-976C-AD003C62DE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7D7F479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67D7F47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i.org/10.3390/rel16091171" TargetMode="External" Id="R4457322d68cb4259" /><Relationship Type="http://schemas.openxmlformats.org/officeDocument/2006/relationships/hyperlink" Target="https://doi.org/10.25159/2412-4265/17959" TargetMode="External" Id="R640d9d7b468e4633" /><Relationship Type="http://schemas.openxmlformats.org/officeDocument/2006/relationships/hyperlink" Target="https://doi.org/10.1007/s12671-023-02194-5" TargetMode="External" Id="R47d473c28e0e42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2026-02-15T05:27:32.8974631Z</dcterms:created>
  <dcterms:modified xsi:type="dcterms:W3CDTF">2026-02-19T03:08:56.8221235Z</dcterms:modified>
  <dc:creator>Deatra Bea</dc:creator>
  <lastModifiedBy>Deatra Bea</lastModifiedBy>
</coreProperties>
</file>