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47027" w14:textId="2C428B73" w:rsidR="002C5DA5" w:rsidRPr="00C05E8A" w:rsidRDefault="00996E99" w:rsidP="00996E99">
      <w:pPr>
        <w:spacing w:after="0" w:line="240" w:lineRule="auto"/>
        <w:jc w:val="center"/>
        <w:rPr>
          <w:rFonts w:ascii="Times New Roman" w:eastAsia="Times New Roman" w:hAnsi="Times New Roman"/>
          <w:b/>
          <w:smallCaps/>
          <w:sz w:val="28"/>
          <w:szCs w:val="28"/>
        </w:rPr>
      </w:pPr>
      <w:r w:rsidRPr="00C05E8A">
        <w:rPr>
          <w:rFonts w:ascii="Times New Roman" w:eastAsia="Times New Roman" w:hAnsi="Times New Roman"/>
          <w:b/>
          <w:smallCaps/>
          <w:sz w:val="28"/>
          <w:szCs w:val="28"/>
        </w:rPr>
        <w:t xml:space="preserve">Sampling, Measurement, and Data Collection Type Matrix </w:t>
      </w:r>
    </w:p>
    <w:p w14:paraId="64CF4CDE" w14:textId="77777777" w:rsidR="00F467B5" w:rsidRDefault="00F467B5" w:rsidP="00F467B5">
      <w:pPr>
        <w:spacing w:after="0" w:line="240" w:lineRule="auto"/>
        <w:rPr>
          <w:rFonts w:ascii="Times New Roman" w:eastAsia="Times New Roman" w:hAnsi="Times New Roman"/>
          <w:b/>
          <w:smallCaps/>
          <w:sz w:val="24"/>
          <w:szCs w:val="24"/>
        </w:rPr>
      </w:pPr>
    </w:p>
    <w:tbl>
      <w:tblPr>
        <w:tblStyle w:val="TableGrid"/>
        <w:tblW w:w="0" w:type="auto"/>
        <w:tblLook w:val="04A0" w:firstRow="1" w:lastRow="0" w:firstColumn="1" w:lastColumn="0" w:noHBand="0" w:noVBand="1"/>
      </w:tblPr>
      <w:tblGrid>
        <w:gridCol w:w="2425"/>
        <w:gridCol w:w="10525"/>
      </w:tblGrid>
      <w:tr w:rsidR="00F467B5" w14:paraId="14A7CDDD" w14:textId="77777777" w:rsidTr="00DF32C7">
        <w:trPr>
          <w:trHeight w:val="485"/>
        </w:trPr>
        <w:tc>
          <w:tcPr>
            <w:tcW w:w="2425" w:type="dxa"/>
          </w:tcPr>
          <w:p w14:paraId="4111FCAC" w14:textId="77777777" w:rsidR="00F467B5" w:rsidRPr="0083157B" w:rsidRDefault="00F467B5" w:rsidP="00DF32C7">
            <w:pPr>
              <w:rPr>
                <w:rFonts w:ascii="Times New Roman" w:hAnsi="Times New Roman"/>
                <w:b/>
                <w:bCs/>
                <w:sz w:val="24"/>
                <w:szCs w:val="24"/>
              </w:rPr>
            </w:pPr>
            <w:r w:rsidRPr="0083157B">
              <w:rPr>
                <w:rFonts w:ascii="Times New Roman" w:hAnsi="Times New Roman"/>
                <w:b/>
                <w:bCs/>
                <w:sz w:val="24"/>
                <w:szCs w:val="24"/>
              </w:rPr>
              <w:t>Article Type</w:t>
            </w:r>
          </w:p>
        </w:tc>
        <w:tc>
          <w:tcPr>
            <w:tcW w:w="10525" w:type="dxa"/>
          </w:tcPr>
          <w:p w14:paraId="6A172308" w14:textId="77777777" w:rsidR="00F467B5" w:rsidRPr="00190166" w:rsidRDefault="00F467B5" w:rsidP="00DF32C7">
            <w:pPr>
              <w:spacing w:after="0" w:line="240" w:lineRule="auto"/>
              <w:rPr>
                <w:rFonts w:ascii="Times New Roman" w:hAnsi="Times New Roman"/>
                <w:sz w:val="24"/>
                <w:szCs w:val="24"/>
              </w:rPr>
            </w:pPr>
            <w:r w:rsidRPr="00190166">
              <w:rPr>
                <w:rFonts w:ascii="Times New Roman" w:hAnsi="Times New Roman"/>
                <w:b/>
                <w:bCs/>
                <w:color w:val="000000"/>
                <w:sz w:val="24"/>
                <w:szCs w:val="24"/>
              </w:rPr>
              <w:t>QUANtitative Basic (QUAN-B)</w:t>
            </w:r>
          </w:p>
        </w:tc>
      </w:tr>
      <w:tr w:rsidR="00F467B5" w14:paraId="560C91B4" w14:textId="77777777" w:rsidTr="00DF32C7">
        <w:tc>
          <w:tcPr>
            <w:tcW w:w="2425" w:type="dxa"/>
          </w:tcPr>
          <w:p w14:paraId="0491569B" w14:textId="77777777" w:rsidR="00F467B5" w:rsidRPr="0083157B" w:rsidRDefault="00F467B5" w:rsidP="00DF32C7">
            <w:pPr>
              <w:rPr>
                <w:rFonts w:ascii="Times New Roman" w:hAnsi="Times New Roman"/>
                <w:b/>
                <w:bCs/>
                <w:sz w:val="24"/>
                <w:szCs w:val="24"/>
              </w:rPr>
            </w:pPr>
            <w:r w:rsidRPr="0083157B">
              <w:rPr>
                <w:rFonts w:ascii="Times New Roman" w:hAnsi="Times New Roman"/>
                <w:b/>
                <w:bCs/>
                <w:sz w:val="24"/>
                <w:szCs w:val="24"/>
              </w:rPr>
              <w:t>Article Reference</w:t>
            </w:r>
          </w:p>
        </w:tc>
        <w:tc>
          <w:tcPr>
            <w:tcW w:w="10525" w:type="dxa"/>
          </w:tcPr>
          <w:p w14:paraId="76D90E69" w14:textId="77777777" w:rsidR="00F467B5" w:rsidRDefault="00F467B5" w:rsidP="00F467B5">
            <w:pPr>
              <w:spacing w:after="0" w:line="480" w:lineRule="auto"/>
              <w:ind w:left="720" w:hanging="720"/>
            </w:pPr>
            <w:r>
              <w:rPr>
                <w:rFonts w:ascii="Times New Roman" w:hAnsi="Times New Roman"/>
                <w:sz w:val="24"/>
                <w:szCs w:val="24"/>
              </w:rPr>
              <w:t xml:space="preserve">Harefa, D., Sarumaha, M., Telaumbanua, K., Telaumbanua, T., Laia, B., &amp; Hulu, F. (2023). Relationship student learning interest to the learning outcomes of natural sciences. </w:t>
            </w:r>
            <w:r>
              <w:rPr>
                <w:rFonts w:ascii="Times New Roman" w:hAnsi="Times New Roman"/>
                <w:i/>
                <w:iCs/>
                <w:sz w:val="24"/>
                <w:szCs w:val="24"/>
              </w:rPr>
              <w:t>International Journal of Educational Research &amp; Social Sciences</w:t>
            </w:r>
            <w:r>
              <w:rPr>
                <w:rFonts w:ascii="Times New Roman" w:hAnsi="Times New Roman"/>
                <w:sz w:val="24"/>
                <w:szCs w:val="24"/>
              </w:rPr>
              <w:t xml:space="preserve">. </w:t>
            </w:r>
            <w:hyperlink r:id="rId7" w:history="1">
              <w:r w:rsidRPr="00D40AA3">
                <w:rPr>
                  <w:rStyle w:val="Hyperlink"/>
                  <w:rFonts w:ascii="Times New Roman" w:hAnsi="Times New Roman"/>
                  <w:sz w:val="24"/>
                  <w:szCs w:val="24"/>
                </w:rPr>
                <w:t>https://ijersc.org</w:t>
              </w:r>
            </w:hyperlink>
          </w:p>
          <w:p w14:paraId="56B41814" w14:textId="0F7AAF67" w:rsidR="00F467B5" w:rsidRDefault="00F467B5" w:rsidP="00F467B5">
            <w:pPr>
              <w:spacing w:after="0" w:line="240" w:lineRule="auto"/>
              <w:rPr>
                <w:rFonts w:ascii="Times New Roman" w:hAnsi="Times New Roman"/>
                <w:sz w:val="24"/>
                <w:szCs w:val="24"/>
              </w:rPr>
            </w:pPr>
            <w:r>
              <w:rPr>
                <w:rFonts w:ascii="Times New Roman" w:hAnsi="Times New Roman"/>
                <w:sz w:val="24"/>
                <w:szCs w:val="24"/>
              </w:rPr>
              <w:t xml:space="preserve">This article does not have a </w:t>
            </w:r>
            <w:r w:rsidR="00D22095">
              <w:rPr>
                <w:rFonts w:ascii="Times New Roman" w:hAnsi="Times New Roman"/>
                <w:sz w:val="24"/>
                <w:szCs w:val="24"/>
              </w:rPr>
              <w:t>DOI.</w:t>
            </w:r>
            <w:r>
              <w:rPr>
                <w:rFonts w:ascii="Times New Roman" w:hAnsi="Times New Roman"/>
                <w:sz w:val="24"/>
                <w:szCs w:val="24"/>
              </w:rPr>
              <w:t xml:space="preserve"> As such, I am including the pdf link as well:  </w:t>
            </w:r>
            <w:hyperlink r:id="rId8" w:history="1">
              <w:r w:rsidRPr="00335F83">
                <w:rPr>
                  <w:rStyle w:val="Hyperlink"/>
                  <w:rFonts w:ascii="Times New Roman" w:hAnsi="Times New Roman"/>
                  <w:sz w:val="24"/>
                  <w:szCs w:val="24"/>
                </w:rPr>
                <w:t>https://pdfs.semanticscholar.org/f5e7/1b80a5847e583811dc2e661c6c06e03ed0a5.pdf</w:t>
              </w:r>
            </w:hyperlink>
          </w:p>
        </w:tc>
      </w:tr>
      <w:tr w:rsidR="00F467B5" w14:paraId="4D6CAAC0" w14:textId="77777777" w:rsidTr="00DF32C7">
        <w:tc>
          <w:tcPr>
            <w:tcW w:w="2425" w:type="dxa"/>
          </w:tcPr>
          <w:p w14:paraId="3B3E8972" w14:textId="77777777" w:rsidR="00F467B5" w:rsidRPr="0083157B" w:rsidRDefault="00F467B5" w:rsidP="00DF32C7">
            <w:pPr>
              <w:rPr>
                <w:rFonts w:ascii="Times New Roman" w:hAnsi="Times New Roman"/>
                <w:b/>
                <w:bCs/>
                <w:sz w:val="24"/>
                <w:szCs w:val="24"/>
              </w:rPr>
            </w:pPr>
            <w:r>
              <w:rPr>
                <w:rFonts w:ascii="Times New Roman" w:hAnsi="Times New Roman"/>
                <w:b/>
                <w:bCs/>
                <w:sz w:val="24"/>
                <w:szCs w:val="24"/>
              </w:rPr>
              <w:t>Sampling Procedure</w:t>
            </w:r>
          </w:p>
        </w:tc>
        <w:tc>
          <w:tcPr>
            <w:tcW w:w="10525" w:type="dxa"/>
          </w:tcPr>
          <w:p w14:paraId="692BB932" w14:textId="7E969617" w:rsidR="00F467B5" w:rsidRDefault="00F467B5" w:rsidP="00DF32C7">
            <w:pPr>
              <w:spacing w:before="120" w:after="120"/>
              <w:rPr>
                <w:rFonts w:ascii="Times New Roman" w:hAnsi="Times New Roman"/>
                <w:sz w:val="24"/>
                <w:szCs w:val="24"/>
              </w:rPr>
            </w:pPr>
            <w:r>
              <w:rPr>
                <w:rFonts w:ascii="Times New Roman" w:hAnsi="Times New Roman"/>
                <w:sz w:val="24"/>
                <w:szCs w:val="24"/>
              </w:rPr>
              <w:t xml:space="preserve">The study used </w:t>
            </w:r>
            <w:r w:rsidR="00454B9A">
              <w:rPr>
                <w:rFonts w:ascii="Times New Roman" w:hAnsi="Times New Roman"/>
                <w:sz w:val="24"/>
                <w:szCs w:val="24"/>
              </w:rPr>
              <w:t xml:space="preserve">total </w:t>
            </w:r>
            <w:r>
              <w:rPr>
                <w:rFonts w:ascii="Times New Roman" w:hAnsi="Times New Roman"/>
                <w:sz w:val="24"/>
                <w:szCs w:val="24"/>
              </w:rPr>
              <w:t xml:space="preserve">convenience sampling </w:t>
            </w:r>
            <w:r w:rsidR="00454B9A">
              <w:rPr>
                <w:rFonts w:ascii="Times New Roman" w:hAnsi="Times New Roman"/>
                <w:sz w:val="24"/>
                <w:szCs w:val="24"/>
              </w:rPr>
              <w:t xml:space="preserve">technique </w:t>
            </w:r>
            <w:r>
              <w:rPr>
                <w:rFonts w:ascii="Times New Roman" w:hAnsi="Times New Roman"/>
                <w:sz w:val="24"/>
                <w:szCs w:val="24"/>
              </w:rPr>
              <w:t xml:space="preserve">based on the information provided in the first paragraph of page 242 ( Harefa et al., 2025). </w:t>
            </w:r>
          </w:p>
        </w:tc>
      </w:tr>
      <w:tr w:rsidR="00F467B5" w14:paraId="08A0251F" w14:textId="77777777" w:rsidTr="00DF32C7">
        <w:tc>
          <w:tcPr>
            <w:tcW w:w="2425" w:type="dxa"/>
          </w:tcPr>
          <w:p w14:paraId="5CDF5DB1" w14:textId="77777777" w:rsidR="00F467B5" w:rsidRDefault="00F467B5" w:rsidP="00DF32C7">
            <w:pPr>
              <w:rPr>
                <w:rFonts w:ascii="Times New Roman" w:hAnsi="Times New Roman"/>
                <w:b/>
                <w:bCs/>
                <w:sz w:val="24"/>
                <w:szCs w:val="24"/>
              </w:rPr>
            </w:pPr>
            <w:r>
              <w:rPr>
                <w:rFonts w:ascii="Times New Roman" w:hAnsi="Times New Roman"/>
                <w:b/>
                <w:bCs/>
                <w:sz w:val="24"/>
                <w:szCs w:val="24"/>
              </w:rPr>
              <w:t>Participants (who, how many, demographics)</w:t>
            </w:r>
          </w:p>
        </w:tc>
        <w:tc>
          <w:tcPr>
            <w:tcW w:w="10525" w:type="dxa"/>
          </w:tcPr>
          <w:p w14:paraId="001A3642" w14:textId="7B93DE7F" w:rsidR="00F467B5" w:rsidRDefault="00F467B5" w:rsidP="00DF32C7">
            <w:pPr>
              <w:spacing w:before="120" w:after="120"/>
              <w:rPr>
                <w:rFonts w:ascii="Times New Roman" w:hAnsi="Times New Roman"/>
                <w:sz w:val="24"/>
                <w:szCs w:val="24"/>
              </w:rPr>
            </w:pPr>
            <w:r>
              <w:rPr>
                <w:rFonts w:ascii="Times New Roman" w:hAnsi="Times New Roman"/>
                <w:sz w:val="24"/>
                <w:szCs w:val="24"/>
              </w:rPr>
              <w:t>The participants consisted of all 65 class VII students of SMP Negeri 4 Maniamolo during the academic year of 2022/2023 (Harefa et al., 2025</w:t>
            </w:r>
            <w:r w:rsidR="00D22095">
              <w:rPr>
                <w:rFonts w:ascii="Times New Roman" w:hAnsi="Times New Roman"/>
                <w:sz w:val="24"/>
                <w:szCs w:val="24"/>
              </w:rPr>
              <w:t>, p. 241</w:t>
            </w:r>
            <w:r>
              <w:rPr>
                <w:rFonts w:ascii="Times New Roman" w:hAnsi="Times New Roman"/>
                <w:sz w:val="24"/>
                <w:szCs w:val="24"/>
              </w:rPr>
              <w:t xml:space="preserve">). Information regarding demographics of the sample </w:t>
            </w:r>
            <w:r w:rsidR="00270318">
              <w:rPr>
                <w:rFonts w:ascii="Times New Roman" w:hAnsi="Times New Roman"/>
                <w:sz w:val="24"/>
                <w:szCs w:val="24"/>
              </w:rPr>
              <w:t>was</w:t>
            </w:r>
            <w:r>
              <w:rPr>
                <w:rFonts w:ascii="Times New Roman" w:hAnsi="Times New Roman"/>
                <w:sz w:val="24"/>
                <w:szCs w:val="24"/>
              </w:rPr>
              <w:t xml:space="preserve"> not reported. </w:t>
            </w:r>
          </w:p>
        </w:tc>
      </w:tr>
      <w:tr w:rsidR="00F467B5" w14:paraId="5CD825D9" w14:textId="77777777" w:rsidTr="00DF32C7">
        <w:tc>
          <w:tcPr>
            <w:tcW w:w="2425" w:type="dxa"/>
          </w:tcPr>
          <w:p w14:paraId="02BCD103" w14:textId="77777777" w:rsidR="00F467B5" w:rsidRDefault="00F467B5" w:rsidP="00DF32C7">
            <w:pPr>
              <w:rPr>
                <w:rFonts w:ascii="Times New Roman" w:hAnsi="Times New Roman"/>
                <w:b/>
                <w:bCs/>
                <w:sz w:val="24"/>
                <w:szCs w:val="24"/>
              </w:rPr>
            </w:pPr>
            <w:r>
              <w:rPr>
                <w:rFonts w:ascii="Times New Roman" w:hAnsi="Times New Roman"/>
                <w:b/>
                <w:bCs/>
                <w:sz w:val="24"/>
                <w:szCs w:val="24"/>
              </w:rPr>
              <w:t>Intervention Description (if applicable; if not, write NA)</w:t>
            </w:r>
          </w:p>
        </w:tc>
        <w:tc>
          <w:tcPr>
            <w:tcW w:w="10525" w:type="dxa"/>
          </w:tcPr>
          <w:p w14:paraId="20AB0B2B" w14:textId="090F3A0E" w:rsidR="00F467B5" w:rsidRDefault="00626553" w:rsidP="00DF32C7">
            <w:pPr>
              <w:spacing w:before="120" w:after="120"/>
              <w:rPr>
                <w:rFonts w:ascii="Times New Roman" w:hAnsi="Times New Roman"/>
                <w:sz w:val="24"/>
                <w:szCs w:val="24"/>
              </w:rPr>
            </w:pPr>
            <w:r>
              <w:rPr>
                <w:rFonts w:ascii="Times New Roman" w:hAnsi="Times New Roman"/>
                <w:sz w:val="24"/>
                <w:szCs w:val="24"/>
              </w:rPr>
              <w:t>NA</w:t>
            </w:r>
          </w:p>
        </w:tc>
      </w:tr>
      <w:tr w:rsidR="00F467B5" w14:paraId="788614A5" w14:textId="77777777" w:rsidTr="00DF32C7">
        <w:tc>
          <w:tcPr>
            <w:tcW w:w="2425" w:type="dxa"/>
          </w:tcPr>
          <w:p w14:paraId="6B30ECBE" w14:textId="77777777" w:rsidR="00F467B5" w:rsidRPr="0083157B" w:rsidRDefault="00F467B5" w:rsidP="00DF32C7">
            <w:pPr>
              <w:rPr>
                <w:rFonts w:ascii="Times New Roman" w:hAnsi="Times New Roman"/>
                <w:b/>
                <w:bCs/>
                <w:sz w:val="24"/>
                <w:szCs w:val="24"/>
              </w:rPr>
            </w:pPr>
            <w:r>
              <w:rPr>
                <w:rFonts w:ascii="Times New Roman" w:hAnsi="Times New Roman"/>
                <w:b/>
                <w:bCs/>
                <w:sz w:val="24"/>
                <w:szCs w:val="24"/>
              </w:rPr>
              <w:t>Measurements or Instruments Used</w:t>
            </w:r>
          </w:p>
        </w:tc>
        <w:tc>
          <w:tcPr>
            <w:tcW w:w="10525" w:type="dxa"/>
          </w:tcPr>
          <w:p w14:paraId="4EF718FA" w14:textId="33F43ECA" w:rsidR="00F467B5" w:rsidRDefault="00F467B5" w:rsidP="00DF32C7">
            <w:pPr>
              <w:spacing w:before="120" w:after="120"/>
              <w:rPr>
                <w:rFonts w:ascii="Times New Roman" w:hAnsi="Times New Roman"/>
                <w:sz w:val="24"/>
                <w:szCs w:val="24"/>
              </w:rPr>
            </w:pPr>
            <w:r>
              <w:rPr>
                <w:rFonts w:ascii="Times New Roman" w:hAnsi="Times New Roman"/>
                <w:sz w:val="24"/>
                <w:szCs w:val="24"/>
              </w:rPr>
              <w:t xml:space="preserve">There were two </w:t>
            </w:r>
            <w:r w:rsidR="00454B9A">
              <w:rPr>
                <w:rFonts w:ascii="Times New Roman" w:hAnsi="Times New Roman"/>
                <w:sz w:val="24"/>
                <w:szCs w:val="24"/>
              </w:rPr>
              <w:t>pieces of data collected for this study. Harefa et al. (2025) administered a survey that used a closed questionnaire technique (p. 242)</w:t>
            </w:r>
            <w:r w:rsidR="00270318">
              <w:rPr>
                <w:rFonts w:ascii="Times New Roman" w:hAnsi="Times New Roman"/>
                <w:sz w:val="24"/>
                <w:szCs w:val="24"/>
              </w:rPr>
              <w:t xml:space="preserve">. </w:t>
            </w:r>
            <w:r w:rsidR="00454B9A">
              <w:rPr>
                <w:rFonts w:ascii="Times New Roman" w:hAnsi="Times New Roman"/>
                <w:sz w:val="24"/>
                <w:szCs w:val="24"/>
              </w:rPr>
              <w:t>Specifics were not given as to the number of questions, but Harefa et al. state in the results section that the survey was finding out about how happy a student was feeling about learning, science in particular (p. 242). Although the specifics were not given on how the natural science learning outcomes were measured, the authors report that the science teachers provided the data</w:t>
            </w:r>
            <w:r w:rsidR="00D22095">
              <w:rPr>
                <w:rFonts w:ascii="Times New Roman" w:hAnsi="Times New Roman"/>
                <w:sz w:val="24"/>
                <w:szCs w:val="24"/>
              </w:rPr>
              <w:t xml:space="preserve"> in the form of odd semester final exam scores (p. 242)</w:t>
            </w:r>
            <w:r w:rsidR="00454B9A">
              <w:rPr>
                <w:rFonts w:ascii="Times New Roman" w:hAnsi="Times New Roman"/>
                <w:sz w:val="24"/>
                <w:szCs w:val="24"/>
              </w:rPr>
              <w:t xml:space="preserve"> </w:t>
            </w:r>
          </w:p>
        </w:tc>
      </w:tr>
      <w:tr w:rsidR="00F467B5" w14:paraId="06924F17" w14:textId="77777777" w:rsidTr="00DF32C7">
        <w:tc>
          <w:tcPr>
            <w:tcW w:w="2425" w:type="dxa"/>
          </w:tcPr>
          <w:p w14:paraId="4AD2F860" w14:textId="77777777" w:rsidR="00F467B5" w:rsidRPr="0083157B" w:rsidRDefault="00F467B5" w:rsidP="00DF32C7">
            <w:pPr>
              <w:rPr>
                <w:rFonts w:ascii="Times New Roman" w:hAnsi="Times New Roman"/>
                <w:b/>
                <w:bCs/>
                <w:sz w:val="24"/>
                <w:szCs w:val="24"/>
              </w:rPr>
            </w:pPr>
            <w:r>
              <w:rPr>
                <w:rFonts w:ascii="Times New Roman" w:hAnsi="Times New Roman"/>
                <w:b/>
                <w:bCs/>
                <w:sz w:val="24"/>
                <w:szCs w:val="24"/>
              </w:rPr>
              <w:lastRenderedPageBreak/>
              <w:t>Data Collection (who, how, when)</w:t>
            </w:r>
          </w:p>
        </w:tc>
        <w:tc>
          <w:tcPr>
            <w:tcW w:w="10525" w:type="dxa"/>
          </w:tcPr>
          <w:p w14:paraId="1A8F4D39" w14:textId="11D734C5" w:rsidR="00F467B5" w:rsidRDefault="00D22095" w:rsidP="00DF32C7">
            <w:pPr>
              <w:spacing w:before="120" w:after="120"/>
              <w:rPr>
                <w:rFonts w:ascii="Times New Roman" w:hAnsi="Times New Roman"/>
                <w:sz w:val="24"/>
                <w:szCs w:val="24"/>
              </w:rPr>
            </w:pPr>
            <w:r>
              <w:rPr>
                <w:rFonts w:ascii="Times New Roman" w:hAnsi="Times New Roman"/>
                <w:sz w:val="24"/>
                <w:szCs w:val="24"/>
              </w:rPr>
              <w:t xml:space="preserve">From what can be </w:t>
            </w:r>
            <w:r w:rsidR="00270318">
              <w:rPr>
                <w:rFonts w:ascii="Times New Roman" w:hAnsi="Times New Roman"/>
                <w:sz w:val="24"/>
                <w:szCs w:val="24"/>
              </w:rPr>
              <w:t>determined</w:t>
            </w:r>
            <w:r>
              <w:rPr>
                <w:rFonts w:ascii="Times New Roman" w:hAnsi="Times New Roman"/>
                <w:sz w:val="24"/>
                <w:szCs w:val="24"/>
              </w:rPr>
              <w:t xml:space="preserve"> in the data collection techniques on (Harefa et al., 2025, p. 242), the researchers appear to be who recruited the participants</w:t>
            </w:r>
            <w:r w:rsidR="00293CA7">
              <w:rPr>
                <w:rFonts w:ascii="Times New Roman" w:hAnsi="Times New Roman"/>
                <w:sz w:val="24"/>
                <w:szCs w:val="24"/>
              </w:rPr>
              <w:t xml:space="preserve"> and explained and administered the survey. No other information is given on data collection.</w:t>
            </w:r>
          </w:p>
        </w:tc>
      </w:tr>
      <w:tr w:rsidR="00F467B5" w14:paraId="7DF9F832" w14:textId="77777777" w:rsidTr="00DF32C7">
        <w:tc>
          <w:tcPr>
            <w:tcW w:w="2425" w:type="dxa"/>
          </w:tcPr>
          <w:p w14:paraId="35F0CE7E" w14:textId="77777777" w:rsidR="00F467B5" w:rsidRPr="0083157B" w:rsidRDefault="00F467B5" w:rsidP="00DF32C7">
            <w:pPr>
              <w:rPr>
                <w:rFonts w:ascii="Times New Roman" w:hAnsi="Times New Roman"/>
                <w:b/>
                <w:bCs/>
                <w:sz w:val="24"/>
                <w:szCs w:val="24"/>
              </w:rPr>
            </w:pPr>
            <w:r>
              <w:rPr>
                <w:rFonts w:ascii="Times New Roman" w:hAnsi="Times New Roman"/>
                <w:b/>
                <w:bCs/>
                <w:sz w:val="24"/>
                <w:szCs w:val="24"/>
              </w:rPr>
              <w:t>Data Analysis (what statistical analyses were used?)</w:t>
            </w:r>
          </w:p>
        </w:tc>
        <w:tc>
          <w:tcPr>
            <w:tcW w:w="10525" w:type="dxa"/>
          </w:tcPr>
          <w:p w14:paraId="722E86E5" w14:textId="6F8A05E5" w:rsidR="00F467B5" w:rsidRDefault="00270318" w:rsidP="00DF32C7">
            <w:pPr>
              <w:spacing w:before="120" w:after="120"/>
              <w:rPr>
                <w:rFonts w:ascii="Times New Roman" w:hAnsi="Times New Roman"/>
                <w:sz w:val="24"/>
                <w:szCs w:val="24"/>
              </w:rPr>
            </w:pPr>
            <w:r>
              <w:rPr>
                <w:rFonts w:ascii="Times New Roman" w:hAnsi="Times New Roman"/>
                <w:sz w:val="24"/>
                <w:szCs w:val="24"/>
              </w:rPr>
              <w:t>Frequency</w:t>
            </w:r>
            <w:r w:rsidR="00454B9A">
              <w:rPr>
                <w:rFonts w:ascii="Times New Roman" w:hAnsi="Times New Roman"/>
                <w:sz w:val="24"/>
                <w:szCs w:val="24"/>
              </w:rPr>
              <w:t xml:space="preserve"> and percentages were reported on the students level of happiness/interest in learning (Harefa et al., 2025, pp. 242-243). A correlation analysis was conducted to determine the relationship between level of happiness/interest and science outcomes as reported on pages 243-244.</w:t>
            </w:r>
            <w:r w:rsidR="00626553">
              <w:rPr>
                <w:rFonts w:ascii="Times New Roman" w:hAnsi="Times New Roman"/>
                <w:sz w:val="24"/>
                <w:szCs w:val="24"/>
              </w:rPr>
              <w:t xml:space="preserve"> Effect size was calculated as well on page 243.</w:t>
            </w:r>
          </w:p>
        </w:tc>
      </w:tr>
    </w:tbl>
    <w:p w14:paraId="7DD573B1" w14:textId="77777777" w:rsidR="00F467B5" w:rsidRDefault="00F467B5" w:rsidP="00DD1E6B">
      <w:pPr>
        <w:spacing w:after="0" w:line="240" w:lineRule="auto"/>
      </w:pPr>
    </w:p>
    <w:sectPr w:rsidR="00F467B5" w:rsidSect="00D22095">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B457D" w14:textId="77777777" w:rsidR="008D5F31" w:rsidRDefault="008D5F31" w:rsidP="00996E99">
      <w:pPr>
        <w:spacing w:after="0" w:line="240" w:lineRule="auto"/>
      </w:pPr>
      <w:r>
        <w:separator/>
      </w:r>
    </w:p>
  </w:endnote>
  <w:endnote w:type="continuationSeparator" w:id="0">
    <w:p w14:paraId="28C56E63" w14:textId="77777777" w:rsidR="008D5F31" w:rsidRDefault="008D5F31" w:rsidP="00996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308762542"/>
      <w:docPartObj>
        <w:docPartGallery w:val="Page Numbers (Bottom of Page)"/>
        <w:docPartUnique/>
      </w:docPartObj>
    </w:sdtPr>
    <w:sdtContent>
      <w:sdt>
        <w:sdtPr>
          <w:rPr>
            <w:rFonts w:ascii="Times New Roman" w:hAnsi="Times New Roman"/>
            <w:sz w:val="20"/>
            <w:szCs w:val="20"/>
          </w:rPr>
          <w:id w:val="-1769616900"/>
          <w:docPartObj>
            <w:docPartGallery w:val="Page Numbers (Top of Page)"/>
            <w:docPartUnique/>
          </w:docPartObj>
        </w:sdtPr>
        <w:sdtContent>
          <w:p w14:paraId="2D43A8AE" w14:textId="6C3D5D5F" w:rsidR="00C05E8A" w:rsidRPr="00C05E8A" w:rsidRDefault="00C05E8A">
            <w:pPr>
              <w:pStyle w:val="Footer"/>
              <w:jc w:val="right"/>
              <w:rPr>
                <w:rFonts w:ascii="Times New Roman" w:hAnsi="Times New Roman"/>
                <w:sz w:val="20"/>
                <w:szCs w:val="20"/>
              </w:rPr>
            </w:pPr>
            <w:r w:rsidRPr="00C05E8A">
              <w:rPr>
                <w:rFonts w:ascii="Times New Roman" w:hAnsi="Times New Roman"/>
                <w:sz w:val="20"/>
                <w:szCs w:val="20"/>
              </w:rPr>
              <w:t xml:space="preserve">Page </w:t>
            </w:r>
            <w:r w:rsidRPr="00C05E8A">
              <w:rPr>
                <w:rFonts w:ascii="Times New Roman" w:hAnsi="Times New Roman"/>
                <w:sz w:val="20"/>
                <w:szCs w:val="20"/>
              </w:rPr>
              <w:fldChar w:fldCharType="begin"/>
            </w:r>
            <w:r w:rsidRPr="00C05E8A">
              <w:rPr>
                <w:rFonts w:ascii="Times New Roman" w:hAnsi="Times New Roman"/>
                <w:sz w:val="20"/>
                <w:szCs w:val="20"/>
              </w:rPr>
              <w:instrText xml:space="preserve"> PAGE </w:instrText>
            </w:r>
            <w:r w:rsidRPr="00C05E8A">
              <w:rPr>
                <w:rFonts w:ascii="Times New Roman" w:hAnsi="Times New Roman"/>
                <w:sz w:val="20"/>
                <w:szCs w:val="20"/>
              </w:rPr>
              <w:fldChar w:fldCharType="separate"/>
            </w:r>
            <w:r w:rsidRPr="00C05E8A">
              <w:rPr>
                <w:rFonts w:ascii="Times New Roman" w:hAnsi="Times New Roman"/>
                <w:noProof/>
                <w:sz w:val="20"/>
                <w:szCs w:val="20"/>
              </w:rPr>
              <w:t>2</w:t>
            </w:r>
            <w:r w:rsidRPr="00C05E8A">
              <w:rPr>
                <w:rFonts w:ascii="Times New Roman" w:hAnsi="Times New Roman"/>
                <w:sz w:val="20"/>
                <w:szCs w:val="20"/>
              </w:rPr>
              <w:fldChar w:fldCharType="end"/>
            </w:r>
            <w:r w:rsidRPr="00C05E8A">
              <w:rPr>
                <w:rFonts w:ascii="Times New Roman" w:hAnsi="Times New Roman"/>
                <w:sz w:val="20"/>
                <w:szCs w:val="20"/>
              </w:rPr>
              <w:t xml:space="preserve"> of </w:t>
            </w:r>
            <w:r w:rsidRPr="00C05E8A">
              <w:rPr>
                <w:rFonts w:ascii="Times New Roman" w:hAnsi="Times New Roman"/>
                <w:sz w:val="20"/>
                <w:szCs w:val="20"/>
              </w:rPr>
              <w:fldChar w:fldCharType="begin"/>
            </w:r>
            <w:r w:rsidRPr="00C05E8A">
              <w:rPr>
                <w:rFonts w:ascii="Times New Roman" w:hAnsi="Times New Roman"/>
                <w:sz w:val="20"/>
                <w:szCs w:val="20"/>
              </w:rPr>
              <w:instrText xml:space="preserve"> NUMPAGES  </w:instrText>
            </w:r>
            <w:r w:rsidRPr="00C05E8A">
              <w:rPr>
                <w:rFonts w:ascii="Times New Roman" w:hAnsi="Times New Roman"/>
                <w:sz w:val="20"/>
                <w:szCs w:val="20"/>
              </w:rPr>
              <w:fldChar w:fldCharType="separate"/>
            </w:r>
            <w:r w:rsidRPr="00C05E8A">
              <w:rPr>
                <w:rFonts w:ascii="Times New Roman" w:hAnsi="Times New Roman"/>
                <w:noProof/>
                <w:sz w:val="20"/>
                <w:szCs w:val="20"/>
              </w:rPr>
              <w:t>2</w:t>
            </w:r>
            <w:r w:rsidRPr="00C05E8A">
              <w:rPr>
                <w:rFonts w:ascii="Times New Roman" w:hAnsi="Times New Roman"/>
                <w:sz w:val="20"/>
                <w:szCs w:val="20"/>
              </w:rPr>
              <w:fldChar w:fldCharType="end"/>
            </w:r>
          </w:p>
        </w:sdtContent>
      </w:sdt>
    </w:sdtContent>
  </w:sdt>
  <w:p w14:paraId="45A641F9" w14:textId="77777777" w:rsidR="00996E99" w:rsidRDefault="00996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846F8" w14:textId="77777777" w:rsidR="008D5F31" w:rsidRDefault="008D5F31" w:rsidP="00996E99">
      <w:pPr>
        <w:spacing w:after="0" w:line="240" w:lineRule="auto"/>
      </w:pPr>
      <w:r>
        <w:separator/>
      </w:r>
    </w:p>
  </w:footnote>
  <w:footnote w:type="continuationSeparator" w:id="0">
    <w:p w14:paraId="56811D47" w14:textId="77777777" w:rsidR="008D5F31" w:rsidRDefault="008D5F31" w:rsidP="00996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54FE" w14:textId="045C7B0B" w:rsidR="00F467B5" w:rsidRPr="00C05E8A" w:rsidRDefault="00F467B5" w:rsidP="00F467B5">
    <w:pPr>
      <w:pStyle w:val="Header"/>
      <w:rPr>
        <w:sz w:val="20"/>
        <w:szCs w:val="20"/>
      </w:rPr>
    </w:pPr>
    <w:r w:rsidRPr="00C05E8A">
      <w:rPr>
        <w:sz w:val="20"/>
        <w:szCs w:val="20"/>
      </w:rPr>
      <w:ptab w:relativeTo="margin" w:alignment="center" w:leader="none"/>
    </w:r>
    <w:r w:rsidRPr="00C05E8A">
      <w:rPr>
        <w:sz w:val="20"/>
        <w:szCs w:val="20"/>
      </w:rPr>
      <w:ptab w:relativeTo="margin" w:alignment="right" w:leader="none"/>
    </w:r>
    <w:r w:rsidRPr="00C05E8A">
      <w:rPr>
        <w:rFonts w:ascii="Times New Roman" w:hAnsi="Times New Roman"/>
        <w:sz w:val="20"/>
        <w:szCs w:val="20"/>
      </w:rPr>
      <w:t>EDUC 750</w:t>
    </w:r>
  </w:p>
  <w:p w14:paraId="75A49368" w14:textId="448957C7" w:rsidR="00996E99" w:rsidRPr="00F467B5" w:rsidRDefault="00996E99" w:rsidP="00F467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357B6"/>
    <w:multiLevelType w:val="hybridMultilevel"/>
    <w:tmpl w:val="617AE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AF926E3"/>
    <w:multiLevelType w:val="hybridMultilevel"/>
    <w:tmpl w:val="A18CDF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B9156A3"/>
    <w:multiLevelType w:val="hybridMultilevel"/>
    <w:tmpl w:val="F5DA544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70FE1717"/>
    <w:multiLevelType w:val="hybridMultilevel"/>
    <w:tmpl w:val="56CC299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7A346802"/>
    <w:multiLevelType w:val="hybridMultilevel"/>
    <w:tmpl w:val="CF800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351677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8621446">
    <w:abstractNumId w:val="0"/>
  </w:num>
  <w:num w:numId="3" w16cid:durableId="1838304565">
    <w:abstractNumId w:val="3"/>
  </w:num>
  <w:num w:numId="4" w16cid:durableId="1233780939">
    <w:abstractNumId w:val="4"/>
  </w:num>
  <w:num w:numId="5" w16cid:durableId="646127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031"/>
    <w:rsid w:val="0006459E"/>
    <w:rsid w:val="00270318"/>
    <w:rsid w:val="0027365D"/>
    <w:rsid w:val="00293CA7"/>
    <w:rsid w:val="002C5DA5"/>
    <w:rsid w:val="003129EE"/>
    <w:rsid w:val="00454B9A"/>
    <w:rsid w:val="00592FAC"/>
    <w:rsid w:val="005A259C"/>
    <w:rsid w:val="00626553"/>
    <w:rsid w:val="006424F5"/>
    <w:rsid w:val="007B1031"/>
    <w:rsid w:val="00887027"/>
    <w:rsid w:val="008D5F31"/>
    <w:rsid w:val="00936028"/>
    <w:rsid w:val="00947C93"/>
    <w:rsid w:val="00996E99"/>
    <w:rsid w:val="009E0E94"/>
    <w:rsid w:val="00BF72F0"/>
    <w:rsid w:val="00C05E8A"/>
    <w:rsid w:val="00CB11D5"/>
    <w:rsid w:val="00CB5803"/>
    <w:rsid w:val="00CD6BCC"/>
    <w:rsid w:val="00D22095"/>
    <w:rsid w:val="00DA2ABF"/>
    <w:rsid w:val="00DB33BE"/>
    <w:rsid w:val="00DC48F6"/>
    <w:rsid w:val="00DD1E6B"/>
    <w:rsid w:val="00F03324"/>
    <w:rsid w:val="00F43202"/>
    <w:rsid w:val="00F467B5"/>
    <w:rsid w:val="00F62751"/>
    <w:rsid w:val="00FC7D2F"/>
    <w:rsid w:val="00FF2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A11DC"/>
  <w15:chartTrackingRefBased/>
  <w15:docId w15:val="{C490A271-FB47-42A7-B94E-FEDC0499F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E99"/>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7B103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B103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B103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B1031"/>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B1031"/>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B1031"/>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B1031"/>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B1031"/>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B1031"/>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0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10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10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10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0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0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0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0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031"/>
    <w:rPr>
      <w:rFonts w:eastAsiaTheme="majorEastAsia" w:cstheme="majorBidi"/>
      <w:color w:val="272727" w:themeColor="text1" w:themeTint="D8"/>
    </w:rPr>
  </w:style>
  <w:style w:type="paragraph" w:styleId="Title">
    <w:name w:val="Title"/>
    <w:basedOn w:val="Normal"/>
    <w:next w:val="Normal"/>
    <w:link w:val="TitleChar"/>
    <w:uiPriority w:val="10"/>
    <w:qFormat/>
    <w:rsid w:val="007B103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B10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03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B10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031"/>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B1031"/>
    <w:rPr>
      <w:i/>
      <w:iCs/>
      <w:color w:val="404040" w:themeColor="text1" w:themeTint="BF"/>
    </w:rPr>
  </w:style>
  <w:style w:type="paragraph" w:styleId="ListParagraph">
    <w:name w:val="List Paragraph"/>
    <w:basedOn w:val="Normal"/>
    <w:uiPriority w:val="34"/>
    <w:qFormat/>
    <w:rsid w:val="007B1031"/>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B1031"/>
    <w:rPr>
      <w:i/>
      <w:iCs/>
      <w:color w:val="0F4761" w:themeColor="accent1" w:themeShade="BF"/>
    </w:rPr>
  </w:style>
  <w:style w:type="paragraph" w:styleId="IntenseQuote">
    <w:name w:val="Intense Quote"/>
    <w:basedOn w:val="Normal"/>
    <w:next w:val="Normal"/>
    <w:link w:val="IntenseQuoteChar"/>
    <w:uiPriority w:val="30"/>
    <w:qFormat/>
    <w:rsid w:val="007B103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B1031"/>
    <w:rPr>
      <w:i/>
      <w:iCs/>
      <w:color w:val="0F4761" w:themeColor="accent1" w:themeShade="BF"/>
    </w:rPr>
  </w:style>
  <w:style w:type="character" w:styleId="IntenseReference">
    <w:name w:val="Intense Reference"/>
    <w:basedOn w:val="DefaultParagraphFont"/>
    <w:uiPriority w:val="32"/>
    <w:qFormat/>
    <w:rsid w:val="007B1031"/>
    <w:rPr>
      <w:b/>
      <w:bCs/>
      <w:smallCaps/>
      <w:color w:val="0F4761" w:themeColor="accent1" w:themeShade="BF"/>
      <w:spacing w:val="5"/>
    </w:rPr>
  </w:style>
  <w:style w:type="paragraph" w:styleId="Header">
    <w:name w:val="header"/>
    <w:basedOn w:val="Normal"/>
    <w:link w:val="HeaderChar"/>
    <w:uiPriority w:val="99"/>
    <w:unhideWhenUsed/>
    <w:rsid w:val="00996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E99"/>
    <w:rPr>
      <w:rFonts w:ascii="Calibri" w:eastAsia="Calibri" w:hAnsi="Calibri" w:cs="Times New Roman"/>
      <w:kern w:val="0"/>
      <w14:ligatures w14:val="none"/>
    </w:rPr>
  </w:style>
  <w:style w:type="paragraph" w:styleId="Footer">
    <w:name w:val="footer"/>
    <w:basedOn w:val="Normal"/>
    <w:link w:val="FooterChar"/>
    <w:uiPriority w:val="99"/>
    <w:unhideWhenUsed/>
    <w:rsid w:val="00996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E99"/>
    <w:rPr>
      <w:rFonts w:ascii="Calibri" w:eastAsia="Calibri" w:hAnsi="Calibri" w:cs="Times New Roman"/>
      <w:kern w:val="0"/>
      <w14:ligatures w14:val="none"/>
    </w:rPr>
  </w:style>
  <w:style w:type="table" w:styleId="TableGrid">
    <w:name w:val="Table Grid"/>
    <w:basedOn w:val="TableNormal"/>
    <w:uiPriority w:val="39"/>
    <w:rsid w:val="00F4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67B5"/>
    <w:rPr>
      <w:color w:val="467886" w:themeColor="hyperlink"/>
      <w:u w:val="single"/>
    </w:rPr>
  </w:style>
  <w:style w:type="character" w:styleId="FollowedHyperlink">
    <w:name w:val="FollowedHyperlink"/>
    <w:basedOn w:val="DefaultParagraphFont"/>
    <w:uiPriority w:val="99"/>
    <w:semiHidden/>
    <w:unhideWhenUsed/>
    <w:rsid w:val="00D2209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04728">
      <w:bodyDiv w:val="1"/>
      <w:marLeft w:val="0"/>
      <w:marRight w:val="0"/>
      <w:marTop w:val="0"/>
      <w:marBottom w:val="0"/>
      <w:divBdr>
        <w:top w:val="none" w:sz="0" w:space="0" w:color="auto"/>
        <w:left w:val="none" w:sz="0" w:space="0" w:color="auto"/>
        <w:bottom w:val="none" w:sz="0" w:space="0" w:color="auto"/>
        <w:right w:val="none" w:sz="0" w:space="0" w:color="auto"/>
      </w:divBdr>
    </w:div>
    <w:div w:id="16126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dfs.semanticscholar.org/f5e7/1b80a5847e583811dc2e661c6c06e03ed0a5.pdf" TargetMode="External"/><Relationship Id="rId3" Type="http://schemas.openxmlformats.org/officeDocument/2006/relationships/settings" Target="settings.xml"/><Relationship Id="rId7" Type="http://schemas.openxmlformats.org/officeDocument/2006/relationships/hyperlink" Target="https://ijers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Lisa (School of Education)</dc:creator>
  <cp:keywords/>
  <dc:description/>
  <cp:lastModifiedBy>Smith, Bethany R (Curriculum Development)</cp:lastModifiedBy>
  <cp:revision>3</cp:revision>
  <dcterms:created xsi:type="dcterms:W3CDTF">2025-11-03T11:13:00Z</dcterms:created>
  <dcterms:modified xsi:type="dcterms:W3CDTF">2025-12-04T21:04:00Z</dcterms:modified>
</cp:coreProperties>
</file>