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FEAF8" w14:textId="62737889" w:rsidR="00377E8A" w:rsidRDefault="00CA07EE">
      <w:r>
        <w:t>REPLY TO STACEY</w:t>
      </w:r>
    </w:p>
    <w:p w14:paraId="41DA3A15" w14:textId="77777777" w:rsidR="00CA07EE" w:rsidRPr="00CA07EE" w:rsidRDefault="00CA07EE" w:rsidP="00CA07EE">
      <w:pPr>
        <w:shd w:val="clear" w:color="auto" w:fill="FFFFFF"/>
        <w:spacing w:before="180" w:after="180" w:line="240" w:lineRule="auto"/>
        <w:ind w:firstLine="450"/>
        <w:rPr>
          <w:rFonts w:ascii="Times New Roman" w:eastAsia="Times New Roman" w:hAnsi="Times New Roman" w:cs="Times New Roman"/>
          <w:color w:val="273540"/>
          <w:kern w:val="0"/>
          <w14:ligatures w14:val="none"/>
        </w:rPr>
      </w:pPr>
      <w:r w:rsidRPr="00CA07EE">
        <w:rPr>
          <w:rFonts w:ascii="Times New Roman" w:eastAsia="Times New Roman" w:hAnsi="Times New Roman" w:cs="Times New Roman"/>
          <w:b/>
          <w:bCs/>
          <w:color w:val="273540"/>
          <w:kern w:val="0"/>
          <w14:ligatures w14:val="none"/>
        </w:rPr>
        <w:t>Differentiating Normal Aging vs. Pathological Cognitive Decline</w:t>
      </w:r>
    </w:p>
    <w:p w14:paraId="6BF30E3E" w14:textId="77777777" w:rsidR="00CA07EE" w:rsidRPr="00CA07EE" w:rsidRDefault="00CA07EE" w:rsidP="00CA07EE">
      <w:pPr>
        <w:shd w:val="clear" w:color="auto" w:fill="FFFFFF"/>
        <w:spacing w:before="180" w:after="180" w:line="240" w:lineRule="auto"/>
        <w:ind w:firstLine="450"/>
        <w:rPr>
          <w:rFonts w:ascii="Times New Roman" w:eastAsia="Times New Roman" w:hAnsi="Times New Roman" w:cs="Times New Roman"/>
          <w:color w:val="273540"/>
          <w:kern w:val="0"/>
          <w14:ligatures w14:val="none"/>
        </w:rPr>
      </w:pPr>
      <w:r w:rsidRPr="00CA07EE">
        <w:rPr>
          <w:rFonts w:ascii="Times New Roman" w:eastAsia="Times New Roman" w:hAnsi="Times New Roman" w:cs="Times New Roman"/>
          <w:color w:val="273540"/>
          <w:kern w:val="0"/>
          <w14:ligatures w14:val="none"/>
        </w:rPr>
        <w:t>Distinguishing between normal aging and pathological cognitive decline is essential in geriatric care. Normal cognitive aging may include mild forgetfulness, slower information processing, and occasional need for reminders; however, functional independence is</w:t>
      </w:r>
      <w:r w:rsidRPr="00CA07EE">
        <w:rPr>
          <w:rFonts w:ascii="Times New Roman" w:eastAsia="Times New Roman" w:hAnsi="Times New Roman" w:cs="Times New Roman"/>
          <w:b/>
          <w:bCs/>
          <w:color w:val="273540"/>
          <w:kern w:val="0"/>
          <w14:ligatures w14:val="none"/>
        </w:rPr>
        <w:t> </w:t>
      </w:r>
      <w:r w:rsidRPr="00CA07EE">
        <w:rPr>
          <w:rFonts w:ascii="Times New Roman" w:eastAsia="Times New Roman" w:hAnsi="Times New Roman" w:cs="Times New Roman"/>
          <w:color w:val="273540"/>
          <w:kern w:val="0"/>
          <w14:ligatures w14:val="none"/>
        </w:rPr>
        <w:t>largely preserved. In contrast, mild cognitive impairment (MCI) represents a pathological state characterized by measurable cognitive decline that exceeds expected age-related changes but does not yet significantly impair basic activities of daily living.</w:t>
      </w:r>
    </w:p>
    <w:p w14:paraId="66765FD3" w14:textId="77777777" w:rsidR="00CA07EE" w:rsidRPr="00CA07EE" w:rsidRDefault="00CA07EE" w:rsidP="00CA07EE">
      <w:pPr>
        <w:shd w:val="clear" w:color="auto" w:fill="FFFFFF"/>
        <w:spacing w:before="180" w:after="180" w:line="240" w:lineRule="auto"/>
        <w:ind w:firstLine="450"/>
        <w:rPr>
          <w:rFonts w:ascii="Times New Roman" w:eastAsia="Times New Roman" w:hAnsi="Times New Roman" w:cs="Times New Roman"/>
          <w:color w:val="273540"/>
          <w:kern w:val="0"/>
          <w14:ligatures w14:val="none"/>
        </w:rPr>
      </w:pPr>
      <w:r w:rsidRPr="00CA07EE">
        <w:rPr>
          <w:rFonts w:ascii="Times New Roman" w:eastAsia="Times New Roman" w:hAnsi="Times New Roman" w:cs="Times New Roman"/>
          <w:color w:val="273540"/>
          <w:kern w:val="0"/>
          <w14:ligatures w14:val="none"/>
        </w:rPr>
        <w:t>In this case, Ms. Lillian demonstrates findings inconsistent with normal aging. Her difficulty with medication management and abnormal Mini-Cog results indicate early functional</w:t>
      </w:r>
      <w:r w:rsidRPr="00CA07EE">
        <w:rPr>
          <w:rFonts w:ascii="Times New Roman" w:eastAsia="Times New Roman" w:hAnsi="Times New Roman" w:cs="Times New Roman"/>
          <w:b/>
          <w:bCs/>
          <w:color w:val="273540"/>
          <w:kern w:val="0"/>
          <w14:ligatures w14:val="none"/>
        </w:rPr>
        <w:t> </w:t>
      </w:r>
      <w:r w:rsidRPr="00CA07EE">
        <w:rPr>
          <w:rFonts w:ascii="Times New Roman" w:eastAsia="Times New Roman" w:hAnsi="Times New Roman" w:cs="Times New Roman"/>
          <w:color w:val="273540"/>
          <w:kern w:val="0"/>
          <w14:ligatures w14:val="none"/>
        </w:rPr>
        <w:t>decline, suggesting MCI rather than normal aging. This distinction is critical because MCI is associated with an increased risk of progression to dementia. Early identification enables secondary prevention strategies, including risk factor modification and cognitive interventions, that may delay disease progression (Kim &amp; Moon, 2022).</w:t>
      </w:r>
    </w:p>
    <w:p w14:paraId="664712DE" w14:textId="77777777" w:rsidR="00CA07EE" w:rsidRPr="00CA07EE" w:rsidRDefault="00CA07EE" w:rsidP="00CA07EE">
      <w:pPr>
        <w:shd w:val="clear" w:color="auto" w:fill="FFFFFF"/>
        <w:spacing w:before="180" w:after="180" w:line="240" w:lineRule="auto"/>
        <w:ind w:firstLine="450"/>
        <w:rPr>
          <w:rFonts w:ascii="Times New Roman" w:eastAsia="Times New Roman" w:hAnsi="Times New Roman" w:cs="Times New Roman"/>
          <w:color w:val="273540"/>
          <w:kern w:val="0"/>
          <w14:ligatures w14:val="none"/>
        </w:rPr>
      </w:pPr>
      <w:r w:rsidRPr="00CA07EE">
        <w:rPr>
          <w:rFonts w:ascii="Times New Roman" w:eastAsia="Times New Roman" w:hAnsi="Times New Roman" w:cs="Times New Roman"/>
          <w:b/>
          <w:bCs/>
          <w:color w:val="273540"/>
          <w:kern w:val="0"/>
          <w14:ligatures w14:val="none"/>
        </w:rPr>
        <w:t>Psychosocial, Functional, and Cultural Considerations</w:t>
      </w:r>
    </w:p>
    <w:p w14:paraId="4FABBA18" w14:textId="77777777" w:rsidR="00CA07EE" w:rsidRPr="00CA07EE" w:rsidRDefault="00CA07EE" w:rsidP="00CA07EE">
      <w:pPr>
        <w:shd w:val="clear" w:color="auto" w:fill="FFFFFF"/>
        <w:spacing w:before="180" w:after="180" w:line="240" w:lineRule="auto"/>
        <w:ind w:firstLine="450"/>
        <w:rPr>
          <w:rFonts w:ascii="Times New Roman" w:eastAsia="Times New Roman" w:hAnsi="Times New Roman" w:cs="Times New Roman"/>
          <w:color w:val="273540"/>
          <w:kern w:val="0"/>
          <w14:ligatures w14:val="none"/>
        </w:rPr>
      </w:pPr>
      <w:r w:rsidRPr="00CA07EE">
        <w:rPr>
          <w:rFonts w:ascii="Times New Roman" w:eastAsia="Times New Roman" w:hAnsi="Times New Roman" w:cs="Times New Roman"/>
          <w:color w:val="273540"/>
          <w:kern w:val="0"/>
          <w14:ligatures w14:val="none"/>
        </w:rPr>
        <w:t>Mrs. Lillian’s presentation is shaped by an interplay of psychosocial, functional, and cultural factors that directly impact her health outcomes and care planning.</w:t>
      </w:r>
    </w:p>
    <w:p w14:paraId="0A0F16B2" w14:textId="77777777" w:rsidR="00CA07EE" w:rsidRPr="00CA07EE" w:rsidRDefault="00CA07EE" w:rsidP="00CA07EE">
      <w:pPr>
        <w:shd w:val="clear" w:color="auto" w:fill="FFFFFF"/>
        <w:spacing w:before="180" w:after="180" w:line="240" w:lineRule="auto"/>
        <w:ind w:firstLine="450"/>
        <w:rPr>
          <w:rFonts w:ascii="Times New Roman" w:eastAsia="Times New Roman" w:hAnsi="Times New Roman" w:cs="Times New Roman"/>
          <w:color w:val="273540"/>
          <w:kern w:val="0"/>
          <w14:ligatures w14:val="none"/>
        </w:rPr>
      </w:pPr>
      <w:r w:rsidRPr="00CA07EE">
        <w:rPr>
          <w:rFonts w:ascii="Times New Roman" w:eastAsia="Times New Roman" w:hAnsi="Times New Roman" w:cs="Times New Roman"/>
          <w:color w:val="273540"/>
          <w:kern w:val="0"/>
          <w14:ligatures w14:val="none"/>
        </w:rPr>
        <w:t>Psychosocially, her strong family support system serves as a protective factor, providing supervision and emotional support (</w:t>
      </w:r>
      <w:proofErr w:type="spellStart"/>
      <w:r w:rsidRPr="00CA07EE">
        <w:rPr>
          <w:rFonts w:ascii="Times New Roman" w:eastAsia="Times New Roman" w:hAnsi="Times New Roman" w:cs="Times New Roman"/>
          <w:color w:val="273540"/>
          <w:kern w:val="0"/>
          <w14:ligatures w14:val="none"/>
        </w:rPr>
        <w:t>Bražinová</w:t>
      </w:r>
      <w:proofErr w:type="spellEnd"/>
      <w:r w:rsidRPr="00CA07EE">
        <w:rPr>
          <w:rFonts w:ascii="Times New Roman" w:eastAsia="Times New Roman" w:hAnsi="Times New Roman" w:cs="Times New Roman"/>
          <w:color w:val="273540"/>
          <w:kern w:val="0"/>
          <w14:ligatures w14:val="none"/>
        </w:rPr>
        <w:t xml:space="preserve"> &amp; Chytil, 2024). However, her decreased participation in cognitively stimulating and social activities, particularly after retirement from a teaching career, may accelerate cognitive decline. Additionally, her flat </w:t>
      </w:r>
      <w:proofErr w:type="gramStart"/>
      <w:r w:rsidRPr="00CA07EE">
        <w:rPr>
          <w:rFonts w:ascii="Times New Roman" w:eastAsia="Times New Roman" w:hAnsi="Times New Roman" w:cs="Times New Roman"/>
          <w:color w:val="273540"/>
          <w:kern w:val="0"/>
          <w14:ligatures w14:val="none"/>
        </w:rPr>
        <w:t>affect</w:t>
      </w:r>
      <w:proofErr w:type="gramEnd"/>
      <w:r w:rsidRPr="00CA07EE">
        <w:rPr>
          <w:rFonts w:ascii="Times New Roman" w:eastAsia="Times New Roman" w:hAnsi="Times New Roman" w:cs="Times New Roman"/>
          <w:color w:val="273540"/>
          <w:kern w:val="0"/>
          <w14:ligatures w14:val="none"/>
        </w:rPr>
        <w:t xml:space="preserve"> and</w:t>
      </w:r>
      <w:r w:rsidRPr="00CA07EE">
        <w:rPr>
          <w:rFonts w:ascii="Times New Roman" w:eastAsia="Times New Roman" w:hAnsi="Times New Roman" w:cs="Times New Roman"/>
          <w:b/>
          <w:bCs/>
          <w:color w:val="273540"/>
          <w:kern w:val="0"/>
          <w14:ligatures w14:val="none"/>
        </w:rPr>
        <w:t> </w:t>
      </w:r>
      <w:r w:rsidRPr="00CA07EE">
        <w:rPr>
          <w:rFonts w:ascii="Times New Roman" w:eastAsia="Times New Roman" w:hAnsi="Times New Roman" w:cs="Times New Roman"/>
          <w:color w:val="273540"/>
          <w:kern w:val="0"/>
          <w14:ligatures w14:val="none"/>
        </w:rPr>
        <w:t>poor sleep raise concern for depression, a condition strongly associated with worsening cognitive impairment in older adults (Hu et al., 2022).</w:t>
      </w:r>
    </w:p>
    <w:p w14:paraId="7FE65452" w14:textId="77777777" w:rsidR="00CA07EE" w:rsidRPr="00CA07EE" w:rsidRDefault="00CA07EE" w:rsidP="00CA07EE">
      <w:pPr>
        <w:shd w:val="clear" w:color="auto" w:fill="FFFFFF"/>
        <w:spacing w:before="180" w:after="180" w:line="240" w:lineRule="auto"/>
        <w:ind w:firstLine="450"/>
        <w:rPr>
          <w:rFonts w:ascii="Times New Roman" w:eastAsia="Times New Roman" w:hAnsi="Times New Roman" w:cs="Times New Roman"/>
          <w:color w:val="273540"/>
          <w:kern w:val="0"/>
          <w14:ligatures w14:val="none"/>
        </w:rPr>
      </w:pPr>
      <w:r w:rsidRPr="00CA07EE">
        <w:rPr>
          <w:rFonts w:ascii="Times New Roman" w:eastAsia="Times New Roman" w:hAnsi="Times New Roman" w:cs="Times New Roman"/>
          <w:color w:val="273540"/>
          <w:kern w:val="0"/>
          <w14:ligatures w14:val="none"/>
        </w:rPr>
        <w:t>Functionally, her difficulty managing medications reflects impairment in instrumental activities of daily living (IADLs), representing an early but significant decline. This creates safety concerns, particularly given her comorbidities (type 2 diabetes and hyperlipidemia), where poor adherence may lead to adverse outcomes.</w:t>
      </w:r>
    </w:p>
    <w:p w14:paraId="423DCDB1" w14:textId="77777777" w:rsidR="00CA07EE" w:rsidRPr="00CA07EE" w:rsidRDefault="00CA07EE" w:rsidP="00CA07EE">
      <w:pPr>
        <w:shd w:val="clear" w:color="auto" w:fill="FFFFFF"/>
        <w:spacing w:before="180" w:after="180" w:line="240" w:lineRule="auto"/>
        <w:ind w:firstLine="450"/>
        <w:rPr>
          <w:rFonts w:ascii="Times New Roman" w:eastAsia="Times New Roman" w:hAnsi="Times New Roman" w:cs="Times New Roman"/>
          <w:color w:val="273540"/>
          <w:kern w:val="0"/>
          <w14:ligatures w14:val="none"/>
        </w:rPr>
      </w:pPr>
      <w:r w:rsidRPr="00CA07EE">
        <w:rPr>
          <w:rFonts w:ascii="Times New Roman" w:eastAsia="Times New Roman" w:hAnsi="Times New Roman" w:cs="Times New Roman"/>
          <w:color w:val="273540"/>
          <w:kern w:val="0"/>
          <w14:ligatures w14:val="none"/>
        </w:rPr>
        <w:t>Culturally, the family’s preference for in-home caregiving supports continuity and comfort but may create barriers to accepting formal diagnoses or external support services. A culturally sensitive approach is essential, incorporating family involvement while gradually introducing resources such as home health support in a manner aligned with their values.</w:t>
      </w:r>
    </w:p>
    <w:p w14:paraId="5808DB89" w14:textId="77777777" w:rsidR="00CA07EE" w:rsidRPr="00CA07EE" w:rsidRDefault="00CA07EE" w:rsidP="00CA07EE">
      <w:pPr>
        <w:shd w:val="clear" w:color="auto" w:fill="FFFFFF"/>
        <w:spacing w:before="180" w:after="180" w:line="240" w:lineRule="auto"/>
        <w:ind w:firstLine="450"/>
        <w:rPr>
          <w:rFonts w:ascii="Times New Roman" w:eastAsia="Times New Roman" w:hAnsi="Times New Roman" w:cs="Times New Roman"/>
          <w:color w:val="273540"/>
          <w:kern w:val="0"/>
          <w14:ligatures w14:val="none"/>
        </w:rPr>
      </w:pPr>
      <w:r w:rsidRPr="00CA07EE">
        <w:rPr>
          <w:rFonts w:ascii="Times New Roman" w:eastAsia="Times New Roman" w:hAnsi="Times New Roman" w:cs="Times New Roman"/>
          <w:b/>
          <w:bCs/>
          <w:color w:val="273540"/>
          <w:kern w:val="0"/>
          <w14:ligatures w14:val="none"/>
        </w:rPr>
        <w:t>Secondary Prevention &amp; Health Promotion Strategies</w:t>
      </w:r>
    </w:p>
    <w:p w14:paraId="66DB079C" w14:textId="77777777" w:rsidR="00CA07EE" w:rsidRPr="00CA07EE" w:rsidRDefault="00CA07EE" w:rsidP="00CA07EE">
      <w:pPr>
        <w:shd w:val="clear" w:color="auto" w:fill="FFFFFF"/>
        <w:spacing w:before="180" w:after="180" w:line="240" w:lineRule="auto"/>
        <w:ind w:firstLine="450"/>
        <w:rPr>
          <w:rFonts w:ascii="Times New Roman" w:eastAsia="Times New Roman" w:hAnsi="Times New Roman" w:cs="Times New Roman"/>
          <w:color w:val="273540"/>
          <w:kern w:val="0"/>
          <w14:ligatures w14:val="none"/>
        </w:rPr>
      </w:pPr>
      <w:r w:rsidRPr="00CA07EE">
        <w:rPr>
          <w:rFonts w:ascii="Times New Roman" w:eastAsia="Times New Roman" w:hAnsi="Times New Roman" w:cs="Times New Roman"/>
          <w:color w:val="273540"/>
          <w:kern w:val="0"/>
          <w14:ligatures w14:val="none"/>
        </w:rPr>
        <w:t>This case highlights the importance of secondary prevention, which focuses on early detection and intervention to slow disease progression and prevent complications.</w:t>
      </w:r>
    </w:p>
    <w:p w14:paraId="7BBFDAA3" w14:textId="77777777" w:rsidR="00CA07EE" w:rsidRPr="00CA07EE" w:rsidRDefault="00CA07EE" w:rsidP="00CA07EE">
      <w:pPr>
        <w:shd w:val="clear" w:color="auto" w:fill="FFFFFF"/>
        <w:spacing w:before="180" w:after="180" w:line="240" w:lineRule="auto"/>
        <w:ind w:firstLine="450"/>
        <w:rPr>
          <w:rFonts w:ascii="Times New Roman" w:eastAsia="Times New Roman" w:hAnsi="Times New Roman" w:cs="Times New Roman"/>
          <w:color w:val="273540"/>
          <w:kern w:val="0"/>
          <w14:ligatures w14:val="none"/>
        </w:rPr>
      </w:pPr>
      <w:r w:rsidRPr="00CA07EE">
        <w:rPr>
          <w:rFonts w:ascii="Times New Roman" w:eastAsia="Times New Roman" w:hAnsi="Times New Roman" w:cs="Times New Roman"/>
          <w:color w:val="273540"/>
          <w:kern w:val="0"/>
          <w14:ligatures w14:val="none"/>
        </w:rPr>
        <w:t>Given Mrs. Lillian’s early cognitive decline, interventions should prioritize modifiable risk factors:</w:t>
      </w:r>
    </w:p>
    <w:p w14:paraId="0A339FCC" w14:textId="77777777" w:rsidR="00CA07EE" w:rsidRPr="00CA07EE" w:rsidRDefault="00CA07EE" w:rsidP="00CA07EE">
      <w:pPr>
        <w:numPr>
          <w:ilvl w:val="0"/>
          <w:numId w:val="1"/>
        </w:numPr>
        <w:shd w:val="clear" w:color="auto" w:fill="FFFFFF"/>
        <w:spacing w:before="100" w:beforeAutospacing="1" w:after="100" w:afterAutospacing="1" w:line="240" w:lineRule="auto"/>
        <w:ind w:left="1095"/>
        <w:rPr>
          <w:rFonts w:ascii="Times New Roman" w:eastAsia="Times New Roman" w:hAnsi="Times New Roman" w:cs="Times New Roman"/>
          <w:color w:val="273540"/>
          <w:kern w:val="0"/>
          <w14:ligatures w14:val="none"/>
        </w:rPr>
      </w:pPr>
      <w:r w:rsidRPr="00CA07EE">
        <w:rPr>
          <w:rFonts w:ascii="Times New Roman" w:eastAsia="Times New Roman" w:hAnsi="Times New Roman" w:cs="Times New Roman"/>
          <w:b/>
          <w:bCs/>
          <w:color w:val="273540"/>
          <w:kern w:val="0"/>
          <w14:ligatures w14:val="none"/>
        </w:rPr>
        <w:t>Chronic disease optimization:</w:t>
      </w:r>
      <w:r w:rsidRPr="00CA07EE">
        <w:rPr>
          <w:rFonts w:ascii="Times New Roman" w:eastAsia="Times New Roman" w:hAnsi="Times New Roman" w:cs="Times New Roman"/>
          <w:color w:val="273540"/>
          <w:kern w:val="0"/>
          <w14:ligatures w14:val="none"/>
        </w:rPr>
        <w:t> Tight control of diabetes and hyperlipidemia is essential, as vascular health is directly linked to cognitive outcomes.</w:t>
      </w:r>
    </w:p>
    <w:p w14:paraId="7985FCE5" w14:textId="77777777" w:rsidR="00CA07EE" w:rsidRPr="00CA07EE" w:rsidRDefault="00CA07EE" w:rsidP="00CA07EE">
      <w:pPr>
        <w:numPr>
          <w:ilvl w:val="0"/>
          <w:numId w:val="1"/>
        </w:numPr>
        <w:shd w:val="clear" w:color="auto" w:fill="FFFFFF"/>
        <w:spacing w:before="100" w:beforeAutospacing="1" w:after="100" w:afterAutospacing="1" w:line="240" w:lineRule="auto"/>
        <w:ind w:left="1095"/>
        <w:rPr>
          <w:rFonts w:ascii="Times New Roman" w:eastAsia="Times New Roman" w:hAnsi="Times New Roman" w:cs="Times New Roman"/>
          <w:color w:val="273540"/>
          <w:kern w:val="0"/>
          <w14:ligatures w14:val="none"/>
        </w:rPr>
      </w:pPr>
      <w:r w:rsidRPr="00CA07EE">
        <w:rPr>
          <w:rFonts w:ascii="Times New Roman" w:eastAsia="Times New Roman" w:hAnsi="Times New Roman" w:cs="Times New Roman"/>
          <w:b/>
          <w:bCs/>
          <w:color w:val="273540"/>
          <w:kern w:val="0"/>
          <w14:ligatures w14:val="none"/>
        </w:rPr>
        <w:lastRenderedPageBreak/>
        <w:t>Cognitive stimulation:</w:t>
      </w:r>
      <w:r w:rsidRPr="00CA07EE">
        <w:rPr>
          <w:rFonts w:ascii="Times New Roman" w:eastAsia="Times New Roman" w:hAnsi="Times New Roman" w:cs="Times New Roman"/>
          <w:color w:val="273540"/>
          <w:kern w:val="0"/>
          <w14:ligatures w14:val="none"/>
        </w:rPr>
        <w:t> Activities such as reading, puzzles, and memory exercises can help maintain cognitive function.</w:t>
      </w:r>
    </w:p>
    <w:p w14:paraId="2443C857" w14:textId="77777777" w:rsidR="00CA07EE" w:rsidRPr="00CA07EE" w:rsidRDefault="00CA07EE" w:rsidP="00CA07EE">
      <w:pPr>
        <w:numPr>
          <w:ilvl w:val="0"/>
          <w:numId w:val="1"/>
        </w:numPr>
        <w:shd w:val="clear" w:color="auto" w:fill="FFFFFF"/>
        <w:spacing w:before="100" w:beforeAutospacing="1" w:after="100" w:afterAutospacing="1" w:line="240" w:lineRule="auto"/>
        <w:ind w:left="1095"/>
        <w:rPr>
          <w:rFonts w:ascii="Times New Roman" w:eastAsia="Times New Roman" w:hAnsi="Times New Roman" w:cs="Times New Roman"/>
          <w:color w:val="273540"/>
          <w:kern w:val="0"/>
          <w14:ligatures w14:val="none"/>
        </w:rPr>
      </w:pPr>
      <w:r w:rsidRPr="00CA07EE">
        <w:rPr>
          <w:rFonts w:ascii="Times New Roman" w:eastAsia="Times New Roman" w:hAnsi="Times New Roman" w:cs="Times New Roman"/>
          <w:b/>
          <w:bCs/>
          <w:color w:val="273540"/>
          <w:kern w:val="0"/>
          <w14:ligatures w14:val="none"/>
        </w:rPr>
        <w:t>Physical activity:</w:t>
      </w:r>
      <w:r w:rsidRPr="00CA07EE">
        <w:rPr>
          <w:rFonts w:ascii="Times New Roman" w:eastAsia="Times New Roman" w:hAnsi="Times New Roman" w:cs="Times New Roman"/>
          <w:color w:val="273540"/>
          <w:kern w:val="0"/>
          <w14:ligatures w14:val="none"/>
        </w:rPr>
        <w:t> Regular exercise improves cerebral blood flow and reduces the risk of cognitive decline.</w:t>
      </w:r>
    </w:p>
    <w:p w14:paraId="576981DA" w14:textId="77777777" w:rsidR="00CA07EE" w:rsidRPr="00CA07EE" w:rsidRDefault="00CA07EE" w:rsidP="00CA07EE">
      <w:pPr>
        <w:numPr>
          <w:ilvl w:val="0"/>
          <w:numId w:val="1"/>
        </w:numPr>
        <w:shd w:val="clear" w:color="auto" w:fill="FFFFFF"/>
        <w:spacing w:before="100" w:beforeAutospacing="1" w:after="100" w:afterAutospacing="1" w:line="240" w:lineRule="auto"/>
        <w:ind w:left="1095"/>
        <w:rPr>
          <w:rFonts w:ascii="Times New Roman" w:eastAsia="Times New Roman" w:hAnsi="Times New Roman" w:cs="Times New Roman"/>
          <w:color w:val="273540"/>
          <w:kern w:val="0"/>
          <w14:ligatures w14:val="none"/>
        </w:rPr>
      </w:pPr>
      <w:r w:rsidRPr="00CA07EE">
        <w:rPr>
          <w:rFonts w:ascii="Times New Roman" w:eastAsia="Times New Roman" w:hAnsi="Times New Roman" w:cs="Times New Roman"/>
          <w:b/>
          <w:bCs/>
          <w:color w:val="273540"/>
          <w:kern w:val="0"/>
          <w14:ligatures w14:val="none"/>
        </w:rPr>
        <w:t>Social engagement:</w:t>
      </w:r>
      <w:r w:rsidRPr="00CA07EE">
        <w:rPr>
          <w:rFonts w:ascii="Times New Roman" w:eastAsia="Times New Roman" w:hAnsi="Times New Roman" w:cs="Times New Roman"/>
          <w:color w:val="273540"/>
          <w:kern w:val="0"/>
          <w14:ligatures w14:val="none"/>
        </w:rPr>
        <w:t> Increased interaction can reduce isolation and support cognitive resilience.</w:t>
      </w:r>
    </w:p>
    <w:p w14:paraId="05A776A5" w14:textId="77777777" w:rsidR="00CA07EE" w:rsidRPr="00CA07EE" w:rsidRDefault="00CA07EE" w:rsidP="00CA07EE">
      <w:pPr>
        <w:shd w:val="clear" w:color="auto" w:fill="FFFFFF"/>
        <w:spacing w:before="180" w:after="180" w:line="240" w:lineRule="auto"/>
        <w:ind w:firstLine="450"/>
        <w:rPr>
          <w:rFonts w:ascii="Times New Roman" w:eastAsia="Times New Roman" w:hAnsi="Times New Roman" w:cs="Times New Roman"/>
          <w:color w:val="273540"/>
          <w:kern w:val="0"/>
          <w14:ligatures w14:val="none"/>
        </w:rPr>
      </w:pPr>
      <w:r w:rsidRPr="00CA07EE">
        <w:rPr>
          <w:rFonts w:ascii="Times New Roman" w:eastAsia="Times New Roman" w:hAnsi="Times New Roman" w:cs="Times New Roman"/>
          <w:color w:val="273540"/>
          <w:kern w:val="0"/>
          <w14:ligatures w14:val="none"/>
        </w:rPr>
        <w:t>Evidence supports that multidomain lifestyle interventions significantly contribute to preserving cognitive function and delaying dementia progression (Livingston et al., 2020).</w:t>
      </w:r>
    </w:p>
    <w:p w14:paraId="047F4161" w14:textId="77777777" w:rsidR="00CA07EE" w:rsidRPr="00CA07EE" w:rsidRDefault="00CA07EE" w:rsidP="00CA07EE">
      <w:pPr>
        <w:shd w:val="clear" w:color="auto" w:fill="FFFFFF"/>
        <w:spacing w:before="180" w:after="180" w:line="240" w:lineRule="auto"/>
        <w:ind w:firstLine="450"/>
        <w:rPr>
          <w:rFonts w:ascii="Times New Roman" w:eastAsia="Times New Roman" w:hAnsi="Times New Roman" w:cs="Times New Roman"/>
          <w:color w:val="273540"/>
          <w:kern w:val="0"/>
          <w14:ligatures w14:val="none"/>
        </w:rPr>
      </w:pPr>
      <w:r w:rsidRPr="00CA07EE">
        <w:rPr>
          <w:rFonts w:ascii="Times New Roman" w:eastAsia="Times New Roman" w:hAnsi="Times New Roman" w:cs="Times New Roman"/>
          <w:color w:val="273540"/>
          <w:kern w:val="0"/>
          <w14:ligatures w14:val="none"/>
        </w:rPr>
        <w:t>Safety interventions are equally critical. Her difficulty managing medications places her at risk for adverse events; therefore, implementing pill organizers</w:t>
      </w:r>
      <w:r w:rsidRPr="00CA07EE">
        <w:rPr>
          <w:rFonts w:ascii="Times New Roman" w:eastAsia="Times New Roman" w:hAnsi="Times New Roman" w:cs="Times New Roman"/>
          <w:b/>
          <w:bCs/>
          <w:color w:val="273540"/>
          <w:kern w:val="0"/>
          <w14:ligatures w14:val="none"/>
        </w:rPr>
        <w:t>, </w:t>
      </w:r>
      <w:r w:rsidRPr="00CA07EE">
        <w:rPr>
          <w:rFonts w:ascii="Times New Roman" w:eastAsia="Times New Roman" w:hAnsi="Times New Roman" w:cs="Times New Roman"/>
          <w:color w:val="273540"/>
          <w:kern w:val="0"/>
          <w14:ligatures w14:val="none"/>
        </w:rPr>
        <w:t>medication reminders, or caregiver oversight is recommended. In addition, screening and addressing depression and sleep disturbances are essential components of care, as these are modifiable contributors to cognitive impairment.</w:t>
      </w:r>
    </w:p>
    <w:p w14:paraId="20FBEAE0" w14:textId="77777777" w:rsidR="00CA07EE" w:rsidRPr="00CA07EE" w:rsidRDefault="00CA07EE" w:rsidP="00CA07EE">
      <w:pPr>
        <w:shd w:val="clear" w:color="auto" w:fill="FFFFFF"/>
        <w:spacing w:before="180" w:after="180" w:line="240" w:lineRule="auto"/>
        <w:ind w:firstLine="450"/>
        <w:rPr>
          <w:rFonts w:ascii="Times New Roman" w:eastAsia="Times New Roman" w:hAnsi="Times New Roman" w:cs="Times New Roman"/>
          <w:color w:val="273540"/>
          <w:kern w:val="0"/>
          <w14:ligatures w14:val="none"/>
        </w:rPr>
      </w:pPr>
      <w:r w:rsidRPr="00CA07EE">
        <w:rPr>
          <w:rFonts w:ascii="Times New Roman" w:eastAsia="Times New Roman" w:hAnsi="Times New Roman" w:cs="Times New Roman"/>
          <w:color w:val="273540"/>
          <w:kern w:val="0"/>
          <w14:ligatures w14:val="none"/>
        </w:rPr>
        <w:t>Caregiver support is a key component of secondary prevention. Educating family members about disease progression, safety planning, and available community resources enhances the quality of care while reducing caregiver burden. Referral to social services for home health assistance may further support both the patient and family.</w:t>
      </w:r>
    </w:p>
    <w:p w14:paraId="7B6E5589" w14:textId="77777777" w:rsidR="00CA07EE" w:rsidRPr="00CA07EE" w:rsidRDefault="00CA07EE" w:rsidP="00CA07EE">
      <w:pPr>
        <w:shd w:val="clear" w:color="auto" w:fill="FFFFFF"/>
        <w:spacing w:before="180" w:after="180" w:line="240" w:lineRule="auto"/>
        <w:ind w:firstLine="450"/>
        <w:rPr>
          <w:rFonts w:ascii="Times New Roman" w:eastAsia="Times New Roman" w:hAnsi="Times New Roman" w:cs="Times New Roman"/>
          <w:color w:val="273540"/>
          <w:kern w:val="0"/>
          <w14:ligatures w14:val="none"/>
        </w:rPr>
      </w:pPr>
      <w:r w:rsidRPr="00CA07EE">
        <w:rPr>
          <w:rFonts w:ascii="Times New Roman" w:eastAsia="Times New Roman" w:hAnsi="Times New Roman" w:cs="Times New Roman"/>
          <w:color w:val="273540"/>
          <w:kern w:val="0"/>
          <w14:ligatures w14:val="none"/>
        </w:rPr>
        <w:t>Overall, a holistic, patient-centered, and culturally sensitive approach that integrates early detection, risk reduction, and family involvement is essential to optimize outcomes and maintain quality of life.</w:t>
      </w:r>
    </w:p>
    <w:p w14:paraId="0297AAB2" w14:textId="77777777" w:rsidR="00CA07EE" w:rsidRDefault="00CA07EE"/>
    <w:p w14:paraId="3CD0E911" w14:textId="076D40C8" w:rsidR="00CA07EE" w:rsidRDefault="00CA07EE">
      <w:r>
        <w:t>REPLY TO WILNA</w:t>
      </w:r>
    </w:p>
    <w:p w14:paraId="69586FBE" w14:textId="77777777" w:rsidR="00CA07EE" w:rsidRDefault="00CA07EE" w:rsidP="00CA07EE">
      <w:pPr>
        <w:pStyle w:val="NormalWeb"/>
        <w:shd w:val="clear" w:color="auto" w:fill="FFFFFF"/>
        <w:spacing w:before="180" w:beforeAutospacing="0" w:after="180" w:afterAutospacing="0" w:line="480" w:lineRule="atLeast"/>
        <w:jc w:val="center"/>
        <w:rPr>
          <w:color w:val="273540"/>
        </w:rPr>
      </w:pPr>
      <w:r>
        <w:rPr>
          <w:rStyle w:val="Strong"/>
          <w:rFonts w:eastAsiaTheme="majorEastAsia"/>
          <w:color w:val="273540"/>
        </w:rPr>
        <w:t>Clinical Case 3</w:t>
      </w:r>
    </w:p>
    <w:p w14:paraId="00C3C62A" w14:textId="77777777" w:rsidR="00CA07EE" w:rsidRDefault="00CA07EE" w:rsidP="00CA07EE">
      <w:pPr>
        <w:pStyle w:val="NormalWeb"/>
        <w:shd w:val="clear" w:color="auto" w:fill="FFFFFF"/>
        <w:spacing w:before="180" w:beforeAutospacing="0" w:after="180" w:afterAutospacing="0" w:line="480" w:lineRule="atLeast"/>
        <w:ind w:firstLine="450"/>
        <w:rPr>
          <w:color w:val="273540"/>
        </w:rPr>
      </w:pPr>
      <w:r>
        <w:rPr>
          <w:color w:val="273540"/>
        </w:rPr>
        <w:t xml:space="preserve">The clinical presentation of Ms. Rosa M. indicates frailty, as opposed to normal aging, that consists of unintentional weight loss, diminished grip strength, and slow gait speed. These biological markers refer to the fact that she is highly susceptible to stressors, and that is why her condition is not comparable to the normal aging deterioration (Fried et al., 2021). Hence, the complex interaction of nutritional deficiencies, sensory deficiency, and functional restriction must be given the </w:t>
      </w:r>
      <w:proofErr w:type="gramStart"/>
      <w:r>
        <w:rPr>
          <w:color w:val="273540"/>
        </w:rPr>
        <w:t>first priority</w:t>
      </w:r>
      <w:proofErr w:type="gramEnd"/>
      <w:r>
        <w:rPr>
          <w:color w:val="273540"/>
        </w:rPr>
        <w:t xml:space="preserve">. Her low body mass index and loss of appetite are combined with financial pressure, which requires </w:t>
      </w:r>
      <w:proofErr w:type="gramStart"/>
      <w:r>
        <w:rPr>
          <w:color w:val="273540"/>
        </w:rPr>
        <w:t>an urgent</w:t>
      </w:r>
      <w:proofErr w:type="gramEnd"/>
      <w:r>
        <w:rPr>
          <w:color w:val="273540"/>
        </w:rPr>
        <w:t xml:space="preserve"> nutritional support, which will enable one to prevent </w:t>
      </w:r>
      <w:proofErr w:type="gramStart"/>
      <w:r>
        <w:rPr>
          <w:color w:val="273540"/>
        </w:rPr>
        <w:t>the further</w:t>
      </w:r>
      <w:proofErr w:type="gramEnd"/>
      <w:r>
        <w:rPr>
          <w:color w:val="273540"/>
        </w:rPr>
        <w:t xml:space="preserve"> progress of sarcopenia and bone loss. Moreover, impaired vision with corrective glasses is also a high risk of falls particularly due to her history of osteoporosis and said she </w:t>
      </w:r>
      <w:r>
        <w:rPr>
          <w:color w:val="273540"/>
        </w:rPr>
        <w:lastRenderedPageBreak/>
        <w:t>feared falling. Another risk is that the use of proton pump inhibitors on the long-term basis may impact on the absorption of nutrients, which must be strongly reconciled to maximize her physiological reserve. Her command of English is also weak, and it complicates services and knowledge about safety measures even further.</w:t>
      </w:r>
    </w:p>
    <w:p w14:paraId="7195D79A" w14:textId="77777777" w:rsidR="00CA07EE" w:rsidRDefault="00CA07EE" w:rsidP="00CA07EE">
      <w:pPr>
        <w:pStyle w:val="NormalWeb"/>
        <w:shd w:val="clear" w:color="auto" w:fill="FFFFFF"/>
        <w:spacing w:before="180" w:beforeAutospacing="0" w:after="180" w:afterAutospacing="0" w:line="480" w:lineRule="atLeast"/>
        <w:ind w:firstLine="450"/>
        <w:rPr>
          <w:color w:val="273540"/>
        </w:rPr>
      </w:pPr>
      <w:r>
        <w:rPr>
          <w:color w:val="273540"/>
        </w:rPr>
        <w:t xml:space="preserve">To successfully counter these risks, health promotion practices should be customized to deal with underlying social determinants of health. Language barriers and social isolation need to be addressed with the incorporation of professional interpreter services and referral to community-based social support programs specifically designed to address the needs of the Spanish-speaking seniors. Additionally, it is necessary to address financial limitations by referring to nutrition assistance programs that </w:t>
      </w:r>
      <w:proofErr w:type="gramStart"/>
      <w:r>
        <w:rPr>
          <w:color w:val="273540"/>
        </w:rPr>
        <w:t>are able to</w:t>
      </w:r>
      <w:proofErr w:type="gramEnd"/>
      <w:r>
        <w:rPr>
          <w:color w:val="273540"/>
        </w:rPr>
        <w:t xml:space="preserve"> accept dietary limitations related to gastroesophageal reflux disease. It has been shown that interventions based on multidimensions, which incorporate social isolation and physical functioning, play a vital role in decreasing frailty progression in the elderly (</w:t>
      </w:r>
      <w:proofErr w:type="spellStart"/>
      <w:r>
        <w:rPr>
          <w:color w:val="273540"/>
        </w:rPr>
        <w:t>Adekpedjou</w:t>
      </w:r>
      <w:proofErr w:type="spellEnd"/>
      <w:r>
        <w:rPr>
          <w:color w:val="273540"/>
        </w:rPr>
        <w:t xml:space="preserve"> et al., 2023). Clinicians can make Ms. M. independent and minimize the risk of adverse events by organizing the use of transportation to go to medical appointments and making sure that her home is safe. Referrals to physical therapy should be based on </w:t>
      </w:r>
      <w:proofErr w:type="gramStart"/>
      <w:r>
        <w:rPr>
          <w:color w:val="273540"/>
        </w:rPr>
        <w:t>the strength</w:t>
      </w:r>
      <w:proofErr w:type="gramEnd"/>
      <w:r>
        <w:rPr>
          <w:color w:val="273540"/>
        </w:rPr>
        <w:t xml:space="preserve"> training to enhance the gait velocity and confidence. The holistic approach that takes into consideration her socioeconomic background is necessary to enhance the outcomes and make medical suggestions acceptable in her existential reality.</w:t>
      </w:r>
    </w:p>
    <w:p w14:paraId="0AE57441" w14:textId="77777777" w:rsidR="00CA07EE" w:rsidRDefault="00CA07EE"/>
    <w:sectPr w:rsidR="00CA07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6164F"/>
    <w:multiLevelType w:val="multilevel"/>
    <w:tmpl w:val="32E85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715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EE"/>
    <w:rsid w:val="00377E8A"/>
    <w:rsid w:val="008E1AEB"/>
    <w:rsid w:val="00A22675"/>
    <w:rsid w:val="00CA07EE"/>
    <w:rsid w:val="00E01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570EF"/>
  <w15:chartTrackingRefBased/>
  <w15:docId w15:val="{2B887FB1-63B6-45F6-B8F6-71BE604F7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7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07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07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07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7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7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7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7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7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7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07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07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07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7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7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7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7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7EE"/>
    <w:rPr>
      <w:rFonts w:eastAsiaTheme="majorEastAsia" w:cstheme="majorBidi"/>
      <w:color w:val="272727" w:themeColor="text1" w:themeTint="D8"/>
    </w:rPr>
  </w:style>
  <w:style w:type="paragraph" w:styleId="Title">
    <w:name w:val="Title"/>
    <w:basedOn w:val="Normal"/>
    <w:next w:val="Normal"/>
    <w:link w:val="TitleChar"/>
    <w:uiPriority w:val="10"/>
    <w:qFormat/>
    <w:rsid w:val="00CA07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7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7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7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7EE"/>
    <w:pPr>
      <w:spacing w:before="160"/>
      <w:jc w:val="center"/>
    </w:pPr>
    <w:rPr>
      <w:i/>
      <w:iCs/>
      <w:color w:val="404040" w:themeColor="text1" w:themeTint="BF"/>
    </w:rPr>
  </w:style>
  <w:style w:type="character" w:customStyle="1" w:styleId="QuoteChar">
    <w:name w:val="Quote Char"/>
    <w:basedOn w:val="DefaultParagraphFont"/>
    <w:link w:val="Quote"/>
    <w:uiPriority w:val="29"/>
    <w:rsid w:val="00CA07EE"/>
    <w:rPr>
      <w:i/>
      <w:iCs/>
      <w:color w:val="404040" w:themeColor="text1" w:themeTint="BF"/>
    </w:rPr>
  </w:style>
  <w:style w:type="paragraph" w:styleId="ListParagraph">
    <w:name w:val="List Paragraph"/>
    <w:basedOn w:val="Normal"/>
    <w:uiPriority w:val="34"/>
    <w:qFormat/>
    <w:rsid w:val="00CA07EE"/>
    <w:pPr>
      <w:ind w:left="720"/>
      <w:contextualSpacing/>
    </w:pPr>
  </w:style>
  <w:style w:type="character" w:styleId="IntenseEmphasis">
    <w:name w:val="Intense Emphasis"/>
    <w:basedOn w:val="DefaultParagraphFont"/>
    <w:uiPriority w:val="21"/>
    <w:qFormat/>
    <w:rsid w:val="00CA07EE"/>
    <w:rPr>
      <w:i/>
      <w:iCs/>
      <w:color w:val="0F4761" w:themeColor="accent1" w:themeShade="BF"/>
    </w:rPr>
  </w:style>
  <w:style w:type="paragraph" w:styleId="IntenseQuote">
    <w:name w:val="Intense Quote"/>
    <w:basedOn w:val="Normal"/>
    <w:next w:val="Normal"/>
    <w:link w:val="IntenseQuoteChar"/>
    <w:uiPriority w:val="30"/>
    <w:qFormat/>
    <w:rsid w:val="00CA07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7EE"/>
    <w:rPr>
      <w:i/>
      <w:iCs/>
      <w:color w:val="0F4761" w:themeColor="accent1" w:themeShade="BF"/>
    </w:rPr>
  </w:style>
  <w:style w:type="character" w:styleId="IntenseReference">
    <w:name w:val="Intense Reference"/>
    <w:basedOn w:val="DefaultParagraphFont"/>
    <w:uiPriority w:val="32"/>
    <w:qFormat/>
    <w:rsid w:val="00CA07EE"/>
    <w:rPr>
      <w:b/>
      <w:bCs/>
      <w:smallCaps/>
      <w:color w:val="0F4761" w:themeColor="accent1" w:themeShade="BF"/>
      <w:spacing w:val="5"/>
    </w:rPr>
  </w:style>
  <w:style w:type="paragraph" w:styleId="NormalWeb">
    <w:name w:val="Normal (Web)"/>
    <w:basedOn w:val="Normal"/>
    <w:uiPriority w:val="99"/>
    <w:semiHidden/>
    <w:unhideWhenUsed/>
    <w:rsid w:val="00CA07E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A0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5901</Characters>
  <Application>Microsoft Office Word</Application>
  <DocSecurity>0</DocSecurity>
  <Lines>49</Lines>
  <Paragraphs>13</Paragraphs>
  <ScaleCrop>false</ScaleCrop>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Lopez</dc:creator>
  <cp:keywords/>
  <dc:description/>
  <cp:lastModifiedBy>Melissa Lopez</cp:lastModifiedBy>
  <cp:revision>1</cp:revision>
  <dcterms:created xsi:type="dcterms:W3CDTF">2026-03-21T02:00:00Z</dcterms:created>
  <dcterms:modified xsi:type="dcterms:W3CDTF">2026-03-21T02:02:00Z</dcterms:modified>
</cp:coreProperties>
</file>