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5F01C2" w14:textId="4C18CA6D" w:rsidR="00FD4983" w:rsidRDefault="00FD4983">
      <w:r>
        <w:t>Part 1</w:t>
      </w:r>
    </w:p>
    <w:p w14:paraId="03ED28E4" w14:textId="77777777" w:rsidR="00FD4983" w:rsidRPr="00FD4983" w:rsidRDefault="00FD4983" w:rsidP="00FD4983">
      <w:pPr>
        <w:spacing w:before="100" w:beforeAutospacing="1" w:after="100" w:afterAutospacing="1" w:line="240" w:lineRule="auto"/>
        <w:rPr>
          <w:rFonts w:ascii="Lato" w:hAnsi="Lato" w:cs="Times New Roman"/>
          <w:color w:val="273540"/>
          <w:kern w:val="0"/>
          <w14:ligatures w14:val="none"/>
        </w:rPr>
      </w:pPr>
      <w:r w:rsidRPr="00FD4983">
        <w:rPr>
          <w:rFonts w:ascii="Lato" w:hAnsi="Lato" w:cs="Times New Roman"/>
          <w:color w:val="273540"/>
          <w:kern w:val="0"/>
          <w14:ligatures w14:val="none"/>
        </w:rPr>
        <w:t>You can think of the process of informed decision making and judgment as a journey. This week you will begin the journey by addressing the essentials of understanding management problems and opportunities. To do so, you will need to ask the right questions and seek the right information to guide your efforts to formulate a management problem or opportunity.</w:t>
      </w:r>
    </w:p>
    <w:p w14:paraId="3C46640E" w14:textId="77777777" w:rsidR="00FD4983" w:rsidRPr="00FD4983" w:rsidRDefault="00FD4983" w:rsidP="00FD4983">
      <w:pPr>
        <w:spacing w:before="100" w:beforeAutospacing="1" w:after="100" w:afterAutospacing="1" w:line="240" w:lineRule="auto"/>
        <w:rPr>
          <w:rFonts w:ascii="Lato" w:hAnsi="Lato" w:cs="Times New Roman"/>
          <w:color w:val="273540"/>
          <w:kern w:val="0"/>
          <w14:ligatures w14:val="none"/>
        </w:rPr>
      </w:pPr>
      <w:r w:rsidRPr="00FD4983">
        <w:rPr>
          <w:rFonts w:ascii="Lato" w:hAnsi="Lato" w:cs="Times New Roman"/>
          <w:color w:val="273540"/>
          <w:kern w:val="0"/>
          <w14:ligatures w14:val="none"/>
        </w:rPr>
        <w:t>Begin by thinking about your thinking. “To get better answers, you need to ask better questions” (McClellan, 2014, p. 18). Such questions might include the following: What is a problem or opportunity? Where do I need to go to gather information about problems and opportunities? What am I looking for? What do I need to do with the information I gather? How will I know that I have sufficient information?</w:t>
      </w:r>
    </w:p>
    <w:p w14:paraId="737953E2" w14:textId="77777777" w:rsidR="00FD4983" w:rsidRPr="00FD4983" w:rsidRDefault="00FD4983" w:rsidP="00FD4983">
      <w:pPr>
        <w:spacing w:before="100" w:beforeAutospacing="1" w:after="100" w:afterAutospacing="1" w:line="240" w:lineRule="auto"/>
        <w:rPr>
          <w:rFonts w:ascii="Lato" w:hAnsi="Lato" w:cs="Times New Roman"/>
          <w:color w:val="273540"/>
          <w:kern w:val="0"/>
          <w14:ligatures w14:val="none"/>
        </w:rPr>
      </w:pPr>
      <w:r w:rsidRPr="00FD4983">
        <w:rPr>
          <w:rFonts w:ascii="Lato" w:hAnsi="Lato" w:cs="Times New Roman"/>
          <w:b/>
          <w:bCs/>
          <w:color w:val="273540"/>
          <w:kern w:val="0"/>
          <w14:ligatures w14:val="none"/>
        </w:rPr>
        <w:t>To prepare for this Discussion</w:t>
      </w:r>
      <w:r w:rsidRPr="00FD4983">
        <w:rPr>
          <w:rFonts w:ascii="Lato" w:hAnsi="Lato" w:cs="Times New Roman"/>
          <w:color w:val="273540"/>
          <w:kern w:val="0"/>
          <w14:ligatures w14:val="none"/>
        </w:rPr>
        <w:t>, visit the PhD Management Business Intelligence Center Document and consider the size and scope of a management problem or opportunity in one of the following areas:</w:t>
      </w:r>
    </w:p>
    <w:p w14:paraId="10940D66" w14:textId="77777777" w:rsidR="00FD4983" w:rsidRPr="00FD4983" w:rsidRDefault="00FD4983" w:rsidP="00FD4983">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D4983">
        <w:rPr>
          <w:rFonts w:ascii="Lato" w:eastAsia="Times New Roman" w:hAnsi="Lato" w:cs="Times New Roman"/>
          <w:color w:val="273540"/>
          <w:kern w:val="0"/>
          <w14:ligatures w14:val="none"/>
        </w:rPr>
        <w:t>Growth strategies</w:t>
      </w:r>
    </w:p>
    <w:p w14:paraId="1AD2C51E" w14:textId="77777777" w:rsidR="00FD4983" w:rsidRPr="00FD4983" w:rsidRDefault="00FD4983" w:rsidP="00FD4983">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D4983">
        <w:rPr>
          <w:rFonts w:ascii="Lato" w:eastAsia="Times New Roman" w:hAnsi="Lato" w:cs="Times New Roman"/>
          <w:color w:val="273540"/>
          <w:kern w:val="0"/>
          <w14:ligatures w14:val="none"/>
        </w:rPr>
        <w:t>New executive team policies</w:t>
      </w:r>
    </w:p>
    <w:p w14:paraId="22E0D92E" w14:textId="77777777" w:rsidR="00FD4983" w:rsidRPr="00FD4983" w:rsidRDefault="00FD4983" w:rsidP="00FD4983">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D4983">
        <w:rPr>
          <w:rFonts w:ascii="Lato" w:eastAsia="Times New Roman" w:hAnsi="Lato" w:cs="Times New Roman"/>
          <w:color w:val="273540"/>
          <w:kern w:val="0"/>
          <w14:ligatures w14:val="none"/>
        </w:rPr>
        <w:t>Mergers and acquisitions</w:t>
      </w:r>
    </w:p>
    <w:p w14:paraId="26F885EA" w14:textId="77777777" w:rsidR="00FD4983" w:rsidRPr="00FD4983" w:rsidRDefault="00FD4983" w:rsidP="00FD4983">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D4983">
        <w:rPr>
          <w:rFonts w:ascii="Lato" w:eastAsia="Times New Roman" w:hAnsi="Lato" w:cs="Times New Roman"/>
          <w:color w:val="273540"/>
          <w:kern w:val="0"/>
          <w14:ligatures w14:val="none"/>
        </w:rPr>
        <w:t>Strategy or operating model changes</w:t>
      </w:r>
    </w:p>
    <w:p w14:paraId="2736316F" w14:textId="77777777" w:rsidR="00FD4983" w:rsidRPr="00FD4983" w:rsidRDefault="00FD4983" w:rsidP="00FD4983">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D4983">
        <w:rPr>
          <w:rFonts w:ascii="Lato" w:eastAsia="Times New Roman" w:hAnsi="Lato" w:cs="Times New Roman"/>
          <w:color w:val="273540"/>
          <w:kern w:val="0"/>
          <w14:ligatures w14:val="none"/>
        </w:rPr>
        <w:t>Quality focus and regulatory changes</w:t>
      </w:r>
    </w:p>
    <w:p w14:paraId="6513377A" w14:textId="77777777" w:rsidR="00FD4983" w:rsidRPr="00FD4983" w:rsidRDefault="00FD4983" w:rsidP="00FD4983">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D4983">
        <w:rPr>
          <w:rFonts w:ascii="Lato" w:eastAsia="Times New Roman" w:hAnsi="Lato" w:cs="Times New Roman"/>
          <w:color w:val="273540"/>
          <w:kern w:val="0"/>
          <w14:ligatures w14:val="none"/>
        </w:rPr>
        <w:t>Increased speed to market</w:t>
      </w:r>
    </w:p>
    <w:p w14:paraId="2D444074" w14:textId="77777777" w:rsidR="00FD4983" w:rsidRPr="00FD4983" w:rsidRDefault="00FD4983" w:rsidP="00FD4983">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D4983">
        <w:rPr>
          <w:rFonts w:ascii="Lato" w:eastAsia="Times New Roman" w:hAnsi="Lato" w:cs="Times New Roman"/>
          <w:color w:val="273540"/>
          <w:kern w:val="0"/>
          <w14:ligatures w14:val="none"/>
        </w:rPr>
        <w:t>Enterprise transformation program</w:t>
      </w:r>
    </w:p>
    <w:p w14:paraId="2E6962A8" w14:textId="77777777" w:rsidR="00FD4983" w:rsidRPr="00FD4983" w:rsidRDefault="00FD4983" w:rsidP="00FD4983">
      <w:pPr>
        <w:numPr>
          <w:ilvl w:val="0"/>
          <w:numId w:val="1"/>
        </w:numPr>
        <w:spacing w:before="100" w:beforeAutospacing="1" w:after="100" w:afterAutospacing="1" w:line="240" w:lineRule="auto"/>
        <w:rPr>
          <w:rFonts w:ascii="Lato" w:eastAsia="Times New Roman" w:hAnsi="Lato" w:cs="Times New Roman"/>
          <w:color w:val="273540"/>
          <w:kern w:val="0"/>
          <w14:ligatures w14:val="none"/>
        </w:rPr>
      </w:pPr>
      <w:r w:rsidRPr="00FD4983">
        <w:rPr>
          <w:rFonts w:ascii="Lato" w:eastAsia="Times New Roman" w:hAnsi="Lato" w:cs="Times New Roman"/>
          <w:color w:val="273540"/>
          <w:kern w:val="0"/>
          <w14:ligatures w14:val="none"/>
        </w:rPr>
        <w:t xml:space="preserve">Complex, </w:t>
      </w:r>
      <w:proofErr w:type="spellStart"/>
      <w:r w:rsidRPr="00FD4983">
        <w:rPr>
          <w:rFonts w:ascii="Lato" w:eastAsia="Times New Roman" w:hAnsi="Lato" w:cs="Times New Roman"/>
          <w:color w:val="273540"/>
          <w:kern w:val="0"/>
          <w14:ligatures w14:val="none"/>
        </w:rPr>
        <w:t>matrixed</w:t>
      </w:r>
      <w:proofErr w:type="spellEnd"/>
      <w:r w:rsidRPr="00FD4983">
        <w:rPr>
          <w:rFonts w:ascii="Lato" w:eastAsia="Times New Roman" w:hAnsi="Lato" w:cs="Times New Roman"/>
          <w:color w:val="273540"/>
          <w:kern w:val="0"/>
          <w14:ligatures w14:val="none"/>
        </w:rPr>
        <w:t xml:space="preserve"> organization design</w:t>
      </w:r>
    </w:p>
    <w:p w14:paraId="0B41D343" w14:textId="1B759B4A" w:rsidR="00FD4983" w:rsidRDefault="004B0F6F">
      <w:pPr>
        <w:rPr>
          <w:rFonts w:ascii="Lato" w:eastAsia="Times New Roman" w:hAnsi="Lato"/>
          <w:color w:val="273540"/>
          <w:shd w:val="clear" w:color="auto" w:fill="FFFFFF"/>
        </w:rPr>
      </w:pPr>
      <w:r>
        <w:rPr>
          <w:rStyle w:val="Strong"/>
          <w:rFonts w:ascii="Lato" w:eastAsia="Times New Roman" w:hAnsi="Lato"/>
          <w:color w:val="273540"/>
        </w:rPr>
        <w:t>Post</w:t>
      </w:r>
      <w:r>
        <w:rPr>
          <w:rStyle w:val="apple-converted-space"/>
          <w:rFonts w:ascii="Lato" w:eastAsia="Times New Roman" w:hAnsi="Lato"/>
          <w:b/>
          <w:bCs/>
          <w:color w:val="273540"/>
        </w:rPr>
        <w:t> </w:t>
      </w:r>
      <w:r>
        <w:rPr>
          <w:rFonts w:ascii="Lato" w:eastAsia="Times New Roman" w:hAnsi="Lato"/>
          <w:color w:val="273540"/>
          <w:shd w:val="clear" w:color="auto" w:fill="FFFFFF"/>
        </w:rPr>
        <w:t>the description of the management problem or opportunity you identified. Refer to concepts in the literature to explain the magnitude of the problem or opportunity in theoretical terms.</w:t>
      </w:r>
    </w:p>
    <w:p w14:paraId="0532220B" w14:textId="77777777" w:rsidR="00346281" w:rsidRDefault="00346281">
      <w:pPr>
        <w:rPr>
          <w:rFonts w:ascii="Lato" w:eastAsia="Times New Roman" w:hAnsi="Lato"/>
          <w:color w:val="273540"/>
          <w:shd w:val="clear" w:color="auto" w:fill="FFFFFF"/>
        </w:rPr>
      </w:pPr>
    </w:p>
    <w:p w14:paraId="03F6D22C" w14:textId="250BDA20" w:rsidR="00346281" w:rsidRDefault="00346281">
      <w:pPr>
        <w:rPr>
          <w:rFonts w:ascii="Lato" w:eastAsia="Times New Roman" w:hAnsi="Lato"/>
          <w:color w:val="273540"/>
          <w:shd w:val="clear" w:color="auto" w:fill="FFFFFF"/>
        </w:rPr>
      </w:pPr>
      <w:r>
        <w:rPr>
          <w:rFonts w:ascii="Lato" w:eastAsia="Times New Roman" w:hAnsi="Lato"/>
          <w:color w:val="273540"/>
          <w:shd w:val="clear" w:color="auto" w:fill="FFFFFF"/>
        </w:rPr>
        <w:t xml:space="preserve">Part2 </w:t>
      </w:r>
    </w:p>
    <w:p w14:paraId="11EC5E4E" w14:textId="77777777" w:rsidR="00346281" w:rsidRDefault="00346281">
      <w:pPr>
        <w:pStyle w:val="NormalWeb"/>
        <w:rPr>
          <w:rFonts w:ascii="Lato" w:hAnsi="Lato"/>
          <w:color w:val="273540"/>
        </w:rPr>
      </w:pPr>
      <w:r>
        <w:rPr>
          <w:rStyle w:val="Strong"/>
          <w:rFonts w:ascii="Lato" w:hAnsi="Lato"/>
          <w:color w:val="273540"/>
        </w:rPr>
        <w:t>Post</w:t>
      </w:r>
      <w:r>
        <w:rPr>
          <w:rStyle w:val="apple-converted-space"/>
          <w:rFonts w:ascii="Lato" w:hAnsi="Lato"/>
          <w:b/>
          <w:bCs/>
          <w:color w:val="273540"/>
        </w:rPr>
        <w:t> </w:t>
      </w:r>
      <w:r>
        <w:rPr>
          <w:rFonts w:ascii="Lato" w:hAnsi="Lato"/>
          <w:color w:val="273540"/>
        </w:rPr>
        <w:t>a reflection on what you learned, what surprised you about the topic, what you still need to understand about the topic, and what you learned from your classmates.</w:t>
      </w:r>
    </w:p>
    <w:p w14:paraId="33EA8265" w14:textId="77777777" w:rsidR="00346281" w:rsidRDefault="00346281">
      <w:pPr>
        <w:pStyle w:val="NormalWeb"/>
        <w:rPr>
          <w:rFonts w:ascii="Lato" w:hAnsi="Lato"/>
          <w:color w:val="273540"/>
        </w:rPr>
      </w:pPr>
      <w:r>
        <w:rPr>
          <w:rStyle w:val="Strong"/>
          <w:rFonts w:ascii="Lato" w:hAnsi="Lato"/>
          <w:color w:val="273540"/>
        </w:rPr>
        <w:t>Note:</w:t>
      </w:r>
      <w:r>
        <w:rPr>
          <w:rStyle w:val="apple-converted-space"/>
          <w:rFonts w:ascii="Lato" w:hAnsi="Lato"/>
          <w:b/>
          <w:bCs/>
          <w:color w:val="273540"/>
        </w:rPr>
        <w:t> </w:t>
      </w:r>
      <w:r>
        <w:rPr>
          <w:rFonts w:ascii="Lato" w:hAnsi="Lato"/>
          <w:color w:val="273540"/>
        </w:rPr>
        <w:t>Include proper APA citations to support all statements by referencing at least two sources from this week’s recommended readings and two additional sources from relevant peer-reviewed publications.</w:t>
      </w:r>
    </w:p>
    <w:p w14:paraId="097CB678" w14:textId="531E858B" w:rsidR="00346281" w:rsidRDefault="00346281">
      <w:pPr>
        <w:rPr>
          <w:rFonts w:ascii="Lato" w:eastAsia="Times New Roman" w:hAnsi="Lato"/>
          <w:color w:val="273540"/>
          <w:shd w:val="clear" w:color="auto" w:fill="FFFFFF"/>
        </w:rPr>
      </w:pPr>
    </w:p>
    <w:p w14:paraId="4922E7E1" w14:textId="77777777" w:rsidR="00A22C22" w:rsidRDefault="00A22C22">
      <w:pPr>
        <w:rPr>
          <w:rFonts w:ascii="Lato" w:eastAsia="Times New Roman" w:hAnsi="Lato"/>
          <w:color w:val="273540"/>
          <w:shd w:val="clear" w:color="auto" w:fill="FFFFFF"/>
        </w:rPr>
      </w:pPr>
    </w:p>
    <w:p w14:paraId="71B94694" w14:textId="77777777" w:rsidR="00A22C22" w:rsidRDefault="00A22C22">
      <w:pPr>
        <w:rPr>
          <w:rFonts w:ascii="Lato" w:eastAsia="Times New Roman" w:hAnsi="Lato"/>
          <w:color w:val="273540"/>
          <w:shd w:val="clear" w:color="auto" w:fill="FFFFFF"/>
        </w:rPr>
      </w:pPr>
    </w:p>
    <w:p w14:paraId="79329447" w14:textId="77777777" w:rsidR="00A22C22" w:rsidRDefault="00A22C22">
      <w:pPr>
        <w:rPr>
          <w:rFonts w:ascii="Lato" w:eastAsia="Times New Roman" w:hAnsi="Lato"/>
          <w:color w:val="273540"/>
          <w:shd w:val="clear" w:color="auto" w:fill="FFFFFF"/>
        </w:rPr>
      </w:pPr>
    </w:p>
    <w:p w14:paraId="5DED564D" w14:textId="77777777" w:rsidR="00A22C22" w:rsidRDefault="00A22C22">
      <w:pPr>
        <w:rPr>
          <w:rFonts w:ascii="Lato" w:eastAsia="Times New Roman" w:hAnsi="Lato"/>
          <w:color w:val="273540"/>
          <w:shd w:val="clear" w:color="auto" w:fill="FFFFFF"/>
        </w:rPr>
      </w:pPr>
    </w:p>
    <w:p w14:paraId="34904EBA" w14:textId="77777777" w:rsidR="00A22C22" w:rsidRDefault="00A22C22">
      <w:pPr>
        <w:rPr>
          <w:rFonts w:ascii="Lato" w:eastAsia="Times New Roman" w:hAnsi="Lato"/>
          <w:color w:val="273540"/>
          <w:shd w:val="clear" w:color="auto" w:fill="FFFFFF"/>
        </w:rPr>
      </w:pPr>
    </w:p>
    <w:p w14:paraId="01F9A695" w14:textId="77777777" w:rsidR="00A22C22" w:rsidRDefault="00A22C22">
      <w:pPr>
        <w:rPr>
          <w:rFonts w:ascii="Lato" w:eastAsia="Times New Roman" w:hAnsi="Lato"/>
          <w:color w:val="273540"/>
          <w:shd w:val="clear" w:color="auto" w:fill="FFFFFF"/>
        </w:rPr>
      </w:pPr>
    </w:p>
    <w:p w14:paraId="62841572" w14:textId="77777777" w:rsidR="00A22C22" w:rsidRDefault="00A22C22">
      <w:pPr>
        <w:rPr>
          <w:rFonts w:ascii="Lato" w:eastAsia="Times New Roman" w:hAnsi="Lato"/>
          <w:color w:val="273540"/>
          <w:shd w:val="clear" w:color="auto" w:fill="FFFFFF"/>
        </w:rPr>
      </w:pPr>
    </w:p>
    <w:p w14:paraId="6EDC7CD3" w14:textId="77777777" w:rsidR="00A22C22" w:rsidRDefault="00A22C22">
      <w:pPr>
        <w:rPr>
          <w:rFonts w:ascii="Lato" w:eastAsia="Times New Roman" w:hAnsi="Lato"/>
          <w:color w:val="273540"/>
          <w:shd w:val="clear" w:color="auto" w:fill="FFFFFF"/>
        </w:rPr>
      </w:pPr>
    </w:p>
    <w:p w14:paraId="7032D71B" w14:textId="54623C8B" w:rsidR="00A22C22" w:rsidRDefault="00247EB0">
      <w:pPr>
        <w:rPr>
          <w:rFonts w:ascii="Lato" w:eastAsia="Times New Roman" w:hAnsi="Lato"/>
          <w:color w:val="273540"/>
          <w:shd w:val="clear" w:color="auto" w:fill="FFFFFF"/>
        </w:rPr>
      </w:pPr>
      <w:r>
        <w:rPr>
          <w:rFonts w:ascii="Lato" w:eastAsia="Times New Roman" w:hAnsi="Lato"/>
          <w:color w:val="273540"/>
          <w:shd w:val="clear" w:color="auto" w:fill="FFFFFF"/>
        </w:rPr>
        <w:t>Part 3</w:t>
      </w:r>
    </w:p>
    <w:p w14:paraId="01A28667" w14:textId="475847C4" w:rsidR="00247EB0" w:rsidRDefault="00247EB0">
      <w:pPr>
        <w:rPr>
          <w:rFonts w:ascii="Lato" w:eastAsia="Times New Roman" w:hAnsi="Lato"/>
          <w:color w:val="273540"/>
          <w:shd w:val="clear" w:color="auto" w:fill="FFFFFF"/>
        </w:rPr>
      </w:pPr>
      <w:r>
        <w:rPr>
          <w:rFonts w:ascii="Lato" w:eastAsia="Times New Roman" w:hAnsi="Lato"/>
          <w:color w:val="273540"/>
          <w:shd w:val="clear" w:color="auto" w:fill="FFFFFF"/>
        </w:rPr>
        <w:t xml:space="preserve">Response to </w:t>
      </w:r>
      <w:r w:rsidR="00F35B29">
        <w:rPr>
          <w:rFonts w:ascii="Lato" w:eastAsia="Times New Roman" w:hAnsi="Lato"/>
          <w:color w:val="273540"/>
          <w:shd w:val="clear" w:color="auto" w:fill="FFFFFF"/>
        </w:rPr>
        <w:t xml:space="preserve">classmates </w:t>
      </w:r>
      <w:r w:rsidR="00B0169A">
        <w:rPr>
          <w:rFonts w:ascii="Lato" w:eastAsia="Times New Roman" w:hAnsi="Lato"/>
          <w:color w:val="273540"/>
          <w:shd w:val="clear" w:color="auto" w:fill="FFFFFF"/>
        </w:rPr>
        <w:t xml:space="preserve">discussion </w:t>
      </w:r>
    </w:p>
    <w:p w14:paraId="69115A98" w14:textId="77777777" w:rsidR="00B0169A" w:rsidRDefault="00B0169A">
      <w:pPr>
        <w:rPr>
          <w:rFonts w:ascii="Lato" w:eastAsia="Times New Roman" w:hAnsi="Lato"/>
          <w:color w:val="273540"/>
          <w:shd w:val="clear" w:color="auto" w:fill="FFFFFF"/>
        </w:rPr>
      </w:pPr>
    </w:p>
    <w:p w14:paraId="3C1F52A0" w14:textId="77777777" w:rsidR="00B0169A" w:rsidRDefault="00B0169A">
      <w:pPr>
        <w:pStyle w:val="NormalWeb"/>
        <w:spacing w:before="0" w:beforeAutospacing="0" w:after="180" w:afterAutospacing="0"/>
        <w:jc w:val="center"/>
        <w:rPr>
          <w:rFonts w:ascii="Lato" w:hAnsi="Lato"/>
          <w:color w:val="273540"/>
        </w:rPr>
      </w:pPr>
      <w:r>
        <w:rPr>
          <w:rStyle w:val="Strong"/>
          <w:rFonts w:ascii="Lato" w:hAnsi="Lato"/>
          <w:color w:val="273540"/>
        </w:rPr>
        <w:t>The Gap Between Employee Training and Learning Transfer</w:t>
      </w:r>
    </w:p>
    <w:p w14:paraId="18B1A95B" w14:textId="77777777" w:rsidR="00B0169A" w:rsidRDefault="00B0169A">
      <w:pPr>
        <w:pStyle w:val="NormalWeb"/>
        <w:spacing w:before="180" w:beforeAutospacing="0" w:after="180" w:afterAutospacing="0"/>
        <w:rPr>
          <w:rFonts w:ascii="Lato" w:hAnsi="Lato"/>
          <w:color w:val="273540"/>
        </w:rPr>
      </w:pPr>
      <w:r>
        <w:rPr>
          <w:rFonts w:ascii="Lato" w:hAnsi="Lato"/>
          <w:color w:val="273540"/>
        </w:rPr>
        <w:t>Organizations invest in employee training and professional development to improve knowledge, skills, and performance. However, training alone does not ensure employees will use new skills in their work. This challenge, known as the transfer of learning or training transfer problem, is a significant management concern. O’Neill (2025) defines transfer as the application of learned competencies in the workplace and notes that successful transfer requires both initial application and ongoing maintenance. Without effective transfer, organizations may not realize the intended benefits of employee development.</w:t>
      </w:r>
    </w:p>
    <w:p w14:paraId="72BACABE" w14:textId="77777777" w:rsidR="00B0169A" w:rsidRDefault="00B0169A">
      <w:pPr>
        <w:pStyle w:val="NormalWeb"/>
        <w:spacing w:before="180" w:beforeAutospacing="0" w:after="180" w:afterAutospacing="0"/>
        <w:rPr>
          <w:rFonts w:ascii="Lato" w:hAnsi="Lato"/>
          <w:color w:val="273540"/>
        </w:rPr>
      </w:pPr>
      <w:r>
        <w:rPr>
          <w:rFonts w:ascii="Lato" w:hAnsi="Lato"/>
          <w:color w:val="273540"/>
        </w:rPr>
        <w:t xml:space="preserve">The Business Intelligence Center (n.d.) recommends examining both broad and specific aspects of management problems to understand their context and identify key issues. Ineffective learning transfer is not just an individual employee's challenge; it is a broader management issue involving employees, training design, leadership support, and the organizational environment. </w:t>
      </w:r>
      <w:proofErr w:type="spellStart"/>
      <w:r>
        <w:rPr>
          <w:rFonts w:ascii="Lato" w:hAnsi="Lato"/>
          <w:color w:val="273540"/>
        </w:rPr>
        <w:t>Shukla</w:t>
      </w:r>
      <w:proofErr w:type="spellEnd"/>
      <w:r>
        <w:rPr>
          <w:rFonts w:ascii="Lato" w:hAnsi="Lato"/>
          <w:color w:val="273540"/>
        </w:rPr>
        <w:t xml:space="preserve"> et al. (2024) identified four main categories influencing online training transfer: digital literacy and attitudes, learner characteristics, training design and planning, and organizational factors. These findings highlight the manager’s role in creating conditions that enable employees to apply new knowledge and skills.</w:t>
      </w:r>
    </w:p>
    <w:p w14:paraId="0300CE31" w14:textId="77777777" w:rsidR="00B0169A" w:rsidRDefault="00B0169A">
      <w:pPr>
        <w:pStyle w:val="NormalWeb"/>
        <w:spacing w:before="180" w:beforeAutospacing="0" w:after="180" w:afterAutospacing="0"/>
        <w:jc w:val="center"/>
        <w:rPr>
          <w:rFonts w:ascii="Lato" w:hAnsi="Lato"/>
          <w:color w:val="273540"/>
        </w:rPr>
      </w:pPr>
      <w:r>
        <w:rPr>
          <w:rStyle w:val="Strong"/>
          <w:rFonts w:ascii="Lato" w:hAnsi="Lato"/>
          <w:color w:val="273540"/>
        </w:rPr>
        <w:t>Magnitude of the Management Problem</w:t>
      </w:r>
    </w:p>
    <w:p w14:paraId="50F2E852" w14:textId="77777777" w:rsidR="00B0169A" w:rsidRDefault="00B0169A">
      <w:pPr>
        <w:pStyle w:val="NormalWeb"/>
        <w:spacing w:before="180" w:beforeAutospacing="0" w:after="180" w:afterAutospacing="0"/>
        <w:rPr>
          <w:rFonts w:ascii="Lato" w:hAnsi="Lato"/>
          <w:color w:val="273540"/>
        </w:rPr>
      </w:pPr>
      <w:r>
        <w:rPr>
          <w:rFonts w:ascii="Lato" w:hAnsi="Lato"/>
          <w:color w:val="273540"/>
        </w:rPr>
        <w:t xml:space="preserve">The scope of the learning transfer problem becomes clearer from a theoretical perspective. Baldwin and Ford's training transfer framework identifies three primary influences: trainee characteristics, training design, and the work environment. Recent research confirms the importance of these interconnected factors. For example, </w:t>
      </w:r>
      <w:proofErr w:type="spellStart"/>
      <w:r>
        <w:rPr>
          <w:rFonts w:ascii="Lato" w:hAnsi="Lato"/>
          <w:color w:val="273540"/>
        </w:rPr>
        <w:t>Hamzah</w:t>
      </w:r>
      <w:proofErr w:type="spellEnd"/>
      <w:r>
        <w:rPr>
          <w:rFonts w:ascii="Lato" w:hAnsi="Lato"/>
          <w:color w:val="273540"/>
        </w:rPr>
        <w:t xml:space="preserve"> et al. (2025) combined Baldwin and Ford's framework with the capability, opportunity, and motivation-behavior model to create the Capability, Opportunity and Motivation of Professionals' Application of Soft Skills (COMPASS) framework. Their review of 91 studies identified 69 factors affecting soft-skills transfer and showed that capability, opportunity, and motivation all influence whether employees apply learning in the workplace.</w:t>
      </w:r>
    </w:p>
    <w:p w14:paraId="11C76650" w14:textId="77777777" w:rsidR="00B0169A" w:rsidRDefault="00B0169A">
      <w:pPr>
        <w:pStyle w:val="NormalWeb"/>
        <w:spacing w:before="180" w:beforeAutospacing="0" w:after="180" w:afterAutospacing="0"/>
        <w:rPr>
          <w:rFonts w:ascii="Lato" w:hAnsi="Lato"/>
          <w:color w:val="273540"/>
        </w:rPr>
      </w:pPr>
      <w:r>
        <w:rPr>
          <w:rFonts w:ascii="Lato" w:hAnsi="Lato"/>
          <w:color w:val="273540"/>
        </w:rPr>
        <w:t xml:space="preserve">This perspective demonstrates that learning transfer is a management issue, not just a training concern. Employees may have the necessary skills but lack opportunities or organizational support to apply them. Even well-designed training may have a limited impact if workplace conditions do not reinforce desired behaviors. </w:t>
      </w:r>
      <w:proofErr w:type="spellStart"/>
      <w:r>
        <w:rPr>
          <w:rFonts w:ascii="Lato" w:hAnsi="Lato"/>
          <w:color w:val="273540"/>
        </w:rPr>
        <w:t>Hamzah</w:t>
      </w:r>
      <w:proofErr w:type="spellEnd"/>
      <w:r>
        <w:rPr>
          <w:rFonts w:ascii="Lato" w:hAnsi="Lato"/>
          <w:color w:val="273540"/>
        </w:rPr>
        <w:t xml:space="preserve"> et al. (2025) emphasize that individual, training, and organizational factors all influence transfer. Managers should consider both the training process and the post-training environment, rather than assuming that training completion ensures learning transfer.</w:t>
      </w:r>
    </w:p>
    <w:p w14:paraId="29ACD159" w14:textId="77777777" w:rsidR="00B0169A" w:rsidRDefault="00B0169A">
      <w:pPr>
        <w:pStyle w:val="NormalWeb"/>
        <w:spacing w:before="180" w:beforeAutospacing="0" w:after="180" w:afterAutospacing="0"/>
        <w:rPr>
          <w:rFonts w:ascii="Lato" w:hAnsi="Lato"/>
          <w:color w:val="273540"/>
        </w:rPr>
      </w:pPr>
      <w:r>
        <w:rPr>
          <w:rFonts w:ascii="Lato" w:hAnsi="Lato"/>
          <w:color w:val="273540"/>
        </w:rPr>
        <w:t xml:space="preserve">The growth of technology-based workplace learning makes this issue even more important. O’Neill (2025) notes that e-learning transfer remains an emerging research area without a widely accepted evaluation method. Self-reports are commonly used to measure transfer, but they have limitations in assessing actual behavior change. </w:t>
      </w:r>
      <w:proofErr w:type="spellStart"/>
      <w:r>
        <w:rPr>
          <w:rFonts w:ascii="Lato" w:hAnsi="Lato"/>
          <w:color w:val="273540"/>
        </w:rPr>
        <w:t>Shukla</w:t>
      </w:r>
      <w:proofErr w:type="spellEnd"/>
      <w:r>
        <w:rPr>
          <w:rFonts w:ascii="Lato" w:hAnsi="Lato"/>
          <w:color w:val="273540"/>
        </w:rPr>
        <w:t xml:space="preserve"> et al. (2024) also highlight the need to identify conditions that help training achieve its intended outcomes, given the significant resources organizations invest in employee training.</w:t>
      </w:r>
    </w:p>
    <w:p w14:paraId="65E80558" w14:textId="77777777" w:rsidR="00B0169A" w:rsidRDefault="00B0169A">
      <w:pPr>
        <w:pStyle w:val="NormalWeb"/>
        <w:spacing w:before="180" w:beforeAutospacing="0" w:after="180" w:afterAutospacing="0"/>
        <w:rPr>
          <w:rFonts w:ascii="Lato" w:hAnsi="Lato"/>
          <w:color w:val="273540"/>
        </w:rPr>
      </w:pPr>
      <w:r>
        <w:rPr>
          <w:rFonts w:ascii="Lato" w:hAnsi="Lato"/>
          <w:color w:val="273540"/>
        </w:rPr>
        <w:t>Ultimately, management should move beyond measuring professional development by participation or completion and focus on whether employees apply and sustain new learning. Providing opportunities for practice, appropriate support, relevant learning experiences, and reinforcing environments strengthens the link between learning investments and performance. Treating learning transfer as an organizational responsibility helps managers make better decisions about how to design, support, and evaluate employee development.</w:t>
      </w:r>
    </w:p>
    <w:p w14:paraId="1121DBC9" w14:textId="77777777" w:rsidR="00B0169A" w:rsidRDefault="00B0169A">
      <w:pPr>
        <w:pStyle w:val="NormalWeb"/>
        <w:spacing w:before="180" w:beforeAutospacing="0" w:after="180" w:afterAutospacing="0"/>
        <w:rPr>
          <w:rFonts w:ascii="Lato" w:hAnsi="Lato"/>
          <w:color w:val="273540"/>
        </w:rPr>
      </w:pPr>
      <w:r>
        <w:rPr>
          <w:rStyle w:val="Strong"/>
          <w:rFonts w:ascii="Lato" w:hAnsi="Lato"/>
          <w:color w:val="273540"/>
        </w:rPr>
        <w:t>References</w:t>
      </w:r>
    </w:p>
    <w:p w14:paraId="5AF96730" w14:textId="77777777" w:rsidR="00B0169A" w:rsidRDefault="00B0169A">
      <w:pPr>
        <w:pStyle w:val="NormalWeb"/>
        <w:spacing w:before="180" w:beforeAutospacing="0" w:after="180" w:afterAutospacing="0"/>
        <w:rPr>
          <w:rFonts w:ascii="Lato" w:hAnsi="Lato"/>
          <w:color w:val="273540"/>
        </w:rPr>
      </w:pPr>
      <w:r>
        <w:rPr>
          <w:rFonts w:ascii="Lato" w:hAnsi="Lato"/>
          <w:color w:val="273540"/>
        </w:rPr>
        <w:t>Business Intelligence Center. (n.d.).</w:t>
      </w:r>
      <w:r>
        <w:rPr>
          <w:rStyle w:val="apple-converted-space"/>
          <w:rFonts w:ascii="Lato" w:hAnsi="Lato"/>
          <w:color w:val="273540"/>
        </w:rPr>
        <w:t> </w:t>
      </w:r>
      <w:r>
        <w:rPr>
          <w:rStyle w:val="Emphasis"/>
          <w:rFonts w:ascii="Lato" w:hAnsi="Lato"/>
          <w:color w:val="273540"/>
        </w:rPr>
        <w:t>Business Intelligence Center</w:t>
      </w:r>
      <w:r>
        <w:rPr>
          <w:rStyle w:val="apple-converted-space"/>
          <w:rFonts w:ascii="Lato" w:hAnsi="Lato"/>
          <w:color w:val="273540"/>
        </w:rPr>
        <w:t> </w:t>
      </w:r>
      <w:r>
        <w:rPr>
          <w:rFonts w:ascii="Lato" w:hAnsi="Lato"/>
          <w:color w:val="273540"/>
        </w:rPr>
        <w:t>[PDF]. Walden University.</w:t>
      </w:r>
    </w:p>
    <w:p w14:paraId="2CF88CFB" w14:textId="77777777" w:rsidR="00B0169A" w:rsidRDefault="00B0169A">
      <w:pPr>
        <w:pStyle w:val="NormalWeb"/>
        <w:spacing w:before="180" w:beforeAutospacing="0" w:after="180" w:afterAutospacing="0"/>
        <w:rPr>
          <w:rFonts w:ascii="Lato" w:hAnsi="Lato"/>
          <w:color w:val="273540"/>
        </w:rPr>
      </w:pPr>
      <w:proofErr w:type="spellStart"/>
      <w:r>
        <w:rPr>
          <w:rFonts w:ascii="Lato" w:hAnsi="Lato"/>
          <w:color w:val="273540"/>
        </w:rPr>
        <w:t>Hamzah</w:t>
      </w:r>
      <w:proofErr w:type="spellEnd"/>
      <w:r>
        <w:rPr>
          <w:rFonts w:ascii="Lato" w:hAnsi="Lato"/>
          <w:color w:val="273540"/>
        </w:rPr>
        <w:t xml:space="preserve">, H. A., </w:t>
      </w:r>
      <w:proofErr w:type="spellStart"/>
      <w:r>
        <w:rPr>
          <w:rFonts w:ascii="Lato" w:hAnsi="Lato"/>
          <w:color w:val="273540"/>
        </w:rPr>
        <w:t>Marcinko</w:t>
      </w:r>
      <w:proofErr w:type="spellEnd"/>
      <w:r>
        <w:rPr>
          <w:rFonts w:ascii="Lato" w:hAnsi="Lato"/>
          <w:color w:val="273540"/>
        </w:rPr>
        <w:t xml:space="preserve">, A. J., Stephens, B., &amp; </w:t>
      </w:r>
      <w:proofErr w:type="spellStart"/>
      <w:r>
        <w:rPr>
          <w:rFonts w:ascii="Lato" w:hAnsi="Lato"/>
          <w:color w:val="273540"/>
        </w:rPr>
        <w:t>Weick</w:t>
      </w:r>
      <w:proofErr w:type="spellEnd"/>
      <w:r>
        <w:rPr>
          <w:rFonts w:ascii="Lato" w:hAnsi="Lato"/>
          <w:color w:val="273540"/>
        </w:rPr>
        <w:t xml:space="preserve">, M. (2025). Making soft skills “stick”: A systematic scoping review and integrated training transfer framework grounded in </w:t>
      </w:r>
      <w:proofErr w:type="spellStart"/>
      <w:r>
        <w:rPr>
          <w:rFonts w:ascii="Lato" w:hAnsi="Lato"/>
          <w:color w:val="273540"/>
        </w:rPr>
        <w:t>behavioural</w:t>
      </w:r>
      <w:proofErr w:type="spellEnd"/>
      <w:r>
        <w:rPr>
          <w:rFonts w:ascii="Lato" w:hAnsi="Lato"/>
          <w:color w:val="273540"/>
        </w:rPr>
        <w:t xml:space="preserve"> science.</w:t>
      </w:r>
      <w:r>
        <w:rPr>
          <w:rStyle w:val="apple-converted-space"/>
          <w:rFonts w:ascii="Lato" w:hAnsi="Lato"/>
          <w:color w:val="273540"/>
        </w:rPr>
        <w:t> </w:t>
      </w:r>
      <w:r>
        <w:rPr>
          <w:rStyle w:val="Emphasis"/>
          <w:rFonts w:ascii="Lato" w:hAnsi="Lato"/>
          <w:color w:val="273540"/>
        </w:rPr>
        <w:t>European Journal of Work and Organizational Psychology, 34</w:t>
      </w:r>
      <w:r>
        <w:rPr>
          <w:rFonts w:ascii="Lato" w:hAnsi="Lato"/>
          <w:color w:val="273540"/>
        </w:rPr>
        <w:t>(2), 237–250.</w:t>
      </w:r>
      <w:r>
        <w:rPr>
          <w:rStyle w:val="apple-converted-space"/>
          <w:rFonts w:ascii="Lato" w:hAnsi="Lato"/>
          <w:color w:val="273540"/>
        </w:rPr>
        <w:t> </w:t>
      </w:r>
      <w:hyperlink r:id="rId5" w:history="1">
        <w:r>
          <w:rPr>
            <w:rStyle w:val="Hyperlink"/>
            <w:rFonts w:ascii="Lato" w:hAnsi="Lato"/>
          </w:rPr>
          <w:t>https://doi.org/10.1080/1359432X.2024.2376909</w:t>
        </w:r>
      </w:hyperlink>
    </w:p>
    <w:p w14:paraId="56454C47" w14:textId="77777777" w:rsidR="00B0169A" w:rsidRDefault="00B0169A">
      <w:pPr>
        <w:pStyle w:val="NormalWeb"/>
        <w:spacing w:before="180" w:beforeAutospacing="0" w:after="180" w:afterAutospacing="0"/>
        <w:rPr>
          <w:rFonts w:ascii="Lato" w:hAnsi="Lato"/>
          <w:color w:val="273540"/>
        </w:rPr>
      </w:pPr>
      <w:r>
        <w:rPr>
          <w:rFonts w:ascii="Lato" w:hAnsi="Lato"/>
          <w:color w:val="273540"/>
        </w:rPr>
        <w:t>O’Neill, A. (2025). Transfer of workplace e-learning: A systematic literature review.</w:t>
      </w:r>
      <w:r>
        <w:rPr>
          <w:rStyle w:val="apple-converted-space"/>
          <w:rFonts w:ascii="Lato" w:hAnsi="Lato"/>
          <w:color w:val="273540"/>
        </w:rPr>
        <w:t> </w:t>
      </w:r>
      <w:r>
        <w:rPr>
          <w:rStyle w:val="Emphasis"/>
          <w:rFonts w:ascii="Lato" w:hAnsi="Lato"/>
          <w:color w:val="273540"/>
        </w:rPr>
        <w:t>Social Sciences &amp; Humanities Open, 11</w:t>
      </w:r>
      <w:r>
        <w:rPr>
          <w:rFonts w:ascii="Lato" w:hAnsi="Lato"/>
          <w:color w:val="273540"/>
        </w:rPr>
        <w:t>, 101407.</w:t>
      </w:r>
      <w:r>
        <w:rPr>
          <w:rStyle w:val="apple-converted-space"/>
          <w:rFonts w:ascii="Lato" w:hAnsi="Lato"/>
          <w:color w:val="273540"/>
        </w:rPr>
        <w:t> </w:t>
      </w:r>
      <w:hyperlink r:id="rId6" w:history="1">
        <w:r>
          <w:rPr>
            <w:rStyle w:val="Hyperlink"/>
            <w:rFonts w:ascii="Lato" w:hAnsi="Lato"/>
          </w:rPr>
          <w:t>https://doi.org/10.1016/j.ssaho.2025.101407</w:t>
        </w:r>
      </w:hyperlink>
    </w:p>
    <w:p w14:paraId="3B8C2A7E" w14:textId="77777777" w:rsidR="00B0169A" w:rsidRDefault="00B0169A">
      <w:pPr>
        <w:pStyle w:val="NormalWeb"/>
        <w:spacing w:before="180" w:beforeAutospacing="0" w:after="180" w:afterAutospacing="0"/>
        <w:rPr>
          <w:rFonts w:ascii="Lato" w:hAnsi="Lato"/>
          <w:color w:val="273540"/>
        </w:rPr>
      </w:pPr>
      <w:proofErr w:type="spellStart"/>
      <w:r>
        <w:rPr>
          <w:rFonts w:ascii="Lato" w:hAnsi="Lato"/>
          <w:color w:val="273540"/>
        </w:rPr>
        <w:t>Shukla</w:t>
      </w:r>
      <w:proofErr w:type="spellEnd"/>
      <w:r>
        <w:rPr>
          <w:rFonts w:ascii="Lato" w:hAnsi="Lato"/>
          <w:color w:val="273540"/>
        </w:rPr>
        <w:t>, A., Dash, S., &amp; Kumar, A. (2024). Factors affecting transfer of online training: A systematic literature review and proposed taxonomy.</w:t>
      </w:r>
      <w:r>
        <w:rPr>
          <w:rStyle w:val="apple-converted-space"/>
          <w:rFonts w:ascii="Lato" w:hAnsi="Lato"/>
          <w:color w:val="273540"/>
        </w:rPr>
        <w:t> </w:t>
      </w:r>
      <w:r>
        <w:rPr>
          <w:rStyle w:val="Emphasis"/>
          <w:rFonts w:ascii="Lato" w:hAnsi="Lato"/>
          <w:color w:val="273540"/>
        </w:rPr>
        <w:t>Human Resource Development Quarterly, 35</w:t>
      </w:r>
      <w:r>
        <w:rPr>
          <w:rFonts w:ascii="Lato" w:hAnsi="Lato"/>
          <w:color w:val="273540"/>
        </w:rPr>
        <w:t>(3), 363–390.</w:t>
      </w:r>
      <w:hyperlink r:id="rId7" w:history="1">
        <w:r>
          <w:rPr>
            <w:rStyle w:val="Hyperlink"/>
            <w:rFonts w:ascii="Lato" w:hAnsi="Lato"/>
          </w:rPr>
          <w:t>https://doi.org/10.1002/hrdq.21518</w:t>
        </w:r>
      </w:hyperlink>
    </w:p>
    <w:p w14:paraId="399E4295" w14:textId="77777777" w:rsidR="00B0169A" w:rsidRDefault="00B0169A">
      <w:pPr>
        <w:rPr>
          <w:rFonts w:ascii="Lato" w:eastAsia="Times New Roman" w:hAnsi="Lato"/>
          <w:color w:val="273540"/>
          <w:shd w:val="clear" w:color="auto" w:fill="FFFFFF"/>
        </w:rPr>
      </w:pPr>
    </w:p>
    <w:p w14:paraId="3EEAF7AC" w14:textId="77777777" w:rsidR="003B06C8" w:rsidRDefault="003B06C8">
      <w:pPr>
        <w:pStyle w:val="NormalWeb"/>
        <w:spacing w:before="0" w:beforeAutospacing="0" w:after="180" w:afterAutospacing="0"/>
        <w:rPr>
          <w:rFonts w:ascii="Lato" w:hAnsi="Lato"/>
          <w:color w:val="273540"/>
        </w:rPr>
      </w:pPr>
      <w:r>
        <w:rPr>
          <w:rStyle w:val="Strong"/>
          <w:rFonts w:ascii="Lato" w:hAnsi="Lato"/>
          <w:color w:val="273540"/>
        </w:rPr>
        <w:t>Management Opportunity: Employee Retention in Hybrid Work Environments</w:t>
      </w:r>
    </w:p>
    <w:p w14:paraId="572C5EEB" w14:textId="77777777" w:rsidR="003B06C8" w:rsidRDefault="003B06C8">
      <w:pPr>
        <w:pStyle w:val="NormalWeb"/>
        <w:spacing w:before="180" w:beforeAutospacing="0" w:after="180" w:afterAutospacing="0"/>
        <w:rPr>
          <w:rFonts w:ascii="Lato" w:hAnsi="Lato"/>
          <w:color w:val="273540"/>
        </w:rPr>
      </w:pPr>
      <w:r>
        <w:rPr>
          <w:rFonts w:ascii="Lato" w:hAnsi="Lato"/>
          <w:color w:val="273540"/>
        </w:rPr>
        <w:t>The management opportunity I identified is improving employee retention in organizations that use hybrid work arrangements. Although hybrid work can give employees greater flexibility, it can also create challenges around communication, professional development, organizational culture, performance expectations, and equitable access to leadership. When organizations do not address these challenges, employees may feel disconnected from their teams, overlooked for advancement opportunities, or uncertain about how their performance is evaluated. These conditions can increase disengagement and voluntary turnover.</w:t>
      </w:r>
    </w:p>
    <w:p w14:paraId="5C424A9D" w14:textId="77777777" w:rsidR="003B06C8" w:rsidRDefault="003B06C8">
      <w:pPr>
        <w:pStyle w:val="NormalWeb"/>
        <w:spacing w:before="180" w:beforeAutospacing="0" w:after="180" w:afterAutospacing="0"/>
        <w:rPr>
          <w:rFonts w:ascii="Lato" w:hAnsi="Lato"/>
          <w:color w:val="273540"/>
        </w:rPr>
      </w:pPr>
      <w:r>
        <w:rPr>
          <w:rFonts w:ascii="Lato" w:hAnsi="Lato"/>
          <w:color w:val="273540"/>
        </w:rPr>
        <w:t> </w:t>
      </w:r>
    </w:p>
    <w:p w14:paraId="763562CA" w14:textId="77777777" w:rsidR="003B06C8" w:rsidRDefault="003B06C8">
      <w:pPr>
        <w:pStyle w:val="NormalWeb"/>
        <w:spacing w:before="180" w:beforeAutospacing="0" w:after="180" w:afterAutospacing="0"/>
        <w:rPr>
          <w:rFonts w:ascii="Lato" w:hAnsi="Lato"/>
          <w:color w:val="273540"/>
        </w:rPr>
      </w:pPr>
      <w:proofErr w:type="spellStart"/>
      <w:r>
        <w:rPr>
          <w:rFonts w:ascii="Lato" w:hAnsi="Lato"/>
          <w:color w:val="273540"/>
        </w:rPr>
        <w:t>Herzberg’s</w:t>
      </w:r>
      <w:proofErr w:type="spellEnd"/>
      <w:r>
        <w:rPr>
          <w:rFonts w:ascii="Lato" w:hAnsi="Lato"/>
          <w:color w:val="273540"/>
        </w:rPr>
        <w:t xml:space="preserve"> two-factor theory helps explain the magnitude of this opportunity. </w:t>
      </w:r>
      <w:proofErr w:type="spellStart"/>
      <w:r>
        <w:rPr>
          <w:rFonts w:ascii="Lato" w:hAnsi="Lato"/>
          <w:color w:val="273540"/>
        </w:rPr>
        <w:t>Herzberg</w:t>
      </w:r>
      <w:proofErr w:type="spellEnd"/>
      <w:r>
        <w:rPr>
          <w:rFonts w:ascii="Lato" w:hAnsi="Lato"/>
          <w:color w:val="273540"/>
        </w:rPr>
        <w:t xml:space="preserve"> et al. (1959) distinguished between hygiene factors, which can create dissatisfaction when inadequate, and motivators, which encourage satisfaction and engagement. In a hybrid workplace, policies on scheduling, supervision, communication, and workload are key hygiene factors. However, flexibility alone may not retain employees. Organizations must also provide motivators such as recognition, meaningful work, professional growth, increased responsibility, and opportunities for advancement.</w:t>
      </w:r>
    </w:p>
    <w:p w14:paraId="791BE5F3" w14:textId="77777777" w:rsidR="003B06C8" w:rsidRDefault="003B06C8">
      <w:pPr>
        <w:pStyle w:val="NormalWeb"/>
        <w:spacing w:before="180" w:beforeAutospacing="0" w:after="180" w:afterAutospacing="0"/>
        <w:rPr>
          <w:rFonts w:ascii="Lato" w:hAnsi="Lato"/>
          <w:color w:val="273540"/>
        </w:rPr>
      </w:pPr>
      <w:r>
        <w:rPr>
          <w:rFonts w:ascii="Lato" w:hAnsi="Lato"/>
          <w:color w:val="273540"/>
        </w:rPr>
        <w:t> </w:t>
      </w:r>
    </w:p>
    <w:p w14:paraId="3E51A42C" w14:textId="77777777" w:rsidR="003B06C8" w:rsidRDefault="003B06C8">
      <w:pPr>
        <w:pStyle w:val="NormalWeb"/>
        <w:spacing w:before="180" w:beforeAutospacing="0" w:after="180" w:afterAutospacing="0"/>
        <w:rPr>
          <w:rFonts w:ascii="Lato" w:hAnsi="Lato"/>
          <w:color w:val="273540"/>
        </w:rPr>
      </w:pPr>
      <w:r>
        <w:rPr>
          <w:rFonts w:ascii="Lato" w:hAnsi="Lato"/>
          <w:color w:val="273540"/>
        </w:rPr>
        <w:t>Social exchange theory provides another useful perspective. Blau (1964) argued that workplace relationships are based on reciprocal exchanges. When employees believe their organization supports them and that it supports their work and career development, they are likely to respond with greater commitment to the company and stay longer. People who feel hybrid policies are inconsistent, unfair, or unsupportive are more likely to give up and seek employment elsewhere.</w:t>
      </w:r>
    </w:p>
    <w:p w14:paraId="5D14006D" w14:textId="77777777" w:rsidR="003B06C8" w:rsidRDefault="003B06C8">
      <w:pPr>
        <w:pStyle w:val="NormalWeb"/>
        <w:spacing w:before="180" w:beforeAutospacing="0" w:after="180" w:afterAutospacing="0"/>
        <w:rPr>
          <w:rFonts w:ascii="Lato" w:hAnsi="Lato"/>
          <w:color w:val="273540"/>
        </w:rPr>
      </w:pPr>
      <w:r>
        <w:rPr>
          <w:rFonts w:ascii="Lato" w:hAnsi="Lato"/>
          <w:color w:val="273540"/>
        </w:rPr>
        <w:t> </w:t>
      </w:r>
    </w:p>
    <w:p w14:paraId="63614AA2" w14:textId="77777777" w:rsidR="003B06C8" w:rsidRDefault="003B06C8">
      <w:pPr>
        <w:pStyle w:val="NormalWeb"/>
        <w:spacing w:before="180" w:beforeAutospacing="0" w:after="180" w:afterAutospacing="0"/>
        <w:rPr>
          <w:rFonts w:ascii="Lato" w:hAnsi="Lato"/>
          <w:color w:val="273540"/>
        </w:rPr>
      </w:pPr>
      <w:r>
        <w:rPr>
          <w:rFonts w:ascii="Lato" w:hAnsi="Lato"/>
          <w:color w:val="273540"/>
        </w:rPr>
        <w:t>Turnover matters because it affects more than staffing levels. It can lead to recruitment and training costs, loss of organizational knowledge, increased employee workload, and lower productivity. Management should collect quantitative information about turnover rates, absenteeism, promotion trends, employee tenure, and engagement survey results. Qualitative information from exit interviews, focus groups, and employee interviews could help to understand why employees stay or leave the organization. The information would be sufficient if consistent trends across multiple sources are most clearly associated with employees’ intent to stay. Leaders could then develop evidence-based hybrid-work policies that enhance fairness, connection, engagement, and retention.</w:t>
      </w:r>
    </w:p>
    <w:p w14:paraId="26791E6A" w14:textId="77777777" w:rsidR="003B06C8" w:rsidRDefault="003B06C8">
      <w:pPr>
        <w:pStyle w:val="NormalWeb"/>
        <w:spacing w:before="180" w:beforeAutospacing="0" w:after="180" w:afterAutospacing="0"/>
        <w:rPr>
          <w:rFonts w:ascii="Lato" w:hAnsi="Lato"/>
          <w:color w:val="273540"/>
        </w:rPr>
      </w:pPr>
      <w:r>
        <w:rPr>
          <w:rFonts w:ascii="Lato" w:hAnsi="Lato"/>
          <w:color w:val="273540"/>
        </w:rPr>
        <w:t> </w:t>
      </w:r>
    </w:p>
    <w:p w14:paraId="0F90A220" w14:textId="77777777" w:rsidR="003B06C8" w:rsidRDefault="003B06C8">
      <w:pPr>
        <w:pStyle w:val="NormalWeb"/>
        <w:spacing w:before="180" w:beforeAutospacing="0" w:after="180" w:afterAutospacing="0"/>
        <w:rPr>
          <w:rFonts w:ascii="Lato" w:hAnsi="Lato"/>
          <w:color w:val="273540"/>
        </w:rPr>
      </w:pPr>
      <w:r>
        <w:rPr>
          <w:rFonts w:ascii="Lato" w:hAnsi="Lato"/>
          <w:color w:val="273540"/>
        </w:rPr>
        <w:t>Reference:</w:t>
      </w:r>
    </w:p>
    <w:p w14:paraId="3AA86264" w14:textId="77777777" w:rsidR="003B06C8" w:rsidRDefault="003B06C8">
      <w:pPr>
        <w:pStyle w:val="NormalWeb"/>
        <w:spacing w:before="180" w:beforeAutospacing="0" w:after="180" w:afterAutospacing="0"/>
        <w:rPr>
          <w:rFonts w:ascii="Lato" w:hAnsi="Lato"/>
          <w:color w:val="273540"/>
        </w:rPr>
      </w:pPr>
      <w:r>
        <w:rPr>
          <w:rFonts w:ascii="Lato" w:hAnsi="Lato"/>
          <w:color w:val="273540"/>
        </w:rPr>
        <w:t>Blau, P. M. (1964). Exchange and power in social life. John Wiley &amp; Sons.</w:t>
      </w:r>
    </w:p>
    <w:p w14:paraId="68D37C14" w14:textId="77777777" w:rsidR="003B06C8" w:rsidRDefault="003B06C8">
      <w:pPr>
        <w:pStyle w:val="NormalWeb"/>
        <w:spacing w:before="180" w:beforeAutospacing="0" w:after="180" w:afterAutospacing="0"/>
        <w:rPr>
          <w:rFonts w:ascii="Lato" w:hAnsi="Lato"/>
          <w:color w:val="273540"/>
        </w:rPr>
      </w:pPr>
      <w:proofErr w:type="spellStart"/>
      <w:r>
        <w:rPr>
          <w:rFonts w:ascii="Lato" w:hAnsi="Lato"/>
          <w:color w:val="273540"/>
        </w:rPr>
        <w:t>Herzberg</w:t>
      </w:r>
      <w:proofErr w:type="spellEnd"/>
      <w:r>
        <w:rPr>
          <w:rFonts w:ascii="Lato" w:hAnsi="Lato"/>
          <w:color w:val="273540"/>
        </w:rPr>
        <w:t xml:space="preserve">, F., </w:t>
      </w:r>
      <w:proofErr w:type="spellStart"/>
      <w:r>
        <w:rPr>
          <w:rFonts w:ascii="Lato" w:hAnsi="Lato"/>
          <w:color w:val="273540"/>
        </w:rPr>
        <w:t>Mausner</w:t>
      </w:r>
      <w:proofErr w:type="spellEnd"/>
      <w:r>
        <w:rPr>
          <w:rFonts w:ascii="Lato" w:hAnsi="Lato"/>
          <w:color w:val="273540"/>
        </w:rPr>
        <w:t xml:space="preserve">, B., &amp; </w:t>
      </w:r>
      <w:proofErr w:type="spellStart"/>
      <w:r>
        <w:rPr>
          <w:rFonts w:ascii="Lato" w:hAnsi="Lato"/>
          <w:color w:val="273540"/>
        </w:rPr>
        <w:t>Snyderman</w:t>
      </w:r>
      <w:proofErr w:type="spellEnd"/>
      <w:r>
        <w:rPr>
          <w:rFonts w:ascii="Lato" w:hAnsi="Lato"/>
          <w:color w:val="273540"/>
        </w:rPr>
        <w:t>, B. B. (1959). The motivation to work (2nd ed.). John Wiley &amp; Sons.</w:t>
      </w:r>
    </w:p>
    <w:p w14:paraId="4F71400F" w14:textId="77777777" w:rsidR="00346281" w:rsidRDefault="00346281"/>
    <w:sectPr w:rsidR="003462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BB1422"/>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744244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0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983"/>
    <w:rsid w:val="00247EB0"/>
    <w:rsid w:val="00346281"/>
    <w:rsid w:val="003B06C8"/>
    <w:rsid w:val="004B0F6F"/>
    <w:rsid w:val="005E3BBC"/>
    <w:rsid w:val="00A22C22"/>
    <w:rsid w:val="00B0169A"/>
    <w:rsid w:val="00EB1891"/>
    <w:rsid w:val="00F35B29"/>
    <w:rsid w:val="00FD4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7068708"/>
  <w15:chartTrackingRefBased/>
  <w15:docId w15:val="{CEEB9A6F-4AE1-D74D-A1E4-1B6BFC09B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49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D49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D49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D49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D49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D49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D49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D49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D49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49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D49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D49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D49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D49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D4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D4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D4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D4983"/>
    <w:rPr>
      <w:rFonts w:eastAsiaTheme="majorEastAsia" w:cstheme="majorBidi"/>
      <w:color w:val="272727" w:themeColor="text1" w:themeTint="D8"/>
    </w:rPr>
  </w:style>
  <w:style w:type="paragraph" w:styleId="Title">
    <w:name w:val="Title"/>
    <w:basedOn w:val="Normal"/>
    <w:next w:val="Normal"/>
    <w:link w:val="TitleChar"/>
    <w:uiPriority w:val="10"/>
    <w:qFormat/>
    <w:rsid w:val="00FD49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4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D4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D4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D4983"/>
    <w:pPr>
      <w:spacing w:before="160"/>
      <w:jc w:val="center"/>
    </w:pPr>
    <w:rPr>
      <w:i/>
      <w:iCs/>
      <w:color w:val="404040" w:themeColor="text1" w:themeTint="BF"/>
    </w:rPr>
  </w:style>
  <w:style w:type="character" w:customStyle="1" w:styleId="QuoteChar">
    <w:name w:val="Quote Char"/>
    <w:basedOn w:val="DefaultParagraphFont"/>
    <w:link w:val="Quote"/>
    <w:uiPriority w:val="29"/>
    <w:rsid w:val="00FD4983"/>
    <w:rPr>
      <w:i/>
      <w:iCs/>
      <w:color w:val="404040" w:themeColor="text1" w:themeTint="BF"/>
    </w:rPr>
  </w:style>
  <w:style w:type="paragraph" w:styleId="ListParagraph">
    <w:name w:val="List Paragraph"/>
    <w:basedOn w:val="Normal"/>
    <w:uiPriority w:val="34"/>
    <w:qFormat/>
    <w:rsid w:val="00FD4983"/>
    <w:pPr>
      <w:ind w:left="720"/>
      <w:contextualSpacing/>
    </w:pPr>
  </w:style>
  <w:style w:type="character" w:styleId="IntenseEmphasis">
    <w:name w:val="Intense Emphasis"/>
    <w:basedOn w:val="DefaultParagraphFont"/>
    <w:uiPriority w:val="21"/>
    <w:qFormat/>
    <w:rsid w:val="00FD4983"/>
    <w:rPr>
      <w:i/>
      <w:iCs/>
      <w:color w:val="2F5496" w:themeColor="accent1" w:themeShade="BF"/>
    </w:rPr>
  </w:style>
  <w:style w:type="paragraph" w:styleId="IntenseQuote">
    <w:name w:val="Intense Quote"/>
    <w:basedOn w:val="Normal"/>
    <w:next w:val="Normal"/>
    <w:link w:val="IntenseQuoteChar"/>
    <w:uiPriority w:val="30"/>
    <w:qFormat/>
    <w:rsid w:val="00FD49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D4983"/>
    <w:rPr>
      <w:i/>
      <w:iCs/>
      <w:color w:val="2F5496" w:themeColor="accent1" w:themeShade="BF"/>
    </w:rPr>
  </w:style>
  <w:style w:type="character" w:styleId="IntenseReference">
    <w:name w:val="Intense Reference"/>
    <w:basedOn w:val="DefaultParagraphFont"/>
    <w:uiPriority w:val="32"/>
    <w:qFormat/>
    <w:rsid w:val="00FD4983"/>
    <w:rPr>
      <w:b/>
      <w:bCs/>
      <w:smallCaps/>
      <w:color w:val="2F5496" w:themeColor="accent1" w:themeShade="BF"/>
      <w:spacing w:val="5"/>
    </w:rPr>
  </w:style>
  <w:style w:type="paragraph" w:styleId="NormalWeb">
    <w:name w:val="Normal (Web)"/>
    <w:basedOn w:val="Normal"/>
    <w:uiPriority w:val="99"/>
    <w:semiHidden/>
    <w:unhideWhenUsed/>
    <w:rsid w:val="00FD4983"/>
    <w:pPr>
      <w:spacing w:before="100" w:beforeAutospacing="1" w:after="100" w:afterAutospacing="1" w:line="240" w:lineRule="auto"/>
    </w:pPr>
    <w:rPr>
      <w:rFonts w:ascii="Times New Roman" w:hAnsi="Times New Roman" w:cs="Times New Roman"/>
      <w:kern w:val="0"/>
      <w14:ligatures w14:val="none"/>
    </w:rPr>
  </w:style>
  <w:style w:type="character" w:styleId="Strong">
    <w:name w:val="Strong"/>
    <w:basedOn w:val="DefaultParagraphFont"/>
    <w:uiPriority w:val="22"/>
    <w:qFormat/>
    <w:rsid w:val="00FD4983"/>
    <w:rPr>
      <w:b/>
      <w:bCs/>
    </w:rPr>
  </w:style>
  <w:style w:type="character" w:customStyle="1" w:styleId="apple-converted-space">
    <w:name w:val="apple-converted-space"/>
    <w:basedOn w:val="DefaultParagraphFont"/>
    <w:rsid w:val="004B0F6F"/>
  </w:style>
  <w:style w:type="character" w:styleId="Emphasis">
    <w:name w:val="Emphasis"/>
    <w:basedOn w:val="DefaultParagraphFont"/>
    <w:uiPriority w:val="20"/>
    <w:qFormat/>
    <w:rsid w:val="00B0169A"/>
    <w:rPr>
      <w:i/>
      <w:iCs/>
    </w:rPr>
  </w:style>
  <w:style w:type="character" w:styleId="Hyperlink">
    <w:name w:val="Hyperlink"/>
    <w:basedOn w:val="DefaultParagraphFont"/>
    <w:uiPriority w:val="99"/>
    <w:semiHidden/>
    <w:unhideWhenUsed/>
    <w:rsid w:val="00B016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1002/hrdq.215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1016/j.ssaho.2025.101407" TargetMode="External"/><Relationship Id="rId5" Type="http://schemas.openxmlformats.org/officeDocument/2006/relationships/hyperlink" Target="https://doi.org/10.1080/1359432X.2024.237690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1396</Words>
  <Characters>7960</Characters>
  <Application>Microsoft Office Word</Application>
  <DocSecurity>0</DocSecurity>
  <Lines>66</Lines>
  <Paragraphs>18</Paragraphs>
  <ScaleCrop>false</ScaleCrop>
  <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Cali richmond</dc:creator>
  <cp:keywords/>
  <dc:description/>
  <cp:lastModifiedBy>Cali richmond</cp:lastModifiedBy>
  <cp:revision>2</cp:revision>
  <dcterms:created xsi:type="dcterms:W3CDTF">2026-09-05T14:33:00Z</dcterms:created>
  <dcterms:modified xsi:type="dcterms:W3CDTF">2026-09-05T14:33:00Z</dcterms:modified>
</cp:coreProperties>
</file>