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D5BFF" w14:textId="77777777" w:rsidR="006C62F6" w:rsidRDefault="006C62F6" w:rsidP="0087122C">
      <w:pPr>
        <w:jc w:val="center"/>
        <w:rPr>
          <w:rFonts w:asciiTheme="majorBidi" w:hAnsiTheme="majorBidi" w:cstheme="majorBidi"/>
          <w:b/>
          <w:bCs/>
          <w:sz w:val="32"/>
          <w:szCs w:val="32"/>
        </w:rPr>
      </w:pPr>
    </w:p>
    <w:p w14:paraId="3CA8E101" w14:textId="61237506" w:rsidR="0087122C" w:rsidRDefault="0087122C" w:rsidP="0087122C">
      <w:pPr>
        <w:jc w:val="center"/>
        <w:rPr>
          <w:rFonts w:asciiTheme="majorBidi" w:hAnsiTheme="majorBidi" w:cstheme="majorBidi"/>
          <w:b/>
          <w:bCs/>
          <w:sz w:val="32"/>
          <w:szCs w:val="32"/>
        </w:rPr>
      </w:pPr>
      <w:r w:rsidRPr="00D020E6">
        <w:rPr>
          <w:rFonts w:asciiTheme="majorBidi" w:hAnsiTheme="majorBidi" w:cstheme="majorBidi"/>
          <w:b/>
          <w:bCs/>
          <w:sz w:val="32"/>
          <w:szCs w:val="32"/>
        </w:rPr>
        <w:t>Government Communication between Communicative Practice and Legal Compliance: Towards Good Governance</w:t>
      </w:r>
    </w:p>
    <w:p w14:paraId="105453A4" w14:textId="77777777" w:rsidR="000E1D58" w:rsidRPr="00D020E6" w:rsidRDefault="000E1D58" w:rsidP="0087122C">
      <w:pPr>
        <w:jc w:val="center"/>
        <w:rPr>
          <w:rFonts w:asciiTheme="majorBidi" w:hAnsiTheme="majorBidi" w:cstheme="majorBidi"/>
          <w:b/>
          <w:bCs/>
          <w:sz w:val="32"/>
          <w:szCs w:val="32"/>
          <w:rtl/>
        </w:rPr>
      </w:pPr>
    </w:p>
    <w:p w14:paraId="0B85F9ED" w14:textId="77777777" w:rsidR="0087122C" w:rsidRPr="00D020E6" w:rsidRDefault="0087122C" w:rsidP="00D020E6">
      <w:pPr>
        <w:bidi/>
        <w:jc w:val="center"/>
        <w:rPr>
          <w:rFonts w:asciiTheme="majorBidi" w:hAnsiTheme="majorBidi" w:cstheme="majorBidi"/>
          <w:b/>
          <w:bCs/>
          <w:rtl/>
          <w:lang w:bidi="ar-AE"/>
        </w:rPr>
      </w:pPr>
    </w:p>
    <w:p w14:paraId="2DD1B8DD" w14:textId="77777777" w:rsidR="0087122C" w:rsidRDefault="0087122C" w:rsidP="0087122C">
      <w:pPr>
        <w:jc w:val="both"/>
        <w:rPr>
          <w:rFonts w:asciiTheme="majorBidi" w:hAnsiTheme="majorBidi" w:cstheme="majorBidi"/>
          <w:b/>
          <w:bCs/>
        </w:rPr>
      </w:pPr>
      <w:r w:rsidRPr="0019555D">
        <w:rPr>
          <w:rFonts w:asciiTheme="majorBidi" w:hAnsiTheme="majorBidi" w:cstheme="majorBidi"/>
          <w:b/>
          <w:bCs/>
        </w:rPr>
        <w:t>Abstract</w:t>
      </w:r>
    </w:p>
    <w:p w14:paraId="61ADBFDD" w14:textId="77777777" w:rsidR="0087122C" w:rsidRPr="002A4F55" w:rsidRDefault="0087122C" w:rsidP="0087122C">
      <w:pPr>
        <w:jc w:val="both"/>
        <w:rPr>
          <w:rFonts w:asciiTheme="majorBidi" w:hAnsiTheme="majorBidi" w:cstheme="majorBidi"/>
        </w:rPr>
      </w:pPr>
      <w:r w:rsidRPr="002A4F55">
        <w:rPr>
          <w:rFonts w:asciiTheme="majorBidi" w:hAnsiTheme="majorBidi" w:cstheme="majorBidi"/>
        </w:rPr>
        <w:t>This study examines government communication through an integrated perspective that combines communicative practice and legal compliance as essential mechanisms for achieving good governance and strengthening public trust. It explores the role of government communication in promoting transparency, accountability, information accuracy, and citizen engagement, while analyzing the legal frameworks regulating governmental communication in the United Arab Emirates.</w:t>
      </w:r>
    </w:p>
    <w:p w14:paraId="61A6695C" w14:textId="77777777" w:rsidR="0087122C" w:rsidRPr="002A4F55" w:rsidRDefault="0087122C" w:rsidP="0087122C">
      <w:pPr>
        <w:jc w:val="both"/>
        <w:rPr>
          <w:rFonts w:asciiTheme="majorBidi" w:hAnsiTheme="majorBidi" w:cstheme="majorBidi"/>
        </w:rPr>
      </w:pPr>
      <w:r w:rsidRPr="002A4F55">
        <w:rPr>
          <w:rFonts w:asciiTheme="majorBidi" w:hAnsiTheme="majorBidi" w:cstheme="majorBidi"/>
        </w:rPr>
        <w:t>Using a descriptive-analytical approach and a case study of the UAE, the research investigates the relationship between communication effectiveness and compliance with legal and regulatory requirements. It argues that responsible government communication requires not only professional communication practices but also adherence to legal principles governing information disclosure, digital communication, and public interest protection.</w:t>
      </w:r>
    </w:p>
    <w:p w14:paraId="4824D3BA" w14:textId="77777777" w:rsidR="0087122C" w:rsidRPr="002A4F55" w:rsidRDefault="0087122C" w:rsidP="0087122C">
      <w:pPr>
        <w:jc w:val="both"/>
        <w:rPr>
          <w:rFonts w:asciiTheme="majorBidi" w:hAnsiTheme="majorBidi" w:cstheme="majorBidi"/>
        </w:rPr>
      </w:pPr>
      <w:r w:rsidRPr="002A4F55">
        <w:rPr>
          <w:rFonts w:asciiTheme="majorBidi" w:hAnsiTheme="majorBidi" w:cstheme="majorBidi"/>
        </w:rPr>
        <w:t>The study concludes that legal compliance enhances the credibility and legitimacy of government communication and contributes to building a sustainable governance model based on transparency, accountability, and institutional trust.</w:t>
      </w:r>
    </w:p>
    <w:p w14:paraId="47DB503A" w14:textId="77777777" w:rsidR="0087122C" w:rsidRPr="002A4F55" w:rsidRDefault="0087122C" w:rsidP="0087122C">
      <w:pPr>
        <w:jc w:val="both"/>
        <w:rPr>
          <w:rFonts w:asciiTheme="majorBidi" w:hAnsiTheme="majorBidi" w:cstheme="majorBidi"/>
          <w:b/>
          <w:bCs/>
        </w:rPr>
      </w:pPr>
      <w:r w:rsidRPr="002A4F55">
        <w:rPr>
          <w:rFonts w:asciiTheme="majorBidi" w:hAnsiTheme="majorBidi" w:cstheme="majorBidi"/>
          <w:b/>
          <w:bCs/>
        </w:rPr>
        <w:t xml:space="preserve">Keywords: </w:t>
      </w:r>
      <w:r w:rsidRPr="002A4F55">
        <w:rPr>
          <w:rFonts w:asciiTheme="majorBidi" w:hAnsiTheme="majorBidi" w:cstheme="majorBidi"/>
        </w:rPr>
        <w:t>Government Communication, Good Governance, Legal Compliance, Transparency, Accountability</w:t>
      </w:r>
      <w:r w:rsidRPr="002A4F55">
        <w:rPr>
          <w:rFonts w:asciiTheme="majorBidi" w:hAnsiTheme="majorBidi" w:cstheme="majorBidi"/>
          <w:b/>
          <w:bCs/>
        </w:rPr>
        <w:t>.</w:t>
      </w:r>
    </w:p>
    <w:p w14:paraId="01FAC40B" w14:textId="77777777" w:rsidR="00DA414A" w:rsidRPr="00CA76ED" w:rsidRDefault="00DA414A" w:rsidP="00126CB4">
      <w:pPr>
        <w:jc w:val="both"/>
        <w:rPr>
          <w:rFonts w:asciiTheme="majorBidi" w:hAnsiTheme="majorBidi" w:cstheme="majorBidi"/>
        </w:rPr>
      </w:pPr>
    </w:p>
    <w:p w14:paraId="7C1AB887" w14:textId="42F7C58A" w:rsidR="00DA414A" w:rsidRPr="00CA76ED" w:rsidRDefault="0087122C" w:rsidP="0087122C">
      <w:pPr>
        <w:jc w:val="both"/>
        <w:rPr>
          <w:rFonts w:asciiTheme="majorBidi" w:hAnsiTheme="majorBidi" w:cstheme="majorBidi"/>
          <w:b/>
          <w:bCs/>
        </w:rPr>
      </w:pPr>
      <w:r w:rsidRPr="00CA76ED">
        <w:rPr>
          <w:rFonts w:asciiTheme="majorBidi" w:hAnsiTheme="majorBidi" w:cstheme="majorBidi"/>
          <w:b/>
          <w:bCs/>
        </w:rPr>
        <w:t>Introduction</w:t>
      </w:r>
    </w:p>
    <w:p w14:paraId="2202E6B2" w14:textId="0C3F8695" w:rsidR="00126CB4" w:rsidRPr="00CA76ED" w:rsidRDefault="00126CB4" w:rsidP="00126CB4">
      <w:pPr>
        <w:jc w:val="both"/>
        <w:rPr>
          <w:rFonts w:asciiTheme="majorBidi" w:hAnsiTheme="majorBidi" w:cstheme="majorBidi"/>
        </w:rPr>
      </w:pPr>
      <w:r w:rsidRPr="00CA76ED">
        <w:rPr>
          <w:rFonts w:asciiTheme="majorBidi" w:hAnsiTheme="majorBidi" w:cstheme="majorBidi"/>
        </w:rPr>
        <w:t>In contemporary governance systems, communication has evolved from a conventional means of transmitting official information into a strategic governance function that shapes the relationship between governments and society. This transformation has been driven by digitalization, rising public expectations, and increasing demands for transparency, accountability, and citizen participation. Governments are therefore required to develop communication systems that provide accurate and timely information, facilitate dialogue, and reinforce institutional legitimacy (Canel &amp; Sanders, 2016, p. 1).</w:t>
      </w:r>
    </w:p>
    <w:p w14:paraId="6458FE8C"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 xml:space="preserve">Government communication is increasingly regarded as a core component of good governance because it helps explain public policies, promotes transparency, and enables citizens to understand </w:t>
      </w:r>
      <w:r w:rsidRPr="00CA76ED">
        <w:rPr>
          <w:rFonts w:asciiTheme="majorBidi" w:hAnsiTheme="majorBidi" w:cstheme="majorBidi"/>
        </w:rPr>
        <w:lastRenderedPageBreak/>
        <w:t>institutional decisions. The United Nations (2022) identifies transparency, accountability, participation, and responsiveness as central principles of effective governance, all of which depend on continuous communication between public institutions and society (pp. 3–5). Communication should consequently be understood not merely as an administrative activity, but as a governance instrument that influences public trust, institutional legitimacy, and policy effectiveness.</w:t>
      </w:r>
    </w:p>
    <w:p w14:paraId="452A306D"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The development of digital government has further reshaped government communication by facilitating a transition from traditional, one-way information dissemination to more interactive communication environments. These environments emphasize public engagement, feedback, and citizen participation. Janowski (2015) explains that digital government has developed through successive stages, progressing from digitization to transformation and engagement. In this process, technology serves not only to improve administrative efficiency but also to strengthen relationships between governments and citizens (pp. 225–227). Similarly, Twizeyimana and Andersson (2019) argue that digital government generates public value when technological development contributes to greater transparency, participation, and improvements in public services (pp. 167–169).</w:t>
      </w:r>
    </w:p>
    <w:p w14:paraId="7E90B131"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However, the effectiveness of government communication depends not only on technological capacity or strategic planning. It also relies on compliance with legal and regulatory frameworks that establish the boundaries of information disclosure, institutional responsibility, and official communication practices. Legal compliance helps ensure that governmental messages are accurate, reliable, and consistent with the public interest. As Bannister and Connolly (2014) observe, digital transformation in government requires institutional and regulatory arrangements that promote responsible information management, accountability, and sustainable governance practices (pp. 120–122).</w:t>
      </w:r>
    </w:p>
    <w:p w14:paraId="0FEA9EB6"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The relationship between transparency and legal regulation is therefore a central dimension of responsible government communication. Although access to information is essential to democratic governance, transparency is not absolute. It must operate within legal boundaries relating to privacy, national security, and public order. Relly and Sabharwal (2009) demonstrate that access-to-information frameworks can strengthen accountability by establishing institutional obligations concerning the disclosure of public information (pp. 148–150). Similarly, Grimmelikhuijsen et al. (2013) found that transparent government communication is more likely to enhance public trust when information is accessible, comprehensible, and credible (pp. 577–579).</w:t>
      </w:r>
    </w:p>
    <w:p w14:paraId="36D773F9"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The importance of legal compliance has become even more pronounced with the expansion of digital communication and the growing prevalence of misinformation, rumours, and misleading content. Wardle and Derakhshan (2017) argue that information disorder can undermine public understanding, social stability, and institutional trust, thereby requiring coordinated regulatory and communication responses (pp. 20–21). Effective government communication consequently requires a careful balance between openness and transparency on the one hand, and responsible communication practices designed to protect the public interest on the other.</w:t>
      </w:r>
    </w:p>
    <w:p w14:paraId="0288F8B8"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lastRenderedPageBreak/>
        <w:t>The United Arab Emirates offers a significant context for examining the relationship between government communication, legal compliance, and good governance. Over the past decade, the UAE has developed advanced digital-government systems and institutional communication strategies intended to improve public-service quality, enhance transparency, and strengthen citizen engagement. This transformation reflects a broader movement toward citizen-centred governance, in which digital platforms support service accessibility, institutional responsiveness, and public participation (United Nations, 2024, pp. 45–47).</w:t>
      </w:r>
    </w:p>
    <w:p w14:paraId="5BBA557A"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At the same time, government communication in the UAE operates within an integrated legal and regulatory framework governing media activities, digital communication, cybersecurity, data protection, and the dissemination of information. These regulations are intended to promote responsible communication, protect public order, address the circulation of misleading information, and preserve institutional credibility and public trust (UAE Government, 2024).</w:t>
      </w:r>
    </w:p>
    <w:p w14:paraId="166E10BA" w14:textId="77777777" w:rsidR="00126CB4" w:rsidRPr="00CA76ED" w:rsidRDefault="00126CB4" w:rsidP="00126CB4">
      <w:pPr>
        <w:jc w:val="both"/>
        <w:rPr>
          <w:rFonts w:asciiTheme="majorBidi" w:hAnsiTheme="majorBidi" w:cstheme="majorBidi"/>
        </w:rPr>
      </w:pPr>
      <w:r w:rsidRPr="00CA76ED">
        <w:rPr>
          <w:rFonts w:asciiTheme="majorBidi" w:hAnsiTheme="majorBidi" w:cstheme="majorBidi"/>
        </w:rPr>
        <w:t>Despite growing academic interest in government communication, digital governance, and transparency, existing studies have often examined communication effectiveness, digital transformation, and governance principles as separate areas of inquiry. Comparatively limited attention has been devoted to how legal frameworks shape the credibility, legitimacy, and effectiveness of government communication, particularly in Arab and Gulf governance contexts. This study addresses that gap by examining government communication in the United Arab Emirates through an integrated perspective that combines communication practices with legal compliance. It argues that effective government communication requires the alignment of strategic communication capabilities, professional standards, and legal principles to support sustainable good governance and strengthen public trust.</w:t>
      </w:r>
    </w:p>
    <w:p w14:paraId="1290AE85" w14:textId="77777777" w:rsidR="00B60B86" w:rsidRPr="00CA76ED" w:rsidRDefault="00B60B86" w:rsidP="00B60B86">
      <w:pPr>
        <w:rPr>
          <w:rFonts w:asciiTheme="majorBidi" w:hAnsiTheme="majorBidi" w:cstheme="majorBidi"/>
          <w:b/>
          <w:bCs/>
        </w:rPr>
      </w:pPr>
      <w:r w:rsidRPr="00CA76ED">
        <w:rPr>
          <w:rFonts w:asciiTheme="majorBidi" w:hAnsiTheme="majorBidi" w:cstheme="majorBidi"/>
          <w:b/>
          <w:bCs/>
        </w:rPr>
        <w:t>Research Methodology</w:t>
      </w:r>
    </w:p>
    <w:p w14:paraId="5383ED5F" w14:textId="77777777" w:rsidR="00B60B86" w:rsidRPr="00CA76ED" w:rsidRDefault="00B60B86" w:rsidP="00B60B86">
      <w:pPr>
        <w:rPr>
          <w:rFonts w:asciiTheme="majorBidi" w:hAnsiTheme="majorBidi" w:cstheme="majorBidi"/>
          <w:b/>
          <w:bCs/>
        </w:rPr>
      </w:pPr>
      <w:r w:rsidRPr="00CA76ED">
        <w:rPr>
          <w:rFonts w:asciiTheme="majorBidi" w:hAnsiTheme="majorBidi" w:cstheme="majorBidi"/>
          <w:b/>
          <w:bCs/>
        </w:rPr>
        <w:t>Research Approach and Design</w:t>
      </w:r>
    </w:p>
    <w:p w14:paraId="0736332D"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This study uses a qualitative approach and a descriptive-analytical research design to examine how government communication and legal compliance contribute to good governance in the United Arab Emirates (UAE). A qualitative approach is appropriate because the study is concerned with the institutional, regulatory, and communicative processes that shape government communication, rather than with statistically testing causal relationships.</w:t>
      </w:r>
    </w:p>
    <w:p w14:paraId="4555FAC6"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descriptive component of the study examines the main characteristics and development of government communication in the UAE. Particular attention is given to the shift from conventional information dissemination to more strategic, digital, and interactive forms of communication. This includes considering how government institutions use communication to provide information, engage with citizens, and respond to changing public expectations.</w:t>
      </w:r>
    </w:p>
    <w:p w14:paraId="0E8244F7"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 xml:space="preserve">The analytical component considers the relationship between these communication practices and key principles of good governance, including transparency, accountability, public trust, and institutional legitimacy. It also examines how government communication operates within the </w:t>
      </w:r>
      <w:r w:rsidRPr="00CA76ED">
        <w:rPr>
          <w:rFonts w:asciiTheme="majorBidi" w:hAnsiTheme="majorBidi" w:cstheme="majorBidi"/>
        </w:rPr>
        <w:lastRenderedPageBreak/>
        <w:t>legal and regulatory frameworks established by the UAE. This perspective makes it possible to assess not only the purposes of government communication, but also the extent to which legal compliance affects its credibility and effectiveness.</w:t>
      </w:r>
    </w:p>
    <w:p w14:paraId="369C72B3"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study adopts a single-case study design, with the UAE serving as the case under examination. The country was selected because of its extensive experience with digital-government transformation, the development of formal institutional communication systems, and the implementation of regulatory frameworks governing media, digital communication, information dissemination, cybersecurity, and accountability in the public sector.</w:t>
      </w:r>
    </w:p>
    <w:p w14:paraId="2AE914FF"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A case study design is particularly suitable for this research because it allows the interaction between government communication and its regulatory environment to be examined in depth. It also provides a basis for exploring how legal compliance may influence the credibility, effectiveness, and legitimacy of official communication, and how these dimensions relate to broader good-governance outcomes.</w:t>
      </w:r>
    </w:p>
    <w:p w14:paraId="4AD7378E"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Research Sources and Data Collection</w:t>
      </w:r>
    </w:p>
    <w:p w14:paraId="3D7B0FEA"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study draws on both primary and secondary sources to develop a comprehensive understanding of government communication practices and the legal and institutional frameworks that regulate them in the UAE.</w:t>
      </w:r>
    </w:p>
    <w:p w14:paraId="587A7740"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Primary Sources</w:t>
      </w:r>
    </w:p>
    <w:p w14:paraId="6D3DBFF1"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primary data for this study are drawn from official government documents, legislative texts, and institutional communication materials. The sources include:</w:t>
      </w:r>
    </w:p>
    <w:p w14:paraId="74F97DC1" w14:textId="77777777" w:rsidR="00B60B86" w:rsidRPr="00CA76ED" w:rsidRDefault="00B60B86" w:rsidP="00CA76ED">
      <w:pPr>
        <w:numPr>
          <w:ilvl w:val="0"/>
          <w:numId w:val="1"/>
        </w:numPr>
        <w:jc w:val="both"/>
        <w:rPr>
          <w:rFonts w:asciiTheme="majorBidi" w:hAnsiTheme="majorBidi" w:cstheme="majorBidi"/>
        </w:rPr>
      </w:pPr>
      <w:r w:rsidRPr="00CA76ED">
        <w:rPr>
          <w:rFonts w:asciiTheme="majorBidi" w:hAnsiTheme="majorBidi" w:cstheme="majorBidi"/>
        </w:rPr>
        <w:t>Federal laws, regulations, and legislative instruments relating to media regulation, digital communication, cybersecurity, information governance, and the prevention of misinformation;</w:t>
      </w:r>
    </w:p>
    <w:p w14:paraId="225A4309" w14:textId="77777777" w:rsidR="00B60B86" w:rsidRPr="00CA76ED" w:rsidRDefault="00B60B86" w:rsidP="00CA76ED">
      <w:pPr>
        <w:numPr>
          <w:ilvl w:val="0"/>
          <w:numId w:val="1"/>
        </w:numPr>
        <w:jc w:val="both"/>
        <w:rPr>
          <w:rFonts w:asciiTheme="majorBidi" w:hAnsiTheme="majorBidi" w:cstheme="majorBidi"/>
        </w:rPr>
      </w:pPr>
      <w:r w:rsidRPr="00CA76ED">
        <w:rPr>
          <w:rFonts w:asciiTheme="majorBidi" w:hAnsiTheme="majorBidi" w:cstheme="majorBidi"/>
        </w:rPr>
        <w:t>Government strategies, policies, and official reports concerning digital transformation, government communication, transparency, and public engagement;</w:t>
      </w:r>
    </w:p>
    <w:p w14:paraId="7BCA75BA" w14:textId="77777777" w:rsidR="00B60B86" w:rsidRPr="00CA76ED" w:rsidRDefault="00B60B86" w:rsidP="00CA76ED">
      <w:pPr>
        <w:numPr>
          <w:ilvl w:val="0"/>
          <w:numId w:val="1"/>
        </w:numPr>
        <w:jc w:val="both"/>
        <w:rPr>
          <w:rFonts w:asciiTheme="majorBidi" w:hAnsiTheme="majorBidi" w:cstheme="majorBidi"/>
        </w:rPr>
      </w:pPr>
      <w:r w:rsidRPr="00CA76ED">
        <w:rPr>
          <w:rFonts w:asciiTheme="majorBidi" w:hAnsiTheme="majorBidi" w:cstheme="majorBidi"/>
        </w:rPr>
        <w:t>Official communication published by UAE government institutions on government websites, digital platforms, and verified social media accounts; and</w:t>
      </w:r>
    </w:p>
    <w:p w14:paraId="21134906" w14:textId="77777777" w:rsidR="00B60B86" w:rsidRPr="00CA76ED" w:rsidRDefault="00B60B86" w:rsidP="00CA76ED">
      <w:pPr>
        <w:numPr>
          <w:ilvl w:val="0"/>
          <w:numId w:val="1"/>
        </w:numPr>
        <w:jc w:val="both"/>
        <w:rPr>
          <w:rFonts w:asciiTheme="majorBidi" w:hAnsiTheme="majorBidi" w:cstheme="majorBidi"/>
        </w:rPr>
      </w:pPr>
      <w:r w:rsidRPr="00CA76ED">
        <w:rPr>
          <w:rFonts w:asciiTheme="majorBidi" w:hAnsiTheme="majorBidi" w:cstheme="majorBidi"/>
        </w:rPr>
        <w:t>Institutional documents addressing crisis communication, information management, and public-service communication.</w:t>
      </w:r>
    </w:p>
    <w:p w14:paraId="7BE526BF"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These materials are used to examine how government communication is designed and implemented within the limits established by legal obligations, institutional policies, and good-governance principles.</w:t>
      </w:r>
    </w:p>
    <w:p w14:paraId="210C56BD"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Secondary Sources</w:t>
      </w:r>
    </w:p>
    <w:p w14:paraId="7168531E"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lastRenderedPageBreak/>
        <w:t>The secondary literature comprises peer-reviewed articles, books, and theoretical works on government communication, digital governance, transparency, accountability, public trust, and legal compliance. The study also considers comparative research on international approaches to government communication and the implementation of good-governance frameworks. Together, these sources provide the conceptual basis for interpreting the relationship between communication practices, regulatory compliance, and governance outcomes.</w:t>
      </w:r>
    </w:p>
    <w:p w14:paraId="4A49AA85"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Data Collection and Analysis</w:t>
      </w:r>
    </w:p>
    <w:p w14:paraId="071F9DA4"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Qualitative content analysis is the principal method used to examine government communication practices and the legal and institutional frameworks that regulate them in the UAE. This method is appropriate because it allows textual and communicative materials to be examined systematically while preserving their institutional and regulatory context. It also supports the identification of recurring themes, meanings, and relationships among communication practices, legal compliance, and good-governance principles.</w:t>
      </w:r>
    </w:p>
    <w:p w14:paraId="62EF5094"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1. Qualitative Content Analysis</w:t>
      </w:r>
    </w:p>
    <w:p w14:paraId="11F319DB"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study analyzes government documents, legislative texts, official reports, and digital communication materials issued by UAE government institutions. The analysis follows a thematic framework developed from the study’s theoretical foundations. The main themes are as follows:</w:t>
      </w:r>
    </w:p>
    <w:p w14:paraId="3633A31A"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Transparency and information disclosure:</w:t>
      </w:r>
      <w:r w:rsidRPr="00CA76ED">
        <w:rPr>
          <w:rFonts w:asciiTheme="majorBidi" w:hAnsiTheme="majorBidi" w:cstheme="majorBidi"/>
        </w:rPr>
        <w:t> the accessibility, clarity, accuracy, and timeliness of government information;</w:t>
      </w:r>
    </w:p>
    <w:p w14:paraId="7604ED4A"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Accountability and institutional responsibility:</w:t>
      </w:r>
      <w:r w:rsidRPr="00CA76ED">
        <w:rPr>
          <w:rFonts w:asciiTheme="majorBidi" w:hAnsiTheme="majorBidi" w:cstheme="majorBidi"/>
        </w:rPr>
        <w:t> the ways in which government entities explain policies, decisions, and performance outcomes;</w:t>
      </w:r>
    </w:p>
    <w:p w14:paraId="36102FB6"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Public participation and digital engagement:</w:t>
      </w:r>
      <w:r w:rsidRPr="00CA76ED">
        <w:rPr>
          <w:rFonts w:asciiTheme="majorBidi" w:hAnsiTheme="majorBidi" w:cstheme="majorBidi"/>
        </w:rPr>
        <w:t> the channels through which citizens and residents can provide feedback and interact with government institutions;</w:t>
      </w:r>
    </w:p>
    <w:p w14:paraId="26032E76"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Accuracy and reliability of official messages:</w:t>
      </w:r>
      <w:r w:rsidRPr="00CA76ED">
        <w:rPr>
          <w:rFonts w:asciiTheme="majorBidi" w:hAnsiTheme="majorBidi" w:cstheme="majorBidi"/>
        </w:rPr>
        <w:t> the consistency, credibility, and verification of government communication;</w:t>
      </w:r>
    </w:p>
    <w:p w14:paraId="631A3A6F"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Legal and regulatory compliance:</w:t>
      </w:r>
      <w:r w:rsidRPr="00CA76ED">
        <w:rPr>
          <w:rFonts w:asciiTheme="majorBidi" w:hAnsiTheme="majorBidi" w:cstheme="majorBidi"/>
        </w:rPr>
        <w:t> the extent to which communication practices conform to applicable laws, regulations, and institutional guidelines; and</w:t>
      </w:r>
    </w:p>
    <w:p w14:paraId="00409ECD" w14:textId="77777777" w:rsidR="00B60B86" w:rsidRPr="00CA76ED" w:rsidRDefault="00B60B86" w:rsidP="00CA76ED">
      <w:pPr>
        <w:numPr>
          <w:ilvl w:val="0"/>
          <w:numId w:val="2"/>
        </w:numPr>
        <w:jc w:val="both"/>
        <w:rPr>
          <w:rFonts w:asciiTheme="majorBidi" w:hAnsiTheme="majorBidi" w:cstheme="majorBidi"/>
        </w:rPr>
      </w:pPr>
      <w:r w:rsidRPr="00CA76ED">
        <w:rPr>
          <w:rFonts w:asciiTheme="majorBidi" w:hAnsiTheme="majorBidi" w:cstheme="majorBidi"/>
          <w:b/>
          <w:bCs/>
        </w:rPr>
        <w:t>Crisis communication and misinformation management:</w:t>
      </w:r>
      <w:r w:rsidRPr="00CA76ED">
        <w:rPr>
          <w:rFonts w:asciiTheme="majorBidi" w:hAnsiTheme="majorBidi" w:cstheme="majorBidi"/>
        </w:rPr>
        <w:t> government responses to emergencies, uncertainty, rumours, and misleading information.</w:t>
      </w:r>
    </w:p>
    <w:p w14:paraId="4A18D638"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analysis is intended to clarify how communication practices relate to governance outcomes and how compliance with legal and regulatory requirements may support transparency, accountability, public trust, and institutional legitimacy.</w:t>
      </w:r>
    </w:p>
    <w:p w14:paraId="35DF0194"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2. Document Analysis</w:t>
      </w:r>
    </w:p>
    <w:p w14:paraId="474C6DD2"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lastRenderedPageBreak/>
        <w:t>Document analysis is used to examine the legal and institutional frameworks governing government communication in the UAE. The documents reviewed address the following areas:</w:t>
      </w:r>
    </w:p>
    <w:p w14:paraId="5A1DF012" w14:textId="77777777" w:rsidR="00B60B86" w:rsidRPr="00CA76ED" w:rsidRDefault="00B60B86" w:rsidP="00B60B86">
      <w:pPr>
        <w:numPr>
          <w:ilvl w:val="0"/>
          <w:numId w:val="3"/>
        </w:numPr>
        <w:rPr>
          <w:rFonts w:asciiTheme="majorBidi" w:hAnsiTheme="majorBidi" w:cstheme="majorBidi"/>
        </w:rPr>
      </w:pPr>
      <w:r w:rsidRPr="00CA76ED">
        <w:rPr>
          <w:rFonts w:asciiTheme="majorBidi" w:hAnsiTheme="majorBidi" w:cstheme="majorBidi"/>
        </w:rPr>
        <w:t>media regulation and publication practices;</w:t>
      </w:r>
    </w:p>
    <w:p w14:paraId="498FDA20" w14:textId="77777777" w:rsidR="00B60B86" w:rsidRPr="00CA76ED" w:rsidRDefault="00B60B86" w:rsidP="00B60B86">
      <w:pPr>
        <w:numPr>
          <w:ilvl w:val="0"/>
          <w:numId w:val="3"/>
        </w:numPr>
        <w:rPr>
          <w:rFonts w:asciiTheme="majorBidi" w:hAnsiTheme="majorBidi" w:cstheme="majorBidi"/>
        </w:rPr>
      </w:pPr>
      <w:r w:rsidRPr="00CA76ED">
        <w:rPr>
          <w:rFonts w:asciiTheme="majorBidi" w:hAnsiTheme="majorBidi" w:cstheme="majorBidi"/>
        </w:rPr>
        <w:t>digital communication and cybersecurity requirements;</w:t>
      </w:r>
    </w:p>
    <w:p w14:paraId="2EAFD392" w14:textId="77777777" w:rsidR="00B60B86" w:rsidRPr="00CA76ED" w:rsidRDefault="00B60B86" w:rsidP="00B60B86">
      <w:pPr>
        <w:numPr>
          <w:ilvl w:val="0"/>
          <w:numId w:val="3"/>
        </w:numPr>
        <w:rPr>
          <w:rFonts w:asciiTheme="majorBidi" w:hAnsiTheme="majorBidi" w:cstheme="majorBidi"/>
        </w:rPr>
      </w:pPr>
      <w:r w:rsidRPr="00CA76ED">
        <w:rPr>
          <w:rFonts w:asciiTheme="majorBidi" w:hAnsiTheme="majorBidi" w:cstheme="majorBidi"/>
        </w:rPr>
        <w:t>data protection and information governance;</w:t>
      </w:r>
    </w:p>
    <w:p w14:paraId="2A5448A1" w14:textId="77777777" w:rsidR="00B60B86" w:rsidRPr="00CA76ED" w:rsidRDefault="00B60B86" w:rsidP="00B60B86">
      <w:pPr>
        <w:numPr>
          <w:ilvl w:val="0"/>
          <w:numId w:val="3"/>
        </w:numPr>
        <w:rPr>
          <w:rFonts w:asciiTheme="majorBidi" w:hAnsiTheme="majorBidi" w:cstheme="majorBidi"/>
        </w:rPr>
      </w:pPr>
      <w:r w:rsidRPr="00CA76ED">
        <w:rPr>
          <w:rFonts w:asciiTheme="majorBidi" w:hAnsiTheme="majorBidi" w:cstheme="majorBidi"/>
        </w:rPr>
        <w:t>the protection of public interests, national security, and public order; and</w:t>
      </w:r>
    </w:p>
    <w:p w14:paraId="7E7311FD" w14:textId="77777777" w:rsidR="00B60B86" w:rsidRPr="00CA76ED" w:rsidRDefault="00B60B86" w:rsidP="00B60B86">
      <w:pPr>
        <w:numPr>
          <w:ilvl w:val="0"/>
          <w:numId w:val="3"/>
        </w:numPr>
        <w:rPr>
          <w:rFonts w:asciiTheme="majorBidi" w:hAnsiTheme="majorBidi" w:cstheme="majorBidi"/>
        </w:rPr>
      </w:pPr>
      <w:r w:rsidRPr="00CA76ED">
        <w:rPr>
          <w:rFonts w:asciiTheme="majorBidi" w:hAnsiTheme="majorBidi" w:cstheme="majorBidi"/>
        </w:rPr>
        <w:t>the prevention of misinformation, rumours, and misleading information.</w:t>
      </w:r>
    </w:p>
    <w:p w14:paraId="1F861E62"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This analysis examines how legislation defines the boundaries of government communication, assigns responsibilities to public institutions, and establishes expectations for responsible communication within a good-governance framework.</w:t>
      </w:r>
    </w:p>
    <w:p w14:paraId="774858A9" w14:textId="77777777" w:rsidR="00B60B86" w:rsidRPr="00CA76ED" w:rsidRDefault="00B60B86" w:rsidP="00CA76ED">
      <w:pPr>
        <w:jc w:val="both"/>
        <w:rPr>
          <w:rFonts w:asciiTheme="majorBidi" w:hAnsiTheme="majorBidi" w:cstheme="majorBidi"/>
          <w:b/>
          <w:bCs/>
        </w:rPr>
      </w:pPr>
      <w:r w:rsidRPr="00CA76ED">
        <w:rPr>
          <w:rFonts w:asciiTheme="majorBidi" w:hAnsiTheme="majorBidi" w:cstheme="majorBidi"/>
          <w:b/>
          <w:bCs/>
        </w:rPr>
        <w:t>3. Case Study Analysis</w:t>
      </w:r>
    </w:p>
    <w:p w14:paraId="2D7E3B0A"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UAE case is examined through selected examples of government communication that illustrate the interaction between communication strategy, digital transformation, and regulatory compliance. These examples include:</w:t>
      </w:r>
    </w:p>
    <w:p w14:paraId="5EABBAFC" w14:textId="77777777" w:rsidR="00B60B86" w:rsidRPr="00CA76ED" w:rsidRDefault="00B60B86" w:rsidP="00B60B86">
      <w:pPr>
        <w:numPr>
          <w:ilvl w:val="0"/>
          <w:numId w:val="4"/>
        </w:numPr>
        <w:rPr>
          <w:rFonts w:asciiTheme="majorBidi" w:hAnsiTheme="majorBidi" w:cstheme="majorBidi"/>
        </w:rPr>
      </w:pPr>
      <w:r w:rsidRPr="00CA76ED">
        <w:rPr>
          <w:rFonts w:asciiTheme="majorBidi" w:hAnsiTheme="majorBidi" w:cstheme="majorBidi"/>
        </w:rPr>
        <w:t>digital-government platforms and mechanisms for citizen engagement;</w:t>
      </w:r>
    </w:p>
    <w:p w14:paraId="7D3132E7" w14:textId="77777777" w:rsidR="00B60B86" w:rsidRPr="00CA76ED" w:rsidRDefault="00B60B86" w:rsidP="00B60B86">
      <w:pPr>
        <w:numPr>
          <w:ilvl w:val="0"/>
          <w:numId w:val="4"/>
        </w:numPr>
        <w:rPr>
          <w:rFonts w:asciiTheme="majorBidi" w:hAnsiTheme="majorBidi" w:cstheme="majorBidi"/>
        </w:rPr>
      </w:pPr>
      <w:r w:rsidRPr="00CA76ED">
        <w:rPr>
          <w:rFonts w:asciiTheme="majorBidi" w:hAnsiTheme="majorBidi" w:cstheme="majorBidi"/>
        </w:rPr>
        <w:t>official public-information initiatives; and</w:t>
      </w:r>
    </w:p>
    <w:p w14:paraId="637AD48E" w14:textId="77777777" w:rsidR="00B60B86" w:rsidRPr="00CA76ED" w:rsidRDefault="00B60B86" w:rsidP="00B60B86">
      <w:pPr>
        <w:numPr>
          <w:ilvl w:val="0"/>
          <w:numId w:val="4"/>
        </w:numPr>
        <w:rPr>
          <w:rFonts w:asciiTheme="majorBidi" w:hAnsiTheme="majorBidi" w:cstheme="majorBidi"/>
        </w:rPr>
      </w:pPr>
      <w:r w:rsidRPr="00CA76ED">
        <w:rPr>
          <w:rFonts w:asciiTheme="majorBidi" w:hAnsiTheme="majorBidi" w:cstheme="majorBidi"/>
        </w:rPr>
        <w:t>government communication during crises and emergency situations.</w:t>
      </w:r>
    </w:p>
    <w:p w14:paraId="7A39498A" w14:textId="77777777" w:rsidR="00B60B86" w:rsidRPr="00CA76ED" w:rsidRDefault="00B60B86" w:rsidP="00CA76ED">
      <w:pPr>
        <w:jc w:val="both"/>
        <w:rPr>
          <w:rFonts w:asciiTheme="majorBidi" w:hAnsiTheme="majorBidi" w:cstheme="majorBidi"/>
        </w:rPr>
      </w:pPr>
      <w:r w:rsidRPr="00CA76ED">
        <w:rPr>
          <w:rFonts w:asciiTheme="majorBidi" w:hAnsiTheme="majorBidi" w:cstheme="majorBidi"/>
        </w:rPr>
        <w:t>The cases are selected according to their relevance to the research objectives, particularly their relationship to transparency, public participation, institutional responsiveness, and public trust. Examining these cases makes it possible to assess how UAE government institutions use communication as a strategic governance instrument while operating within defined legal and regulatory boundaries.</w:t>
      </w:r>
    </w:p>
    <w:p w14:paraId="25F8319B" w14:textId="77777777" w:rsidR="0096025A" w:rsidRPr="00CA76ED" w:rsidRDefault="0096025A" w:rsidP="0096025A">
      <w:pPr>
        <w:rPr>
          <w:rFonts w:asciiTheme="majorBidi" w:hAnsiTheme="majorBidi" w:cstheme="majorBidi"/>
          <w:b/>
          <w:bCs/>
        </w:rPr>
      </w:pPr>
      <w:r w:rsidRPr="00CA76ED">
        <w:rPr>
          <w:rFonts w:asciiTheme="majorBidi" w:hAnsiTheme="majorBidi" w:cstheme="majorBidi"/>
          <w:b/>
          <w:bCs/>
        </w:rPr>
        <w:t>Research Trustworthiness and Credibility</w:t>
      </w:r>
    </w:p>
    <w:p w14:paraId="3D93DCCD" w14:textId="77777777" w:rsidR="0096025A" w:rsidRPr="00CA76ED" w:rsidRDefault="0096025A" w:rsidP="00CA76ED">
      <w:pPr>
        <w:jc w:val="both"/>
        <w:rPr>
          <w:rFonts w:asciiTheme="majorBidi" w:hAnsiTheme="majorBidi" w:cstheme="majorBidi"/>
        </w:rPr>
      </w:pPr>
      <w:r w:rsidRPr="00CA76ED">
        <w:rPr>
          <w:rFonts w:asciiTheme="majorBidi" w:hAnsiTheme="majorBidi" w:cstheme="majorBidi"/>
        </w:rPr>
        <w:t>The credibility and trustworthiness of the findings are supported through source triangulation. The study compares evidence from government documents, legislative and regulatory frameworks, institutional communication materials, and peer-reviewed academic literature. Drawing on these different types of sources reduces reliance on any single body of evidence and allows government communication to be examined from complementary legal, institutional, and theoretical perspectives. Where possible, interpretations are cross-checked across sources to identify areas of convergence, inconsistency, or difference.</w:t>
      </w:r>
    </w:p>
    <w:p w14:paraId="6C8A87FA" w14:textId="77777777" w:rsidR="0096025A" w:rsidRPr="00CA76ED" w:rsidRDefault="0096025A" w:rsidP="00CA76ED">
      <w:pPr>
        <w:jc w:val="both"/>
        <w:rPr>
          <w:rFonts w:asciiTheme="majorBidi" w:hAnsiTheme="majorBidi" w:cstheme="majorBidi"/>
          <w:b/>
          <w:bCs/>
        </w:rPr>
      </w:pPr>
      <w:r w:rsidRPr="00CA76ED">
        <w:rPr>
          <w:rFonts w:asciiTheme="majorBidi" w:hAnsiTheme="majorBidi" w:cstheme="majorBidi"/>
          <w:b/>
          <w:bCs/>
        </w:rPr>
        <w:t>Research Scope</w:t>
      </w:r>
    </w:p>
    <w:p w14:paraId="198F640E" w14:textId="77777777" w:rsidR="0096025A" w:rsidRPr="00CA76ED" w:rsidRDefault="0096025A" w:rsidP="00CA76ED">
      <w:pPr>
        <w:jc w:val="both"/>
        <w:rPr>
          <w:rFonts w:asciiTheme="majorBidi" w:hAnsiTheme="majorBidi" w:cstheme="majorBidi"/>
        </w:rPr>
      </w:pPr>
      <w:r w:rsidRPr="00CA76ED">
        <w:rPr>
          <w:rFonts w:asciiTheme="majorBidi" w:hAnsiTheme="majorBidi" w:cstheme="majorBidi"/>
        </w:rPr>
        <w:lastRenderedPageBreak/>
        <w:t>The study is limited to the United Arab Emirates, which is examined as a national case. Its temporal scope extends from 2015 to 2026. This period was selected because it captures the expansion of digital-government initiatives, the growing institutionalization of strategic communication, and the increasing use of digital platforms for public engagement and crisis communication.</w:t>
      </w:r>
    </w:p>
    <w:p w14:paraId="2CFE25A9" w14:textId="77777777" w:rsidR="0096025A" w:rsidRPr="00CA76ED" w:rsidRDefault="0096025A" w:rsidP="00CA76ED">
      <w:pPr>
        <w:jc w:val="both"/>
        <w:rPr>
          <w:rFonts w:asciiTheme="majorBidi" w:hAnsiTheme="majorBidi" w:cstheme="majorBidi"/>
        </w:rPr>
      </w:pPr>
      <w:r w:rsidRPr="00CA76ED">
        <w:rPr>
          <w:rFonts w:asciiTheme="majorBidi" w:hAnsiTheme="majorBidi" w:cstheme="majorBidi"/>
        </w:rPr>
        <w:t>The analysis focuses on the relationship between government communication practices and legal compliance as interconnected dimensions of good governance. It does not assess communication effectiveness solely in terms of technological capacity, service efficiency, or managerial performance. Instead, it considers how communication practices are shaped by legal and regulatory requirements and how this relationship affects transparency, accountability, public trust, and institutional legitimacy.</w:t>
      </w:r>
    </w:p>
    <w:p w14:paraId="42AAB351" w14:textId="77777777" w:rsidR="005F61AA" w:rsidRPr="002A4F55" w:rsidRDefault="005F61AA" w:rsidP="005F61AA">
      <w:pPr>
        <w:jc w:val="both"/>
        <w:rPr>
          <w:rFonts w:asciiTheme="majorBidi" w:hAnsiTheme="majorBidi" w:cstheme="majorBidi"/>
          <w:b/>
          <w:bCs/>
          <w:rtl/>
        </w:rPr>
      </w:pPr>
      <w:r w:rsidRPr="002A4F55">
        <w:rPr>
          <w:rFonts w:asciiTheme="majorBidi" w:hAnsiTheme="majorBidi" w:cstheme="majorBidi"/>
          <w:b/>
          <w:bCs/>
        </w:rPr>
        <w:t>2. Literature Review:</w:t>
      </w:r>
    </w:p>
    <w:p w14:paraId="29AE0949" w14:textId="77777777" w:rsidR="005F61AA" w:rsidRDefault="005F61AA" w:rsidP="005F61AA">
      <w:pPr>
        <w:jc w:val="both"/>
        <w:rPr>
          <w:rFonts w:asciiTheme="majorBidi" w:hAnsiTheme="majorBidi" w:cstheme="majorBidi"/>
        </w:rPr>
      </w:pPr>
      <w:r w:rsidRPr="00F3659A">
        <w:rPr>
          <w:rFonts w:asciiTheme="majorBidi" w:hAnsiTheme="majorBidi" w:cstheme="majorBidi"/>
        </w:rPr>
        <w:t>relationship between government communication, legal compliance, and good governance has attracted increasing attention in public administration, political communication, digital governance, and regulatory studies. Previous research has extensively examined communication effectiveness, transparency, citizen engagement, and crisis management; however, limited attention has been given to the legal frameworks that regulate government communication and shape its legitimacy, accountability, and credibility, particularly in emerging digital governance contexts.</w:t>
      </w:r>
    </w:p>
    <w:p w14:paraId="14A70DB7"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Canel and Sanders (2012) examined the nature and role of government communication within contemporary governance systems. The study aimed to move beyond the traditional perception of government communication as merely a public relations activity by conceptualizing it as an institutional practice connected to legitimacy, accountability, and the relationship between governments and citizens.</w:t>
      </w:r>
    </w:p>
    <w:p w14:paraId="67C5D0F0"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findings revealed that effective government communication requires strategic planning, professional standards, transparency, and continuous interaction with society. The authors emphasized that communication contributes to governmental legitimacy by enabling institutions to explain policies, justify decisions, and maintain public confidence.</w:t>
      </w:r>
    </w:p>
    <w:p w14:paraId="2AED6E84"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This study provides an important theoretical foundation for the current research because it establishes government communication as a governance mechanism rather than merely an information dissemination activity. However, the study does not extensively examine the role of legal compliance in regulating government communication practices, which represents one of the main contributions of the current research.</w:t>
      </w:r>
    </w:p>
    <w:p w14:paraId="71B583EF"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Grimmelikhuijsen et al. (2013) investigated the relationship between governmental transparency and citizens’ trust through a cross-national comparative experiment. The study aimed to determine whether transparent communication practices influence citizens’ perceptions of government credibility and reliability.</w:t>
      </w:r>
    </w:p>
    <w:p w14:paraId="5B935AB0"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lastRenderedPageBreak/>
        <w:t>The findings demonstrated that transparency positively affects public trust, particularly when governmental information is clear, accessible, and understandable. The study highlighted that transparency is not only related to providing information but also to the way governments communicate and present their decisions to citizens.</w:t>
      </w:r>
    </w:p>
    <w:p w14:paraId="3F0AFD4F" w14:textId="77777777" w:rsidR="005F61AA" w:rsidRPr="00150569" w:rsidRDefault="005F61AA" w:rsidP="005F61AA">
      <w:pPr>
        <w:jc w:val="both"/>
        <w:rPr>
          <w:rFonts w:asciiTheme="majorBidi" w:hAnsiTheme="majorBidi" w:cstheme="majorBidi"/>
        </w:rPr>
      </w:pPr>
      <w:r w:rsidRPr="002A4F55">
        <w:rPr>
          <w:rFonts w:asciiTheme="majorBidi" w:hAnsiTheme="majorBidi" w:cstheme="majorBidi"/>
        </w:rPr>
        <w:t>This study supports the current research by emphasizing transparency as a fundamental principle linking communication practices with good governance. Nevertheless, it focuses primarily on the effects of transparency on trust and does not address the legal frameworks that regulate governmental communication and ensure responsible information disclosure.</w:t>
      </w:r>
    </w:p>
    <w:p w14:paraId="23A4A4B4"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Janowski (2015) examined the evolution of digital government and identified the stages through which governments have progressed from basic digitization toward digital engagement and contextualized governance. The study aimed to explain how technological transformation has changed the relationship between governments and citizens.</w:t>
      </w:r>
    </w:p>
    <w:p w14:paraId="7E4F6188"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study found that digital government has moved beyond the automation of administrative processes toward creating interactive communication environments that encourage citizen participation and improve governance outcomes. The research emphasized that digital platforms have become tools for dialogue, collaboration, and public engagement.</w:t>
      </w:r>
    </w:p>
    <w:p w14:paraId="465D9DEF"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relevance of this study to the current research lies in explaining the transformation of government communication from a traditional one-way model toward interactive digital communication, particularly in the UAE context. However, the study focuses mainly on technological and governance transformation, without examining the legal responsibilities associated with digital government communication.</w:t>
      </w:r>
    </w:p>
    <w:p w14:paraId="1080B9A9"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Twizeyimana and Andersson (2019) reviewed existing literature on the public value of e-government and examined how digital government contributes to transparency, participation, service improvement, and institutional trust.</w:t>
      </w:r>
    </w:p>
    <w:p w14:paraId="355F4816"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findings indicated that digital government creates public value when technological development is accompanied by improvements in government responsiveness, accessibility, and citizen participation. The authors argued that successful digital transformation should not be evaluated only through technological advancement but also through its contribution to strengthening government–society relationships.</w:t>
      </w:r>
    </w:p>
    <w:p w14:paraId="235D369B" w14:textId="77777777" w:rsidR="005F61AA" w:rsidRDefault="005F61AA" w:rsidP="005F61AA">
      <w:pPr>
        <w:jc w:val="both"/>
        <w:rPr>
          <w:rFonts w:asciiTheme="majorBidi" w:hAnsiTheme="majorBidi" w:cstheme="majorBidi"/>
        </w:rPr>
      </w:pPr>
      <w:r w:rsidRPr="002A4F55">
        <w:rPr>
          <w:rFonts w:asciiTheme="majorBidi" w:hAnsiTheme="majorBidi" w:cstheme="majorBidi"/>
        </w:rPr>
        <w:t>This study contributes to the current research by supporting the relationship between digital communication and good governance principles. However, it does not explore how legal compliance and regulatory frameworks influence the credibility and legitimacy of digital government communication.</w:t>
      </w:r>
    </w:p>
    <w:p w14:paraId="4A049E24" w14:textId="77777777" w:rsidR="005F61AA" w:rsidRPr="00150569" w:rsidRDefault="005F61AA" w:rsidP="005F61AA">
      <w:pPr>
        <w:jc w:val="both"/>
        <w:rPr>
          <w:rFonts w:asciiTheme="majorBidi" w:hAnsiTheme="majorBidi" w:cstheme="majorBidi"/>
        </w:rPr>
      </w:pPr>
      <w:r w:rsidRPr="00150569">
        <w:rPr>
          <w:rFonts w:asciiTheme="majorBidi" w:hAnsiTheme="majorBidi" w:cstheme="majorBidi"/>
        </w:rPr>
        <w:t xml:space="preserve">Relly and Sabharwal (2009) examined the relationship between access-to-information frameworks and government accountability in comparative international contexts. The study aimed to </w:t>
      </w:r>
      <w:r w:rsidRPr="00150569">
        <w:rPr>
          <w:rFonts w:asciiTheme="majorBidi" w:hAnsiTheme="majorBidi" w:cstheme="majorBidi"/>
        </w:rPr>
        <w:lastRenderedPageBreak/>
        <w:t>understand how legal mechanisms regulating information disclosure influence transparency and institutional accountability.</w:t>
      </w:r>
    </w:p>
    <w:p w14:paraId="2E33B002" w14:textId="77777777" w:rsidR="005F61AA" w:rsidRPr="00150569" w:rsidRDefault="005F61AA" w:rsidP="005F61AA">
      <w:pPr>
        <w:jc w:val="both"/>
        <w:rPr>
          <w:rFonts w:asciiTheme="majorBidi" w:hAnsiTheme="majorBidi" w:cstheme="majorBidi"/>
        </w:rPr>
      </w:pPr>
      <w:r w:rsidRPr="00150569">
        <w:rPr>
          <w:rFonts w:asciiTheme="majorBidi" w:hAnsiTheme="majorBidi" w:cstheme="majorBidi"/>
        </w:rPr>
        <w:t>The findings demonstrated that effective access-to-information systems require clear legal obligations, institutional procedures, and balanced approaches between public disclosure and legitimate restrictions related to security and privacy.</w:t>
      </w:r>
    </w:p>
    <w:p w14:paraId="0FF409E8" w14:textId="77777777" w:rsidR="005F61AA" w:rsidRPr="002A4F55" w:rsidRDefault="005F61AA" w:rsidP="005F61AA">
      <w:pPr>
        <w:jc w:val="both"/>
        <w:rPr>
          <w:rFonts w:asciiTheme="majorBidi" w:hAnsiTheme="majorBidi" w:cstheme="majorBidi"/>
        </w:rPr>
      </w:pPr>
      <w:r w:rsidRPr="00150569">
        <w:rPr>
          <w:rFonts w:asciiTheme="majorBidi" w:hAnsiTheme="majorBidi" w:cstheme="majorBidi"/>
        </w:rPr>
        <w:t>This study contributes to the current research by explaining the role of legal frameworks in regulating governmental information practices. However, it does not specifically examine government communication as an institutional practice or the interaction between communication strategies and legal compliance, which represents a central focus of the current study.</w:t>
      </w:r>
    </w:p>
    <w:p w14:paraId="202CC035"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Coombs (2021) focused on crisis communication and examined the strategies organizations and institutions use to prepare for, respond to, and recover from crises. The study aimed to explain how communication influences stakeholder perceptions, institutional reputation, and public confidence during periods of uncertainty.</w:t>
      </w:r>
    </w:p>
    <w:p w14:paraId="6FD66A32"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findings emphasized that effective crisis communication requires preparation, accuracy, consistency, transparency, and rapid response. The study demonstrated that communication failures during crises may negatively affect institutional credibility, while responsible communication strengthens trust and reputation.</w:t>
      </w:r>
    </w:p>
    <w:p w14:paraId="0FB5022B" w14:textId="77777777" w:rsidR="005F61AA" w:rsidRDefault="005F61AA" w:rsidP="005F61AA">
      <w:pPr>
        <w:jc w:val="both"/>
        <w:rPr>
          <w:rFonts w:asciiTheme="majorBidi" w:hAnsiTheme="majorBidi" w:cstheme="majorBidi"/>
        </w:rPr>
      </w:pPr>
      <w:r w:rsidRPr="002A4F55">
        <w:rPr>
          <w:rFonts w:asciiTheme="majorBidi" w:hAnsiTheme="majorBidi" w:cstheme="majorBidi"/>
        </w:rPr>
        <w:t>The study supports the current research by explaining the importance of communication effectiveness during crises, particularly in relation to government communication. However, it primarily examines crisis communication from a strategic perspective and does not sufficiently address the legal obligations governing official communication during emergencies.</w:t>
      </w:r>
    </w:p>
    <w:p w14:paraId="2E20E4CB" w14:textId="77777777" w:rsidR="005F61AA" w:rsidRPr="00150569" w:rsidRDefault="005F61AA" w:rsidP="005F61AA">
      <w:pPr>
        <w:jc w:val="both"/>
        <w:rPr>
          <w:rFonts w:asciiTheme="majorBidi" w:hAnsiTheme="majorBidi" w:cstheme="majorBidi"/>
        </w:rPr>
      </w:pPr>
      <w:r w:rsidRPr="00150569">
        <w:rPr>
          <w:rFonts w:asciiTheme="majorBidi" w:hAnsiTheme="majorBidi" w:cstheme="majorBidi"/>
        </w:rPr>
        <w:t>Bannister and Connolly (2014) examined the governance challenges associated with digital transformation in the public sector, emphasizing that digital government requires appropriate institutional and regulatory arrangements to ensure accountability, responsible information management, and protection of public interests. The study demonstrated that technological development alone cannot guarantee effective governance without legal and organizational frameworks that regulate information practices. This perspective supports the current research by explaining the importance of legal compliance in ensuring responsible government communication. However, the study does not specifically analyze official government communication practices or their relationship with legal obligations.</w:t>
      </w:r>
    </w:p>
    <w:p w14:paraId="3EF609ED" w14:textId="77777777" w:rsidR="005F61AA" w:rsidRPr="00150569" w:rsidRDefault="005F61AA" w:rsidP="005F61AA">
      <w:pPr>
        <w:jc w:val="both"/>
        <w:rPr>
          <w:rFonts w:asciiTheme="majorBidi" w:hAnsiTheme="majorBidi" w:cstheme="majorBidi"/>
        </w:rPr>
      </w:pPr>
      <w:r w:rsidRPr="00150569">
        <w:rPr>
          <w:rFonts w:asciiTheme="majorBidi" w:hAnsiTheme="majorBidi" w:cstheme="majorBidi"/>
        </w:rPr>
        <w:t xml:space="preserve">Wardle and Derakhshan (2017) investigated the challenges associated with information disorder, including misinformation and disinformation, and their impact on public understanding and institutional trust. The study emphasized the importance of coordinated institutional responses combining communication strategies and regulatory mechanisms to reduce the negative consequences of misleading information. This study supports the current research by demonstrating the importance of legal and institutional controls in protecting the credibility of </w:t>
      </w:r>
      <w:r w:rsidRPr="00150569">
        <w:rPr>
          <w:rFonts w:asciiTheme="majorBidi" w:hAnsiTheme="majorBidi" w:cstheme="majorBidi"/>
        </w:rPr>
        <w:lastRenderedPageBreak/>
        <w:t>public communication. Nevertheless, it does not examine these issues within a government communication framework.</w:t>
      </w:r>
    </w:p>
    <w:p w14:paraId="7FE79C31" w14:textId="77777777" w:rsidR="005F61AA" w:rsidRPr="002A4F55" w:rsidRDefault="005F61AA" w:rsidP="005F61AA">
      <w:pPr>
        <w:jc w:val="both"/>
        <w:rPr>
          <w:rFonts w:asciiTheme="majorBidi" w:hAnsiTheme="majorBidi" w:cstheme="majorBidi"/>
        </w:rPr>
      </w:pPr>
    </w:p>
    <w:p w14:paraId="735FEE7F"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Research Gap</w:t>
      </w:r>
    </w:p>
    <w:p w14:paraId="424D7127" w14:textId="77777777" w:rsidR="005F61AA" w:rsidRPr="00735A14" w:rsidRDefault="005F61AA" w:rsidP="005F61AA">
      <w:pPr>
        <w:jc w:val="both"/>
        <w:rPr>
          <w:rFonts w:asciiTheme="majorBidi" w:hAnsiTheme="majorBidi" w:cstheme="majorBidi"/>
        </w:rPr>
      </w:pPr>
      <w:r w:rsidRPr="00735A14">
        <w:rPr>
          <w:rFonts w:asciiTheme="majorBidi" w:hAnsiTheme="majorBidi" w:cstheme="majorBidi"/>
        </w:rPr>
        <w:t>The review of previous studies indicates that existing literature has made significant contributions to understanding government communication, transparency, digital transformation, citizen engagement, crisis management, and information governance. Previous research has primarily examined government communication from a strategic and managerial perspective, focusing on its role in disseminating public information, enhancing transparency, promoting citizen participation, managing crises, and strengthening public trust.</w:t>
      </w:r>
    </w:p>
    <w:p w14:paraId="2FFAB81D" w14:textId="77777777" w:rsidR="005F61AA" w:rsidRPr="00735A14" w:rsidRDefault="005F61AA" w:rsidP="005F61AA">
      <w:pPr>
        <w:jc w:val="both"/>
        <w:rPr>
          <w:rFonts w:asciiTheme="majorBidi" w:hAnsiTheme="majorBidi" w:cstheme="majorBidi"/>
        </w:rPr>
      </w:pPr>
      <w:r w:rsidRPr="00735A14">
        <w:rPr>
          <w:rFonts w:asciiTheme="majorBidi" w:hAnsiTheme="majorBidi" w:cstheme="majorBidi"/>
        </w:rPr>
        <w:t>However, despite the growing importance of regulatory frameworks in shaping public sector communication, limited scholarly attention has been devoted to examining legal compliance as an essential dimension of government communication. Existing studies have generally addressed transparency, access to information, digital governance, and crisis communication separately, without sufficiently exploring how legal frameworks regulate communication practices, define institutional responsibilities, and influence the credibility and legitimacy of governmental messages.</w:t>
      </w:r>
    </w:p>
    <w:p w14:paraId="40760D4C" w14:textId="77777777" w:rsidR="005F61AA" w:rsidRPr="00735A14" w:rsidRDefault="005F61AA" w:rsidP="005F61AA">
      <w:pPr>
        <w:jc w:val="both"/>
        <w:rPr>
          <w:rFonts w:asciiTheme="majorBidi" w:hAnsiTheme="majorBidi" w:cstheme="majorBidi"/>
        </w:rPr>
      </w:pPr>
      <w:r w:rsidRPr="00735A14">
        <w:rPr>
          <w:rFonts w:asciiTheme="majorBidi" w:hAnsiTheme="majorBidi" w:cstheme="majorBidi"/>
        </w:rPr>
        <w:t>Furthermore, limited research has investigated the interaction between communication practices and legal requirements within the context of Arab and Gulf governance systems, particularly in the United Arab Emirates, where digital transformation and institutional communication have developed within a comprehensive regulatory environment.</w:t>
      </w:r>
    </w:p>
    <w:p w14:paraId="0BE8F182" w14:textId="77777777" w:rsidR="005F61AA" w:rsidRPr="002A4F55" w:rsidRDefault="005F61AA" w:rsidP="005F61AA">
      <w:pPr>
        <w:jc w:val="both"/>
        <w:rPr>
          <w:rFonts w:asciiTheme="majorBidi" w:hAnsiTheme="majorBidi" w:cstheme="majorBidi"/>
        </w:rPr>
      </w:pPr>
      <w:r w:rsidRPr="00735A14">
        <w:rPr>
          <w:rFonts w:asciiTheme="majorBidi" w:hAnsiTheme="majorBidi" w:cstheme="majorBidi"/>
        </w:rPr>
        <w:t>Therefore, this study addresses this gap by examining government communication in the UAE through an integrated perspective that combines communicative practice and legal compliance as interconnected foundations for achieving good governance. By analyzing the UAE experience, the study aims to provide insights into how regulatory frameworks, professional communication practices, and governance principles interact to enhance transparency, accountability, institutional legitimacy, and public trust.</w:t>
      </w:r>
    </w:p>
    <w:p w14:paraId="0285B3FD" w14:textId="77777777" w:rsidR="005F61AA" w:rsidRPr="002A4F55" w:rsidRDefault="005F61AA" w:rsidP="005F61AA">
      <w:pPr>
        <w:jc w:val="both"/>
        <w:rPr>
          <w:rFonts w:asciiTheme="majorBidi" w:hAnsiTheme="majorBidi" w:cstheme="majorBidi"/>
          <w:b/>
          <w:bCs/>
          <w:rtl/>
        </w:rPr>
      </w:pPr>
      <w:r w:rsidRPr="002A4F55">
        <w:rPr>
          <w:rFonts w:asciiTheme="majorBidi" w:hAnsiTheme="majorBidi" w:cstheme="majorBidi"/>
          <w:b/>
          <w:bCs/>
        </w:rPr>
        <w:t>3. Case Study Approach:</w:t>
      </w:r>
    </w:p>
    <w:p w14:paraId="5E56A762" w14:textId="77777777" w:rsidR="005F61AA" w:rsidRDefault="005F61AA" w:rsidP="005F61AA">
      <w:pPr>
        <w:jc w:val="both"/>
        <w:rPr>
          <w:rFonts w:asciiTheme="majorBidi" w:hAnsiTheme="majorBidi" w:cstheme="majorBidi"/>
        </w:rPr>
      </w:pPr>
      <w:r w:rsidRPr="00C1118A">
        <w:rPr>
          <w:rFonts w:asciiTheme="majorBidi" w:hAnsiTheme="majorBidi" w:cstheme="majorBidi"/>
        </w:rPr>
        <w:t>The research analyzes practical examples from UAE government institutions that have adopted digital communication strategies and crisis communication practices to enhance transparency, responsiveness, and societal trust. Particular attention is given to the role of government communication during national and regional crises, with specific reference to the UAE government communication practices during the Gulf regional crisis associated with the Israeli–American military confrontation with Iran (February–March 2026). This case provides an opportunity to examine how governmental institutions manage official information dissemination, public reassurance, and crisis-related communication within a legal and regulatory framework.</w:t>
      </w:r>
    </w:p>
    <w:p w14:paraId="3D603677"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lastRenderedPageBreak/>
        <w:t>Research Limitations</w:t>
      </w:r>
    </w:p>
    <w:p w14:paraId="2F16583C" w14:textId="77777777" w:rsidR="005F61AA" w:rsidRPr="002A4F55" w:rsidRDefault="005F61AA" w:rsidP="005F61AA">
      <w:pPr>
        <w:jc w:val="both"/>
        <w:rPr>
          <w:rFonts w:asciiTheme="majorBidi" w:hAnsiTheme="majorBidi" w:cstheme="majorBidi"/>
          <w:b/>
          <w:bCs/>
          <w:rtl/>
        </w:rPr>
      </w:pPr>
      <w:r w:rsidRPr="002A4F55">
        <w:rPr>
          <w:rFonts w:asciiTheme="majorBidi" w:hAnsiTheme="majorBidi" w:cstheme="majorBidi"/>
          <w:b/>
          <w:bCs/>
        </w:rPr>
        <w:t>Subject Limitations:</w:t>
      </w:r>
    </w:p>
    <w:p w14:paraId="0743C9F2" w14:textId="77777777" w:rsidR="005F61AA" w:rsidRPr="00C1118A" w:rsidRDefault="005F61AA" w:rsidP="005F61AA">
      <w:pPr>
        <w:jc w:val="both"/>
        <w:rPr>
          <w:rFonts w:asciiTheme="majorBidi" w:hAnsiTheme="majorBidi" w:cstheme="majorBidi"/>
        </w:rPr>
      </w:pPr>
      <w:r w:rsidRPr="00C1118A">
        <w:rPr>
          <w:rFonts w:asciiTheme="majorBidi" w:hAnsiTheme="majorBidi" w:cstheme="majorBidi"/>
        </w:rPr>
        <w:t>This study focuses on the relationship between government communication practices and legal compliance as interconnected dimensions of good governance. It examines how communication strategies contribute to transparency, accountability, institutional legitimacy, and public trust within the boundaries of legal and regulatory frameworks.</w:t>
      </w:r>
    </w:p>
    <w:p w14:paraId="4EA6FBB7" w14:textId="77777777" w:rsidR="005F61AA" w:rsidRPr="002A4F55" w:rsidRDefault="005F61AA" w:rsidP="005F61AA">
      <w:pPr>
        <w:jc w:val="both"/>
        <w:rPr>
          <w:rFonts w:asciiTheme="majorBidi" w:hAnsiTheme="majorBidi" w:cstheme="majorBidi"/>
          <w:b/>
          <w:bCs/>
          <w:rtl/>
        </w:rPr>
      </w:pPr>
      <w:r w:rsidRPr="002A4F55">
        <w:rPr>
          <w:rFonts w:asciiTheme="majorBidi" w:hAnsiTheme="majorBidi" w:cstheme="majorBidi"/>
          <w:b/>
          <w:bCs/>
        </w:rPr>
        <w:t>Spatial Limitations:</w:t>
      </w:r>
    </w:p>
    <w:p w14:paraId="77137B29" w14:textId="77777777" w:rsidR="005F61AA" w:rsidRPr="00C1118A" w:rsidRDefault="005F61AA" w:rsidP="005F61AA">
      <w:pPr>
        <w:jc w:val="both"/>
        <w:rPr>
          <w:rFonts w:asciiTheme="majorBidi" w:hAnsiTheme="majorBidi" w:cstheme="majorBidi"/>
        </w:rPr>
      </w:pPr>
      <w:r w:rsidRPr="00C1118A">
        <w:rPr>
          <w:rFonts w:asciiTheme="majorBidi" w:hAnsiTheme="majorBidi" w:cstheme="majorBidi"/>
        </w:rPr>
        <w:t>The study is limited to the United Arab Emirates as a single-country case study. The UAE was selected due to its advanced experience in digital government transformation, institutional communication development, and the establishment of regulatory frameworks governing information dissemination and public sector communication.</w:t>
      </w:r>
    </w:p>
    <w:p w14:paraId="4168D260" w14:textId="77777777" w:rsidR="005F61AA" w:rsidRPr="002A4F55" w:rsidRDefault="005F61AA" w:rsidP="005F61AA">
      <w:pPr>
        <w:jc w:val="both"/>
        <w:rPr>
          <w:rFonts w:asciiTheme="majorBidi" w:hAnsiTheme="majorBidi" w:cstheme="majorBidi"/>
          <w:b/>
          <w:bCs/>
          <w:rtl/>
        </w:rPr>
      </w:pPr>
      <w:r w:rsidRPr="002A4F55">
        <w:rPr>
          <w:rFonts w:asciiTheme="majorBidi" w:hAnsiTheme="majorBidi" w:cstheme="majorBidi"/>
          <w:b/>
          <w:bCs/>
        </w:rPr>
        <w:t>Temporal Limitations:</w:t>
      </w:r>
    </w:p>
    <w:p w14:paraId="6D5B77BA" w14:textId="77777777" w:rsidR="005F61AA" w:rsidRPr="002A4F55" w:rsidRDefault="005F61AA" w:rsidP="005F61AA">
      <w:pPr>
        <w:jc w:val="both"/>
        <w:rPr>
          <w:rFonts w:asciiTheme="majorBidi" w:hAnsiTheme="majorBidi" w:cstheme="majorBidi"/>
          <w:rtl/>
        </w:rPr>
      </w:pPr>
      <w:r w:rsidRPr="00C1118A">
        <w:rPr>
          <w:rFonts w:asciiTheme="majorBidi" w:hAnsiTheme="majorBidi" w:cstheme="majorBidi"/>
        </w:rPr>
        <w:t>The study focuses on developments in government communication during the last decade, particularly the period characterized by digital transformation, expansion of government communication platforms, and increased reliance on strategic communication during crises. The study also considers recent crisis communication practices, including the UAE government communication response during the Gulf regional crisis associated with the Israeli–American military confrontation with Iran in February–March 2026, as an illustrative contemporary example of government communication under conditions of uncertainty.</w:t>
      </w:r>
    </w:p>
    <w:p w14:paraId="690D0604" w14:textId="77777777" w:rsidR="005F61AA" w:rsidRPr="00EA6293" w:rsidRDefault="005F61AA" w:rsidP="005F61AA">
      <w:pPr>
        <w:jc w:val="both"/>
        <w:rPr>
          <w:rFonts w:asciiTheme="majorBidi" w:hAnsiTheme="majorBidi" w:cstheme="majorBidi"/>
          <w:b/>
          <w:bCs/>
          <w:color w:val="EE0000"/>
        </w:rPr>
      </w:pPr>
      <w:r w:rsidRPr="00EA6293">
        <w:rPr>
          <w:rFonts w:asciiTheme="majorBidi" w:hAnsiTheme="majorBidi" w:cstheme="majorBidi"/>
          <w:b/>
          <w:bCs/>
          <w:color w:val="EE0000"/>
          <w:u w:val="single"/>
        </w:rPr>
        <w:t>Chapter One</w:t>
      </w:r>
      <w:r w:rsidRPr="00EA6293">
        <w:rPr>
          <w:rFonts w:asciiTheme="majorBidi" w:hAnsiTheme="majorBidi" w:cstheme="majorBidi"/>
          <w:b/>
          <w:bCs/>
          <w:color w:val="EE0000"/>
        </w:rPr>
        <w:t>: Government Communication and Communication Practices as a Tool for Achieving Good Governance</w:t>
      </w:r>
    </w:p>
    <w:p w14:paraId="33ACB393"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First: Government Communication in the United Arab Emirates</w:t>
      </w:r>
    </w:p>
    <w:p w14:paraId="0371EC5E" w14:textId="77777777" w:rsidR="005F61AA" w:rsidRPr="005640F8" w:rsidRDefault="005F61AA" w:rsidP="005F61AA">
      <w:pPr>
        <w:jc w:val="both"/>
        <w:rPr>
          <w:rFonts w:asciiTheme="majorBidi" w:hAnsiTheme="majorBidi" w:cstheme="majorBidi"/>
        </w:rPr>
      </w:pPr>
      <w:r w:rsidRPr="005640F8">
        <w:rPr>
          <w:rFonts w:asciiTheme="majorBidi" w:hAnsiTheme="majorBidi" w:cstheme="majorBidi"/>
        </w:rPr>
        <w:t>Government communication has evolved from a traditional function concerned mainly with disseminating official information into a strategic governance mechanism that shapes the relationship between governments and society. Contemporary government communication contributes to policy explanation, institutional legitimacy, transparency, and citizen engagement by creating continuous channels of interaction between public institutions and citizens (Canel &amp; Sanders, 2016, p. 1).</w:t>
      </w:r>
    </w:p>
    <w:p w14:paraId="44857D15" w14:textId="77777777" w:rsidR="005F61AA" w:rsidRPr="005640F8" w:rsidRDefault="005F61AA" w:rsidP="005F61AA">
      <w:pPr>
        <w:jc w:val="both"/>
        <w:rPr>
          <w:rFonts w:asciiTheme="majorBidi" w:hAnsiTheme="majorBidi" w:cstheme="majorBidi"/>
        </w:rPr>
      </w:pPr>
      <w:r w:rsidRPr="005640F8">
        <w:rPr>
          <w:rFonts w:asciiTheme="majorBidi" w:hAnsiTheme="majorBidi" w:cstheme="majorBidi"/>
        </w:rPr>
        <w:t>From a governance perspective, communication represents an essential instrument for achieving transparency, accountability, participation, and responsiveness, which are among the core principles of good governance (United Nations, 2022, p.</w:t>
      </w:r>
      <w:r>
        <w:rPr>
          <w:rFonts w:asciiTheme="majorBidi" w:hAnsiTheme="majorBidi" w:cstheme="majorBidi"/>
        </w:rPr>
        <w:t>4</w:t>
      </w:r>
      <w:r w:rsidRPr="005640F8">
        <w:rPr>
          <w:rFonts w:asciiTheme="majorBidi" w:hAnsiTheme="majorBidi" w:cstheme="majorBidi"/>
        </w:rPr>
        <w:t>). Therefore, government communication should not be understood merely as an administrative activity but as a strategic capability that influences public trust and the effectiveness of governmental policies.</w:t>
      </w:r>
    </w:p>
    <w:p w14:paraId="501C6B8A" w14:textId="77777777" w:rsidR="005F61AA" w:rsidRPr="002A4F55" w:rsidRDefault="005F61AA" w:rsidP="005F61AA">
      <w:pPr>
        <w:jc w:val="both"/>
        <w:rPr>
          <w:rFonts w:asciiTheme="majorBidi" w:hAnsiTheme="majorBidi" w:cstheme="majorBidi"/>
        </w:rPr>
      </w:pPr>
      <w:r w:rsidRPr="005640F8">
        <w:rPr>
          <w:rFonts w:asciiTheme="majorBidi" w:hAnsiTheme="majorBidi" w:cstheme="majorBidi"/>
        </w:rPr>
        <w:t xml:space="preserve">In the United Arab Emirates (UAE), government communication has undergone significant transformation alongside the country's digital government development. The UAE has </w:t>
      </w:r>
      <w:r w:rsidRPr="005640F8">
        <w:rPr>
          <w:rFonts w:asciiTheme="majorBidi" w:hAnsiTheme="majorBidi" w:cstheme="majorBidi"/>
        </w:rPr>
        <w:lastRenderedPageBreak/>
        <w:t xml:space="preserve">progressively moved from traditional government information dissemination through mass media toward integrated digital communication systems based on online platforms, social media channels, and interactive government services. This transformation reflects the international shift from electronic government, which primarily focused on service digitization, toward digital government, which emphasizes engagement, participation, and public value creation (Janowski, 2015, p. </w:t>
      </w:r>
      <w:r>
        <w:rPr>
          <w:rFonts w:asciiTheme="majorBidi" w:hAnsiTheme="majorBidi" w:cstheme="majorBidi"/>
        </w:rPr>
        <w:t>225</w:t>
      </w:r>
      <w:r w:rsidRPr="005640F8">
        <w:rPr>
          <w:rFonts w:asciiTheme="majorBidi" w:hAnsiTheme="majorBidi" w:cstheme="majorBidi"/>
        </w:rPr>
        <w:t>).</w:t>
      </w:r>
    </w:p>
    <w:p w14:paraId="6D566FF6"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1. The Evolution from a One-Way Communication Model to Interactive Digital Communication</w:t>
      </w:r>
    </w:p>
    <w:p w14:paraId="2812209D"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During the early stages of government communication, public institutions mainly relied on traditional media channels, including newspapers, radio, and television, to disseminate official information and explain governmental decisions. This model was characterized by a vertical flow of communication, where governments acted primarily as information providers, while citizens occupied the role of information receivers with limited opportunities for interaction.</w:t>
      </w:r>
    </w:p>
    <w:p w14:paraId="5A79DE68"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This traditional approach corresponds with the early government-centered model described in public administration literature, where communication systems were primarily designed to improve information accessibility rather than encourage citizen participation (Bertot, Jaeger, &amp; Hansen, 2012, p. 3</w:t>
      </w:r>
      <w:r>
        <w:rPr>
          <w:rFonts w:asciiTheme="majorBidi" w:hAnsiTheme="majorBidi" w:cstheme="majorBidi"/>
        </w:rPr>
        <w:t>2</w:t>
      </w:r>
      <w:r w:rsidRPr="00A63ED7">
        <w:rPr>
          <w:rFonts w:asciiTheme="majorBidi" w:hAnsiTheme="majorBidi" w:cstheme="majorBidi"/>
        </w:rPr>
        <w:t>).</w:t>
      </w:r>
    </w:p>
    <w:p w14:paraId="10561E8A"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Although some public institutions introduced mechanisms such as complaints and suggestion systems, these tools generally represented limited forms of interaction because they focused mainly on responding to individual requests rather than involving citizens in policy development or service improvement (Bertot et al., 2012, p 34).</w:t>
      </w:r>
    </w:p>
    <w:p w14:paraId="52DE570B"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The transition toward citizen-centered governance changed the role of public communication. Governments increasingly began to use citizen feedback, satisfaction measurements, and engagement mechanisms to improve service quality and align policies with societal expectations (OECD, 2020, p.</w:t>
      </w:r>
      <w:r>
        <w:rPr>
          <w:rFonts w:asciiTheme="majorBidi" w:hAnsiTheme="majorBidi" w:cstheme="majorBidi"/>
        </w:rPr>
        <w:t>23</w:t>
      </w:r>
      <w:r w:rsidRPr="00A63ED7">
        <w:rPr>
          <w:rFonts w:asciiTheme="majorBidi" w:hAnsiTheme="majorBidi" w:cstheme="majorBidi"/>
        </w:rPr>
        <w:t>).</w:t>
      </w:r>
    </w:p>
    <w:p w14:paraId="36BE22B4"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In the UAE, this transformation became more visible with the implementation of smart government initiatives and digital platforms that enabled direct communication between government institutions and citizens. Digital channels allowed government entities to provide services, collect feedback, respond to inquiries, and communicate policies more efficiently. These developments reflect the principles of digital governance, where technology is used not only for administrative efficiency but also to strengthen transparency, participation, and government–society relationships (OECD, 2020, p.</w:t>
      </w:r>
      <w:r>
        <w:rPr>
          <w:rFonts w:asciiTheme="majorBidi" w:hAnsiTheme="majorBidi" w:cstheme="majorBidi"/>
        </w:rPr>
        <w:t>38</w:t>
      </w:r>
      <w:r w:rsidRPr="00A63ED7">
        <w:rPr>
          <w:rFonts w:asciiTheme="majorBidi" w:hAnsiTheme="majorBidi" w:cstheme="majorBidi"/>
        </w:rPr>
        <w:t>).</w:t>
      </w:r>
    </w:p>
    <w:p w14:paraId="374627D6"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 xml:space="preserve">The digital transformation of government communication has therefore expanded its strategic role. Communication is no longer limited to announcing governmental decisions; it has become a mechanism for monitoring public expectations, evaluating service performance, collecting feedback, and supporting evidence-based decision-making (Mergel, Edelmann, &amp; Haug, 2019, p. </w:t>
      </w:r>
      <w:r>
        <w:rPr>
          <w:rFonts w:asciiTheme="majorBidi" w:hAnsiTheme="majorBidi" w:cstheme="majorBidi"/>
        </w:rPr>
        <w:t>7</w:t>
      </w:r>
      <w:r w:rsidRPr="00A63ED7">
        <w:rPr>
          <w:rFonts w:asciiTheme="majorBidi" w:hAnsiTheme="majorBidi" w:cstheme="majorBidi"/>
        </w:rPr>
        <w:t>).</w:t>
      </w:r>
    </w:p>
    <w:p w14:paraId="19730B6B"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lastRenderedPageBreak/>
        <w:t>The COVID-19 pandemic further demonstrated the importance of digital government communication. During the crisis, governments relied on official digital platforms and social media channels to provide health information, issue preventive instructions, and counter misinformation. International assessments of digital government highlight that countries with developed digital infrastructures were better positioned to maintain communication continuity and public awareness during emergencies (United Nations, 2022, p.</w:t>
      </w:r>
      <w:r>
        <w:rPr>
          <w:rFonts w:asciiTheme="majorBidi" w:hAnsiTheme="majorBidi" w:cstheme="majorBidi"/>
        </w:rPr>
        <w:t>64</w:t>
      </w:r>
      <w:r w:rsidRPr="00A63ED7">
        <w:rPr>
          <w:rFonts w:asciiTheme="majorBidi" w:hAnsiTheme="majorBidi" w:cstheme="majorBidi"/>
        </w:rPr>
        <w:t>).</w:t>
      </w:r>
    </w:p>
    <w:p w14:paraId="6D89D711" w14:textId="77777777" w:rsidR="005F61AA" w:rsidRPr="00A63ED7" w:rsidRDefault="005F61AA" w:rsidP="005F61AA">
      <w:pPr>
        <w:jc w:val="both"/>
        <w:rPr>
          <w:rFonts w:asciiTheme="majorBidi" w:hAnsiTheme="majorBidi" w:cstheme="majorBidi"/>
        </w:rPr>
      </w:pPr>
      <w:r w:rsidRPr="00A63ED7">
        <w:rPr>
          <w:rFonts w:asciiTheme="majorBidi" w:hAnsiTheme="majorBidi" w:cstheme="majorBidi"/>
        </w:rPr>
        <w:t>The UAE experience illustrates how digital communication capabilities can support crisis governance by ensuring rapid access to verified information and maintaining communication between government institutions and society (United Nations, 2024, p.</w:t>
      </w:r>
      <w:r>
        <w:rPr>
          <w:rFonts w:asciiTheme="majorBidi" w:hAnsiTheme="majorBidi" w:cstheme="majorBidi"/>
        </w:rPr>
        <w:t>46</w:t>
      </w:r>
      <w:r w:rsidRPr="00A63ED7">
        <w:rPr>
          <w:rFonts w:asciiTheme="majorBidi" w:hAnsiTheme="majorBidi" w:cstheme="majorBidi"/>
        </w:rPr>
        <w:t>).</w:t>
      </w:r>
    </w:p>
    <w:p w14:paraId="5C0CA727" w14:textId="77777777" w:rsidR="005F61AA" w:rsidRPr="002A4F55" w:rsidRDefault="005F61AA" w:rsidP="005F61AA">
      <w:pPr>
        <w:jc w:val="both"/>
        <w:rPr>
          <w:rFonts w:asciiTheme="majorBidi" w:hAnsiTheme="majorBidi" w:cstheme="majorBidi"/>
        </w:rPr>
      </w:pPr>
    </w:p>
    <w:p w14:paraId="6C75664C"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2. The Role of Smart Government and Digital Platforms in Enhancing Communication with Society</w:t>
      </w:r>
    </w:p>
    <w:p w14:paraId="6EE2575C" w14:textId="77777777" w:rsidR="005F61AA" w:rsidRPr="00B72975" w:rsidRDefault="005F61AA" w:rsidP="005F61AA">
      <w:pPr>
        <w:jc w:val="both"/>
        <w:rPr>
          <w:rFonts w:asciiTheme="majorBidi" w:hAnsiTheme="majorBidi" w:cstheme="majorBidi"/>
        </w:rPr>
      </w:pPr>
      <w:r w:rsidRPr="00B72975">
        <w:rPr>
          <w:rFonts w:asciiTheme="majorBidi" w:hAnsiTheme="majorBidi" w:cstheme="majorBidi"/>
        </w:rPr>
        <w:t>Smart government initiatives have played a central role in strengthening government communication by creating digital environments that allow citizens and residents to access information, obtain public services, submit feedback, and interact directly with governmental institutions. These platforms represent a transition from traditional administrative communication toward a more participatory model of digital governance, where technology supports interaction and citizen engagement rather than only service automation (Janowski, 2015, p. 225).</w:t>
      </w:r>
    </w:p>
    <w:p w14:paraId="7C3E5808" w14:textId="77777777" w:rsidR="005F61AA" w:rsidRPr="008E4DC6" w:rsidRDefault="005F61AA" w:rsidP="005F61AA">
      <w:pPr>
        <w:jc w:val="both"/>
        <w:rPr>
          <w:rFonts w:asciiTheme="majorBidi" w:hAnsiTheme="majorBidi" w:cstheme="majorBidi"/>
        </w:rPr>
      </w:pPr>
      <w:r w:rsidRPr="008E4DC6">
        <w:rPr>
          <w:rFonts w:asciiTheme="majorBidi" w:hAnsiTheme="majorBidi" w:cstheme="majorBidi"/>
        </w:rPr>
        <w:t>The UAE experience demonstrates this transformation through the development of integrated digital government platforms that facilitate communication between government institutions and society. Interactive governmental services enable users to submit inquiries, receive responses, and participate in improving public services. Such mechanisms reflect the evolution of digital government toward engagement-oriented models in which digital technologies strengthen relationships between governments and citizens (Janowski, 2015, pp. 226–227).</w:t>
      </w:r>
    </w:p>
    <w:p w14:paraId="7EC43598" w14:textId="77777777" w:rsidR="005F61AA" w:rsidRPr="008E4DC6" w:rsidRDefault="005F61AA" w:rsidP="005F61AA">
      <w:pPr>
        <w:jc w:val="both"/>
        <w:rPr>
          <w:rFonts w:asciiTheme="majorBidi" w:hAnsiTheme="majorBidi" w:cstheme="majorBidi"/>
        </w:rPr>
      </w:pPr>
      <w:r w:rsidRPr="008E4DC6">
        <w:rPr>
          <w:rFonts w:asciiTheme="majorBidi" w:hAnsiTheme="majorBidi" w:cstheme="majorBidi"/>
        </w:rPr>
        <w:t>Beyond individual service platforms, the UAE has developed integrated digital government applications and portals that facilitate access to government services and official information. These platforms contribute to improving transparency, responsiveness, and public value by simplifying procedures, increasing accessibility, and enabling continuous interaction between citizens and government entities. According to the OECD, digital government platforms enhance public value when they improve service accessibility, government responsiveness, and citizen-centered service delivery (OECD, 2021, pp. 18–20).</w:t>
      </w:r>
    </w:p>
    <w:p w14:paraId="484910D0" w14:textId="77777777" w:rsidR="005F61AA" w:rsidRPr="006179C6" w:rsidRDefault="005F61AA" w:rsidP="005F61AA">
      <w:pPr>
        <w:jc w:val="both"/>
        <w:rPr>
          <w:rFonts w:asciiTheme="majorBidi" w:hAnsiTheme="majorBidi" w:cstheme="majorBidi"/>
        </w:rPr>
      </w:pPr>
      <w:r w:rsidRPr="006179C6">
        <w:rPr>
          <w:rFonts w:asciiTheme="majorBidi" w:hAnsiTheme="majorBidi" w:cstheme="majorBidi"/>
        </w:rPr>
        <w:t xml:space="preserve">Research on digital government highlights several governance outcomes resulting from this transformation. First, digital platforms enhance transparency by increasing access to governmental information and enabling timely communication with society. Second, they strengthen accountability by creating mechanisms through which citizens can provide feedback and evaluate public services. Third, they support evidence-based decision-making by generating data regarding citizens’ needs and service performance. Finally, transparent and responsive digital communication </w:t>
      </w:r>
      <w:r w:rsidRPr="006179C6">
        <w:rPr>
          <w:rFonts w:asciiTheme="majorBidi" w:hAnsiTheme="majorBidi" w:cstheme="majorBidi"/>
        </w:rPr>
        <w:lastRenderedPageBreak/>
        <w:t>contributes to strengthening public trust in government institutions (Bertot, Jaeger, &amp; Hansen, 2012, pp. 31–33; Twizeyimana &amp; Andersson, 2019, pp. 168–170).</w:t>
      </w:r>
    </w:p>
    <w:p w14:paraId="3616DA7F" w14:textId="77777777" w:rsidR="005F61AA" w:rsidRPr="006179C6" w:rsidRDefault="000956CE" w:rsidP="005F61AA">
      <w:pPr>
        <w:jc w:val="both"/>
        <w:rPr>
          <w:rFonts w:asciiTheme="majorBidi" w:hAnsiTheme="majorBidi" w:cstheme="majorBidi"/>
        </w:rPr>
      </w:pPr>
      <w:r>
        <w:rPr>
          <w:rFonts w:asciiTheme="majorBidi" w:hAnsiTheme="majorBidi" w:cstheme="majorBidi"/>
          <w:noProof/>
        </w:rPr>
        <w:pict w14:anchorId="62932977">
          <v:rect id="_x0000_i1025" style="width:0;height:1.5pt" o:hralign="center" o:hrstd="t" o:hr="t" fillcolor="#a0a0a0" stroked="f"/>
        </w:pict>
      </w:r>
    </w:p>
    <w:p w14:paraId="25C9194C" w14:textId="77777777" w:rsidR="005F61AA" w:rsidRPr="006179C6" w:rsidRDefault="005F61AA" w:rsidP="005F61AA">
      <w:pPr>
        <w:jc w:val="both"/>
        <w:rPr>
          <w:rFonts w:asciiTheme="majorBidi" w:hAnsiTheme="majorBidi" w:cstheme="majorBidi"/>
        </w:rPr>
      </w:pPr>
      <w:r w:rsidRPr="006179C6">
        <w:rPr>
          <w:rFonts w:asciiTheme="majorBidi" w:hAnsiTheme="majorBidi" w:cstheme="majorBidi"/>
        </w:rPr>
        <w:t>Therefore, the transition toward interactive digital communication has transformed government communication into a strategic governance mechanism. By connecting public feedback with institutional improvement processes, digital communication contributes to enhancing service quality, reducing administrative barriers, and strengthening government–society relationships (Twizeyimana &amp; Andersson, 2019, p. 171).</w:t>
      </w:r>
    </w:p>
    <w:p w14:paraId="2EDC4650" w14:textId="77777777" w:rsidR="005F61AA" w:rsidRPr="006179C6" w:rsidRDefault="005F61AA" w:rsidP="005F61AA">
      <w:pPr>
        <w:jc w:val="both"/>
        <w:rPr>
          <w:rFonts w:asciiTheme="majorBidi" w:hAnsiTheme="majorBidi" w:cstheme="majorBidi"/>
        </w:rPr>
      </w:pPr>
      <w:r w:rsidRPr="006179C6">
        <w:rPr>
          <w:rFonts w:asciiTheme="majorBidi" w:hAnsiTheme="majorBidi" w:cstheme="majorBidi"/>
        </w:rPr>
        <w:t>Digital transformation in government is no longer limited to converting traditional procedures into electronic formats. Instead, it has evolved toward digital engagement, where technology facilitates interaction, collaboration, and citizen participation in policymaking and service development. Janowski (2015, p. 226) explains that digital government development progresses from digitization toward transformation and engagement, where digital technologies become integrated into governance practices.</w:t>
      </w:r>
    </w:p>
    <w:p w14:paraId="53822C66" w14:textId="77777777" w:rsidR="005F61AA" w:rsidRPr="006179C6" w:rsidRDefault="005F61AA" w:rsidP="005F61AA">
      <w:pPr>
        <w:jc w:val="both"/>
        <w:rPr>
          <w:rFonts w:asciiTheme="majorBidi" w:hAnsiTheme="majorBidi" w:cstheme="majorBidi"/>
        </w:rPr>
      </w:pPr>
      <w:r w:rsidRPr="006179C6">
        <w:rPr>
          <w:rFonts w:asciiTheme="majorBidi" w:hAnsiTheme="majorBidi" w:cstheme="majorBidi"/>
        </w:rPr>
        <w:t>Furthermore, the adoption of Web 2.0 technologies has changed the nature of government communication by enabling dialogue, interaction, and feedback exchange. Governments increasingly use digital platforms not only to disseminate information but also to engage with society, enhance transparency, and strengthen institutional legitimacy (Bertot et al., 2012, p. 32).</w:t>
      </w:r>
    </w:p>
    <w:p w14:paraId="43EE2DE1" w14:textId="77777777" w:rsidR="005F61AA" w:rsidRPr="006179C6" w:rsidRDefault="005F61AA" w:rsidP="005F61AA">
      <w:pPr>
        <w:jc w:val="both"/>
        <w:rPr>
          <w:rFonts w:asciiTheme="majorBidi" w:hAnsiTheme="majorBidi" w:cstheme="majorBidi"/>
        </w:rPr>
      </w:pPr>
      <w:r w:rsidRPr="006179C6">
        <w:rPr>
          <w:rFonts w:asciiTheme="majorBidi" w:hAnsiTheme="majorBidi" w:cstheme="majorBidi"/>
        </w:rPr>
        <w:t>It can therefore be concluded that government communication in the UAE has developed a strong digital foundation that enabled government institutions to maintain effective communication during crises, provide verified information rapidly, and sustain public confidence. Consequently, digital government communication has become an essential component of good governance by supporting transparency, accountability, participation, and trust-building between government institutions and society (United Nations, 2024, p. 46).</w:t>
      </w:r>
    </w:p>
    <w:p w14:paraId="2362EF00"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Good Governance Principles in the United Arab Emirates</w:t>
      </w:r>
    </w:p>
    <w:p w14:paraId="257799CF"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1. Effective Communication as a Means of Strengthening Transparency and Accountability</w:t>
      </w:r>
    </w:p>
    <w:p w14:paraId="7854669F"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Effective government communication represents a fundamental mechanism for achieving good governance by strengthening transparency, accountability, and institutional legitimacy. In contemporary governance systems, transparency is no longer limited to the publication of official information; rather, it requires governments to provide accessible, accurate, and timely information that enables citizens to understand public policies, monitor institutional performance, and evaluate governmental decisions. When public information is communicated clearly and systematically, citizens become better able to follow governmental actions and assess the effectiveness of public institutions (Grimmelikhuijsen, Porumbescu, Hong, &amp; Im, 2013</w:t>
      </w:r>
      <w:r>
        <w:rPr>
          <w:rFonts w:asciiTheme="majorBidi" w:hAnsiTheme="majorBidi" w:cstheme="majorBidi"/>
        </w:rPr>
        <w:t>, p. 576</w:t>
      </w:r>
      <w:r w:rsidRPr="002A4F55">
        <w:rPr>
          <w:rFonts w:asciiTheme="majorBidi" w:hAnsiTheme="majorBidi" w:cstheme="majorBidi"/>
        </w:rPr>
        <w:t>).</w:t>
      </w:r>
    </w:p>
    <w:p w14:paraId="58F1EC74" w14:textId="77777777" w:rsidR="005F61AA" w:rsidRDefault="005F61AA" w:rsidP="005F61AA">
      <w:pPr>
        <w:jc w:val="both"/>
        <w:rPr>
          <w:rFonts w:asciiTheme="majorBidi" w:hAnsiTheme="majorBidi" w:cstheme="majorBidi"/>
          <w:i/>
          <w:iCs/>
        </w:rPr>
      </w:pPr>
      <w:r w:rsidRPr="0075411B">
        <w:rPr>
          <w:rFonts w:asciiTheme="majorBidi" w:hAnsiTheme="majorBidi" w:cstheme="majorBidi"/>
        </w:rPr>
        <w:t xml:space="preserve">In the context of digital transformation, transparency has become increasingly associated with governments’ capacity to develop digital platforms that facilitate access to information, public </w:t>
      </w:r>
      <w:r w:rsidRPr="0075411B">
        <w:rPr>
          <w:rFonts w:asciiTheme="majorBidi" w:hAnsiTheme="majorBidi" w:cstheme="majorBidi"/>
        </w:rPr>
        <w:lastRenderedPageBreak/>
        <w:t xml:space="preserve">services, and institutional data. Digital government enables public institutions to communicate continuously with citizens, improve information accessibility, and create more open and responsive governance systems. The United Nations emphasizes that digital transformation contributes to effective governance when it enhances transparency, accessibility, participation, and institutional responsiveness </w:t>
      </w:r>
      <w:r w:rsidRPr="0075411B">
        <w:rPr>
          <w:rFonts w:asciiTheme="majorBidi" w:hAnsiTheme="majorBidi" w:cstheme="majorBidi"/>
          <w:i/>
          <w:iCs/>
        </w:rPr>
        <w:t>(United Nations, 2024, pp. 12–15).</w:t>
      </w:r>
      <w:r w:rsidRPr="0075411B">
        <w:rPr>
          <w:rFonts w:asciiTheme="majorBidi" w:hAnsiTheme="majorBidi" w:cstheme="majorBidi"/>
        </w:rPr>
        <w:t xml:space="preserve"> Similarly, the OECD highlights that mature digital governments rely on data-driven approaches and citizen-oriented communication mechanisms to improve openness and accountability </w:t>
      </w:r>
      <w:r w:rsidRPr="0075411B">
        <w:rPr>
          <w:rFonts w:asciiTheme="majorBidi" w:hAnsiTheme="majorBidi" w:cstheme="majorBidi"/>
          <w:i/>
          <w:iCs/>
        </w:rPr>
        <w:t>(OECD, 2024, pp. 20–23).</w:t>
      </w:r>
    </w:p>
    <w:p w14:paraId="5409005F" w14:textId="77777777" w:rsidR="005F61AA" w:rsidRDefault="005F61AA" w:rsidP="005F61AA">
      <w:pPr>
        <w:jc w:val="both"/>
        <w:rPr>
          <w:rFonts w:asciiTheme="majorBidi" w:hAnsiTheme="majorBidi" w:cstheme="majorBidi"/>
          <w:i/>
          <w:iCs/>
        </w:rPr>
      </w:pPr>
      <w:r w:rsidRPr="0075411B">
        <w:rPr>
          <w:rFonts w:asciiTheme="majorBidi" w:hAnsiTheme="majorBidi" w:cstheme="majorBidi"/>
        </w:rPr>
        <w:t xml:space="preserve">The United Arab Emirates provides a significant example of how digital government development can support transparency and accountability. Through its digital government ecosystem, including national platforms and institutional digital services, the UAE has developed mechanisms that enable citizens and residents to access governmental information, follow service procedures, submit feedback, and interact directly with public institutions. These initiatives reflect the UAE’s transition toward a proactive and citizen-centered government model where communication is integrated into public service delivery and institutional performance improvement </w:t>
      </w:r>
      <w:r w:rsidRPr="0075411B">
        <w:rPr>
          <w:rFonts w:asciiTheme="majorBidi" w:hAnsiTheme="majorBidi" w:cstheme="majorBidi"/>
          <w:i/>
          <w:iCs/>
        </w:rPr>
        <w:t>(UAE Digital Government, 2024).</w:t>
      </w:r>
    </w:p>
    <w:p w14:paraId="78601B5E" w14:textId="77777777" w:rsidR="005F61AA" w:rsidRPr="00575068" w:rsidRDefault="005F61AA" w:rsidP="005F61AA">
      <w:pPr>
        <w:jc w:val="both"/>
        <w:rPr>
          <w:rFonts w:asciiTheme="majorBidi" w:hAnsiTheme="majorBidi" w:cstheme="majorBidi"/>
        </w:rPr>
      </w:pPr>
      <w:r w:rsidRPr="00575068">
        <w:rPr>
          <w:rFonts w:asciiTheme="majorBidi" w:hAnsiTheme="majorBidi" w:cstheme="majorBidi"/>
        </w:rPr>
        <w:t xml:space="preserve">Moreover, UAE government strategies emphasize transparency and information accessibility as essential components of public sector modernization. </w:t>
      </w:r>
      <w:r w:rsidRPr="009A2D84">
        <w:rPr>
          <w:rFonts w:asciiTheme="majorBidi" w:hAnsiTheme="majorBidi" w:cstheme="majorBidi"/>
        </w:rPr>
        <w:t>The UAE Digital Government Strategy 2025 identifies enhancing digital services, improv</w:t>
      </w:r>
      <w:r w:rsidRPr="00575068">
        <w:rPr>
          <w:rFonts w:asciiTheme="majorBidi" w:hAnsiTheme="majorBidi" w:cstheme="majorBidi"/>
        </w:rPr>
        <w:t xml:space="preserve">ing government responsiveness, and strengthening public engagement as key objectives for developing a future-ready government system </w:t>
      </w:r>
      <w:r w:rsidRPr="00575068">
        <w:rPr>
          <w:rFonts w:asciiTheme="majorBidi" w:hAnsiTheme="majorBidi" w:cstheme="majorBidi"/>
          <w:i/>
          <w:iCs/>
        </w:rPr>
        <w:t>(UAE Digital Government, 2023).</w:t>
      </w:r>
      <w:r w:rsidRPr="00575068">
        <w:rPr>
          <w:rFonts w:asciiTheme="majorBidi" w:hAnsiTheme="majorBidi" w:cstheme="majorBidi"/>
        </w:rPr>
        <w:t xml:space="preserve"> Consequently, government communication becomes not only a mechanism for informing society but also a tool for improving institutional effectiveness and strengthening accountability relationships between government entities and stakeholders.</w:t>
      </w:r>
    </w:p>
    <w:p w14:paraId="1A06E3B4" w14:textId="77777777" w:rsidR="005F61AA" w:rsidRPr="00575068" w:rsidRDefault="005F61AA" w:rsidP="005F61AA">
      <w:pPr>
        <w:jc w:val="both"/>
        <w:rPr>
          <w:rFonts w:asciiTheme="majorBidi" w:hAnsiTheme="majorBidi" w:cstheme="majorBidi"/>
        </w:rPr>
      </w:pPr>
      <w:r w:rsidRPr="00575068">
        <w:rPr>
          <w:rFonts w:asciiTheme="majorBidi" w:hAnsiTheme="majorBidi" w:cstheme="majorBidi"/>
        </w:rPr>
        <w:t xml:space="preserve">Beyond information dissemination, effective government communication strengthens accountability by establishing clearer mechanisms for evaluating institutional performance. When government institutions communicate policies, achievements, service outcomes, and performance indicators, they provide citizens with measurable criteria for assessing governmental effectiveness and responsiveness. Digital communication channels further support accountability by enabling feedback collection, monitoring public expectations, and improving administrative decision-making </w:t>
      </w:r>
      <w:r w:rsidRPr="00575068">
        <w:rPr>
          <w:rFonts w:asciiTheme="majorBidi" w:hAnsiTheme="majorBidi" w:cstheme="majorBidi"/>
          <w:i/>
          <w:iCs/>
        </w:rPr>
        <w:t>(Bertot, Jaeger, &amp; Hansen, 2012, p. 31).</w:t>
      </w:r>
    </w:p>
    <w:p w14:paraId="155A424A" w14:textId="77777777" w:rsidR="005F61AA" w:rsidRPr="00575068" w:rsidRDefault="005F61AA" w:rsidP="005F61AA">
      <w:pPr>
        <w:jc w:val="both"/>
        <w:rPr>
          <w:rFonts w:asciiTheme="majorBidi" w:hAnsiTheme="majorBidi" w:cstheme="majorBidi"/>
        </w:rPr>
      </w:pPr>
      <w:r w:rsidRPr="00575068">
        <w:rPr>
          <w:rFonts w:asciiTheme="majorBidi" w:hAnsiTheme="majorBidi" w:cstheme="majorBidi"/>
        </w:rPr>
        <w:t xml:space="preserve">In the UAE context, accountability is reinforced through digital interaction mechanisms that allow users to evaluate government services and provide feedback regarding their experiences. These participatory communication practices contribute to continuous service improvement and strengthen the relationship between institutions and society. The integration of communication, digital platforms, and performance monitoring reflects the broader principles of good governance by promoting openness, responsiveness, and institutional responsibility </w:t>
      </w:r>
      <w:r w:rsidRPr="00575068">
        <w:rPr>
          <w:rFonts w:asciiTheme="majorBidi" w:hAnsiTheme="majorBidi" w:cstheme="majorBidi"/>
          <w:i/>
          <w:iCs/>
        </w:rPr>
        <w:t>(OECD, 2024).</w:t>
      </w:r>
    </w:p>
    <w:p w14:paraId="42ADD8D0" w14:textId="77777777" w:rsidR="005F61AA" w:rsidRPr="00575068" w:rsidRDefault="005F61AA" w:rsidP="005F61AA">
      <w:pPr>
        <w:jc w:val="both"/>
        <w:rPr>
          <w:rFonts w:asciiTheme="majorBidi" w:hAnsiTheme="majorBidi" w:cstheme="majorBidi"/>
        </w:rPr>
      </w:pPr>
      <w:r w:rsidRPr="00575068">
        <w:rPr>
          <w:rFonts w:asciiTheme="majorBidi" w:hAnsiTheme="majorBidi" w:cstheme="majorBidi"/>
        </w:rPr>
        <w:t xml:space="preserve">Furthermore, transparent government communication contributes significantly to strengthening public trust. When governments provide clear explanations of decisions, communicate consistently, and make reliable information available through accessible channels, citizens are </w:t>
      </w:r>
      <w:r w:rsidRPr="00575068">
        <w:rPr>
          <w:rFonts w:asciiTheme="majorBidi" w:hAnsiTheme="majorBidi" w:cstheme="majorBidi"/>
        </w:rPr>
        <w:lastRenderedPageBreak/>
        <w:t xml:space="preserve">more likely to perceive institutions as credible and legitimate </w:t>
      </w:r>
      <w:r w:rsidRPr="00575068">
        <w:rPr>
          <w:rFonts w:asciiTheme="majorBidi" w:hAnsiTheme="majorBidi" w:cstheme="majorBidi"/>
          <w:i/>
          <w:iCs/>
        </w:rPr>
        <w:t>(Grimmelikhuijsen &amp; Meijer, 2014, p. 139).</w:t>
      </w:r>
      <w:r w:rsidRPr="00575068">
        <w:rPr>
          <w:rFonts w:asciiTheme="majorBidi" w:hAnsiTheme="majorBidi" w:cstheme="majorBidi"/>
        </w:rPr>
        <w:t xml:space="preserve"> In this regard, the UAE experience demonstrates that government communication has evolved beyond a traditional information function into a strategic governance instrument that supports transparency, accountability, institutional legitimacy, and public confidence.</w:t>
      </w:r>
    </w:p>
    <w:p w14:paraId="22638BCA"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2. Public Engagement in Decision-Making and Enhancing Participation</w:t>
      </w:r>
    </w:p>
    <w:p w14:paraId="5FF69142"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 xml:space="preserve">Public participation represents one of the essential principles of good governance because it transforms citizens from passive recipients of government decisions into active partners in policymaking and public service development. Interactive government communication provides mechanisms through which citizens can express their opinions, submit suggestions, evaluate services, and contribute to improving governmental performance </w:t>
      </w:r>
      <w:r w:rsidRPr="002A7822">
        <w:rPr>
          <w:rFonts w:asciiTheme="majorBidi" w:hAnsiTheme="majorBidi" w:cstheme="majorBidi"/>
        </w:rPr>
        <w:t>(Meijer &amp; Bekkers, 2015, p. 240</w:t>
      </w:r>
      <w:r w:rsidRPr="002A4F55">
        <w:rPr>
          <w:rFonts w:asciiTheme="majorBidi" w:hAnsiTheme="majorBidi" w:cstheme="majorBidi"/>
        </w:rPr>
        <w:t>).</w:t>
      </w:r>
    </w:p>
    <w:p w14:paraId="112F78C1"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development of digital government has expanded opportunities for public engagement by creating interactive platforms that allow continuous communication between governments and society. Unlike traditional communication models based on one-way information delivery, digital communication enables dialogue, feedback exchange, and collaborative problem-solving. This evolution reflects the transition from electronic government focused on service digitization toward digital governance based on participation and engagement (</w:t>
      </w:r>
      <w:r w:rsidRPr="00CF19BF">
        <w:rPr>
          <w:rFonts w:asciiTheme="majorBidi" w:hAnsiTheme="majorBidi" w:cstheme="majorBidi"/>
        </w:rPr>
        <w:t xml:space="preserve">Janowski, 2015, p </w:t>
      </w:r>
      <w:r>
        <w:rPr>
          <w:rFonts w:asciiTheme="majorBidi" w:hAnsiTheme="majorBidi" w:cstheme="majorBidi"/>
        </w:rPr>
        <w:t>225</w:t>
      </w:r>
      <w:r w:rsidRPr="002A4F55">
        <w:rPr>
          <w:rFonts w:asciiTheme="majorBidi" w:hAnsiTheme="majorBidi" w:cstheme="majorBidi"/>
        </w:rPr>
        <w:t>).</w:t>
      </w:r>
    </w:p>
    <w:p w14:paraId="65384D8B" w14:textId="77777777" w:rsidR="005F61AA" w:rsidRPr="0041661A" w:rsidRDefault="005F61AA" w:rsidP="005F61AA">
      <w:pPr>
        <w:jc w:val="both"/>
        <w:rPr>
          <w:rFonts w:asciiTheme="majorBidi" w:hAnsiTheme="majorBidi" w:cstheme="majorBidi"/>
        </w:rPr>
      </w:pPr>
      <w:r w:rsidRPr="0041661A">
        <w:rPr>
          <w:rFonts w:asciiTheme="majorBidi" w:hAnsiTheme="majorBidi" w:cstheme="majorBidi"/>
        </w:rPr>
        <w:t>In the UAE, digital government platforms and applications have strengthened opportunities for citizens and residents to communicate directly with governmental institutions. Through these platforms, users can provide feedback, submit inquiries, and evaluate services, enabling government entities to better understand societal needs and improve service delivery (United Nations, 2024, p. 46).</w:t>
      </w:r>
    </w:p>
    <w:p w14:paraId="3C03A7A3"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Recent studies emphasize that digital participation contributes to enhancing public value by increasing government responsiveness and ensuring that policies and services are more aligned with citizens’ expectations (</w:t>
      </w:r>
      <w:r w:rsidRPr="002E5841">
        <w:rPr>
          <w:rFonts w:asciiTheme="majorBidi" w:hAnsiTheme="majorBidi" w:cstheme="majorBidi"/>
        </w:rPr>
        <w:t>Twizeyimana &amp; Andersson, 2019, p.170</w:t>
      </w:r>
      <w:r w:rsidRPr="002A4F55">
        <w:rPr>
          <w:rFonts w:asciiTheme="majorBidi" w:hAnsiTheme="majorBidi" w:cstheme="majorBidi"/>
        </w:rPr>
        <w:t>). Furthermore, international assessments of digital government highlight that effective digital transformation requires moving beyond service automation toward meaningful citizen engagement and participation (</w:t>
      </w:r>
      <w:r w:rsidRPr="002359F3">
        <w:rPr>
          <w:rFonts w:asciiTheme="majorBidi" w:hAnsiTheme="majorBidi" w:cstheme="majorBidi"/>
        </w:rPr>
        <w:t>United Nations, 2024, p.</w:t>
      </w:r>
      <w:r>
        <w:rPr>
          <w:rFonts w:asciiTheme="majorBidi" w:hAnsiTheme="majorBidi" w:cstheme="majorBidi"/>
        </w:rPr>
        <w:t>27</w:t>
      </w:r>
      <w:r w:rsidRPr="002A4F55">
        <w:rPr>
          <w:rFonts w:asciiTheme="majorBidi" w:hAnsiTheme="majorBidi" w:cstheme="majorBidi"/>
        </w:rPr>
        <w:t>).</w:t>
      </w:r>
    </w:p>
    <w:p w14:paraId="7342DF65" w14:textId="77777777" w:rsidR="005F61AA" w:rsidRDefault="005F61AA" w:rsidP="005F61AA">
      <w:pPr>
        <w:jc w:val="both"/>
        <w:rPr>
          <w:rFonts w:asciiTheme="majorBidi" w:hAnsiTheme="majorBidi" w:cstheme="majorBidi"/>
        </w:rPr>
      </w:pPr>
      <w:r w:rsidRPr="002A4F55">
        <w:rPr>
          <w:rFonts w:asciiTheme="majorBidi" w:hAnsiTheme="majorBidi" w:cstheme="majorBidi"/>
        </w:rPr>
        <w:t>Public participation through digital communication also strengthens citizens’ sense of involvement and responsibility toward public policies. When individuals perceive that their opinions are considered in governmental decisions, their willingness to cooperate with government initiatives increases. Digital feedback mechanisms therefore contribute not only to improving services but also to strengthening the relationship between government and society</w:t>
      </w:r>
      <w:r>
        <w:rPr>
          <w:rFonts w:asciiTheme="majorBidi" w:hAnsiTheme="majorBidi" w:cstheme="majorBidi"/>
        </w:rPr>
        <w:t xml:space="preserve"> </w:t>
      </w:r>
      <w:r w:rsidRPr="00742D1C">
        <w:rPr>
          <w:rFonts w:asciiTheme="majorBidi" w:hAnsiTheme="majorBidi" w:cstheme="majorBidi"/>
        </w:rPr>
        <w:t>(OECD, 2024, p.</w:t>
      </w:r>
      <w:r>
        <w:rPr>
          <w:rFonts w:asciiTheme="majorBidi" w:hAnsiTheme="majorBidi" w:cstheme="majorBidi"/>
        </w:rPr>
        <w:t>40</w:t>
      </w:r>
      <w:r w:rsidRPr="00742D1C">
        <w:rPr>
          <w:rFonts w:asciiTheme="majorBidi" w:hAnsiTheme="majorBidi" w:cstheme="majorBidi"/>
        </w:rPr>
        <w:t>).</w:t>
      </w:r>
    </w:p>
    <w:p w14:paraId="678114F5" w14:textId="77777777" w:rsidR="005F61AA" w:rsidRDefault="005F61AA" w:rsidP="005F61AA">
      <w:pPr>
        <w:jc w:val="both"/>
        <w:rPr>
          <w:rFonts w:asciiTheme="majorBidi" w:hAnsiTheme="majorBidi" w:cstheme="majorBidi"/>
        </w:rPr>
      </w:pPr>
      <w:r w:rsidRPr="00B22CC6">
        <w:rPr>
          <w:rFonts w:asciiTheme="majorBidi" w:hAnsiTheme="majorBidi" w:cstheme="majorBidi"/>
        </w:rPr>
        <w:t xml:space="preserve">The UAE has further institutionalized digital participation through its Digital Participation Policy, which encourages public consultation, electronic feedback mechanisms, and collaborative decision-making as integral components of the country's digital governance framework (UAE Digital Government, 2024). These participatory communication mechanisms have strengthened </w:t>
      </w:r>
      <w:r w:rsidRPr="00B22CC6">
        <w:rPr>
          <w:rFonts w:asciiTheme="majorBidi" w:hAnsiTheme="majorBidi" w:cstheme="majorBidi"/>
        </w:rPr>
        <w:lastRenderedPageBreak/>
        <w:t>the relationship between government institutions and society by fostering transparency, responsiveness, and collaborative governance. When citizens perceive that their feedback influences public services and governmental decisions, they are more likely to cooperate with government initiatives, trust public institutions, and actively participate in policy implementation. Consequently, digital participation has become an essential governance mechanism that reinforces institutional legitimacy, supports continuous service innovation, and strengthens sustainable public trust.</w:t>
      </w:r>
    </w:p>
    <w:p w14:paraId="5E0DF12A" w14:textId="77777777" w:rsidR="005F61AA" w:rsidRPr="00485B9D" w:rsidRDefault="005F61AA" w:rsidP="005F61AA">
      <w:pPr>
        <w:jc w:val="both"/>
        <w:rPr>
          <w:rFonts w:asciiTheme="majorBidi" w:hAnsiTheme="majorBidi" w:cstheme="majorBidi"/>
          <w:b/>
          <w:bCs/>
        </w:rPr>
      </w:pPr>
      <w:r w:rsidRPr="00485B9D">
        <w:rPr>
          <w:rFonts w:asciiTheme="majorBidi" w:hAnsiTheme="majorBidi" w:cstheme="majorBidi"/>
          <w:b/>
          <w:bCs/>
        </w:rPr>
        <w:t>References supporting this section</w:t>
      </w:r>
    </w:p>
    <w:p w14:paraId="57E9C341"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Janowski, T. (2015). </w:t>
      </w:r>
      <w:r w:rsidRPr="00485B9D">
        <w:rPr>
          <w:rFonts w:asciiTheme="majorBidi" w:hAnsiTheme="majorBidi" w:cstheme="majorBidi"/>
          <w:i/>
          <w:iCs/>
        </w:rPr>
        <w:t>Digital Government Evolution: From Transformation to Contextualization</w:t>
      </w:r>
      <w:r w:rsidRPr="00485B9D">
        <w:rPr>
          <w:rFonts w:asciiTheme="majorBidi" w:hAnsiTheme="majorBidi" w:cstheme="majorBidi"/>
        </w:rPr>
        <w:t xml:space="preserve">. </w:t>
      </w:r>
      <w:r w:rsidRPr="00485B9D">
        <w:rPr>
          <w:rFonts w:asciiTheme="majorBidi" w:hAnsiTheme="majorBidi" w:cstheme="majorBidi"/>
          <w:b/>
          <w:bCs/>
        </w:rPr>
        <w:t>Government Information Quarterly, 32(3), 221–236.</w:t>
      </w:r>
      <w:r w:rsidRPr="00485B9D">
        <w:rPr>
          <w:rFonts w:asciiTheme="majorBidi" w:hAnsiTheme="majorBidi" w:cstheme="majorBidi"/>
        </w:rPr>
        <w:t xml:space="preserve"> </w:t>
      </w:r>
    </w:p>
    <w:p w14:paraId="3DF47D24"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Meijer, A. J., &amp; Bekkers, V. (2015). </w:t>
      </w:r>
      <w:r w:rsidRPr="00485B9D">
        <w:rPr>
          <w:rFonts w:asciiTheme="majorBidi" w:hAnsiTheme="majorBidi" w:cstheme="majorBidi"/>
          <w:i/>
          <w:iCs/>
        </w:rPr>
        <w:t>A Metatheory of E-Government</w:t>
      </w:r>
      <w:r w:rsidRPr="00485B9D">
        <w:rPr>
          <w:rFonts w:asciiTheme="majorBidi" w:hAnsiTheme="majorBidi" w:cstheme="majorBidi"/>
        </w:rPr>
        <w:t xml:space="preserve">. </w:t>
      </w:r>
      <w:r w:rsidRPr="00485B9D">
        <w:rPr>
          <w:rFonts w:asciiTheme="majorBidi" w:hAnsiTheme="majorBidi" w:cstheme="majorBidi"/>
          <w:b/>
          <w:bCs/>
        </w:rPr>
        <w:t>Government Information Quarterly, 32(3), 237–245.</w:t>
      </w:r>
      <w:r w:rsidRPr="00485B9D">
        <w:rPr>
          <w:rFonts w:asciiTheme="majorBidi" w:hAnsiTheme="majorBidi" w:cstheme="majorBidi"/>
        </w:rPr>
        <w:t xml:space="preserve"> </w:t>
      </w:r>
    </w:p>
    <w:p w14:paraId="67719076"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OECD. (2024). </w:t>
      </w:r>
      <w:r w:rsidRPr="00485B9D">
        <w:rPr>
          <w:rFonts w:asciiTheme="majorBidi" w:hAnsiTheme="majorBidi" w:cstheme="majorBidi"/>
          <w:i/>
          <w:iCs/>
        </w:rPr>
        <w:t>OECD Digital Government Index 2023: Results and Key Findings</w:t>
      </w:r>
      <w:r w:rsidRPr="00485B9D">
        <w:rPr>
          <w:rFonts w:asciiTheme="majorBidi" w:hAnsiTheme="majorBidi" w:cstheme="majorBidi"/>
        </w:rPr>
        <w:t xml:space="preserve">. OECD Publishing. </w:t>
      </w:r>
    </w:p>
    <w:p w14:paraId="0ABFFC87"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Twizeyimana, J. D., &amp; Andersson, A. (2019). </w:t>
      </w:r>
      <w:r w:rsidRPr="00485B9D">
        <w:rPr>
          <w:rFonts w:asciiTheme="majorBidi" w:hAnsiTheme="majorBidi" w:cstheme="majorBidi"/>
          <w:i/>
          <w:iCs/>
        </w:rPr>
        <w:t>The Public Value of E-Government</w:t>
      </w:r>
      <w:r w:rsidRPr="00485B9D">
        <w:rPr>
          <w:rFonts w:asciiTheme="majorBidi" w:hAnsiTheme="majorBidi" w:cstheme="majorBidi"/>
        </w:rPr>
        <w:t xml:space="preserve">. </w:t>
      </w:r>
      <w:r w:rsidRPr="00485B9D">
        <w:rPr>
          <w:rFonts w:asciiTheme="majorBidi" w:hAnsiTheme="majorBidi" w:cstheme="majorBidi"/>
          <w:b/>
          <w:bCs/>
        </w:rPr>
        <w:t>Government Information Quarterly, 36(2), 167–178.</w:t>
      </w:r>
      <w:r w:rsidRPr="00485B9D">
        <w:rPr>
          <w:rFonts w:asciiTheme="majorBidi" w:hAnsiTheme="majorBidi" w:cstheme="majorBidi"/>
        </w:rPr>
        <w:t xml:space="preserve"> </w:t>
      </w:r>
    </w:p>
    <w:p w14:paraId="02476B9D"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UAE Digital Government. (2024). </w:t>
      </w:r>
      <w:r w:rsidRPr="00485B9D">
        <w:rPr>
          <w:rFonts w:asciiTheme="majorBidi" w:hAnsiTheme="majorBidi" w:cstheme="majorBidi"/>
          <w:i/>
          <w:iCs/>
        </w:rPr>
        <w:t>Digital Participation Policy</w:t>
      </w:r>
      <w:r w:rsidRPr="00485B9D">
        <w:rPr>
          <w:rFonts w:asciiTheme="majorBidi" w:hAnsiTheme="majorBidi" w:cstheme="majorBidi"/>
        </w:rPr>
        <w:t xml:space="preserve">. </w:t>
      </w:r>
    </w:p>
    <w:p w14:paraId="08F80BBA"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UAE Digital Government. (2024). </w:t>
      </w:r>
      <w:r w:rsidRPr="00485B9D">
        <w:rPr>
          <w:rFonts w:asciiTheme="majorBidi" w:hAnsiTheme="majorBidi" w:cstheme="majorBidi"/>
          <w:i/>
          <w:iCs/>
        </w:rPr>
        <w:t>Digital Government Services</w:t>
      </w:r>
      <w:r w:rsidRPr="00485B9D">
        <w:rPr>
          <w:rFonts w:asciiTheme="majorBidi" w:hAnsiTheme="majorBidi" w:cstheme="majorBidi"/>
        </w:rPr>
        <w:t xml:space="preserve">. </w:t>
      </w:r>
    </w:p>
    <w:p w14:paraId="2EE6A010" w14:textId="77777777" w:rsidR="005F61AA" w:rsidRPr="00485B9D" w:rsidRDefault="005F61AA" w:rsidP="005F61AA">
      <w:pPr>
        <w:numPr>
          <w:ilvl w:val="0"/>
          <w:numId w:val="5"/>
        </w:numPr>
        <w:jc w:val="both"/>
        <w:rPr>
          <w:rFonts w:asciiTheme="majorBidi" w:hAnsiTheme="majorBidi" w:cstheme="majorBidi"/>
        </w:rPr>
      </w:pPr>
      <w:r w:rsidRPr="00485B9D">
        <w:rPr>
          <w:rFonts w:asciiTheme="majorBidi" w:hAnsiTheme="majorBidi" w:cstheme="majorBidi"/>
        </w:rPr>
        <w:t xml:space="preserve">United Nations. (2024). </w:t>
      </w:r>
      <w:r w:rsidRPr="00485B9D">
        <w:rPr>
          <w:rFonts w:asciiTheme="majorBidi" w:hAnsiTheme="majorBidi" w:cstheme="majorBidi"/>
          <w:i/>
          <w:iCs/>
        </w:rPr>
        <w:t>United Nations E-Government Survey 2024</w:t>
      </w:r>
      <w:r w:rsidRPr="00485B9D">
        <w:rPr>
          <w:rFonts w:asciiTheme="majorBidi" w:hAnsiTheme="majorBidi" w:cstheme="majorBidi"/>
        </w:rPr>
        <w:t>.</w:t>
      </w:r>
    </w:p>
    <w:p w14:paraId="609746D7" w14:textId="77777777" w:rsidR="005F61AA" w:rsidRDefault="005F61AA" w:rsidP="005F61AA">
      <w:pPr>
        <w:jc w:val="both"/>
        <w:rPr>
          <w:rFonts w:asciiTheme="majorBidi" w:hAnsiTheme="majorBidi" w:cstheme="majorBidi"/>
        </w:rPr>
      </w:pPr>
    </w:p>
    <w:p w14:paraId="26858A2D"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3. Building Public Trust through Rapid and Accurate Responses to Societal Issues</w:t>
      </w:r>
    </w:p>
    <w:p w14:paraId="6C1296E5"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Public trust represents a central element of good governance and a key indicator of the effectiveness of government institutions. Trust is influenced by several factors, including transparency, institutional performance, responsiveness, and the quality of communication between governments and citizens (</w:t>
      </w:r>
      <w:r w:rsidRPr="00485B9D">
        <w:rPr>
          <w:rFonts w:asciiTheme="majorBidi" w:hAnsiTheme="majorBidi" w:cstheme="majorBidi"/>
        </w:rPr>
        <w:t>Van de Walle &amp; Bouckaert, 2003, p.891</w:t>
      </w:r>
      <w:r w:rsidRPr="002A4F55">
        <w:rPr>
          <w:rFonts w:asciiTheme="majorBidi" w:hAnsiTheme="majorBidi" w:cstheme="majorBidi"/>
        </w:rPr>
        <w:t>).</w:t>
      </w:r>
    </w:p>
    <w:p w14:paraId="2033B206"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Government communication plays a critical role in building and maintaining public trust by ensuring that citizens receive accurate, timely, and reliable information. When government institutions respond effectively to public inquiries and societal concerns, citizens are more likely to perceive government as competent, responsive, and accountable. Recent research on public trust emphasizes that transparent communication and institutional openness are among the main factors influencing citizens’ confidence in public institutions (</w:t>
      </w:r>
      <w:r w:rsidRPr="002E6B76">
        <w:rPr>
          <w:rFonts w:asciiTheme="majorBidi" w:hAnsiTheme="majorBidi" w:cstheme="majorBidi"/>
        </w:rPr>
        <w:t>OECD, 2024, p.10</w:t>
      </w:r>
      <w:r w:rsidRPr="002A4F55">
        <w:rPr>
          <w:rFonts w:asciiTheme="majorBidi" w:hAnsiTheme="majorBidi" w:cstheme="majorBidi"/>
        </w:rPr>
        <w:t>).</w:t>
      </w:r>
    </w:p>
    <w:p w14:paraId="7A415A21"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 xml:space="preserve">Digital communication has further strengthened the relationship between responsiveness and trust. The availability of online platforms enables governments to respond rapidly to public concerns, clarify policies, and address misinformation. Research shows that digital interaction between </w:t>
      </w:r>
      <w:r w:rsidRPr="002A4F55">
        <w:rPr>
          <w:rFonts w:asciiTheme="majorBidi" w:hAnsiTheme="majorBidi" w:cstheme="majorBidi"/>
        </w:rPr>
        <w:lastRenderedPageBreak/>
        <w:t>governments and citizens can enhance confidence in public institutions when communication is perceived as transparent and responsive (</w:t>
      </w:r>
      <w:r>
        <w:rPr>
          <w:rFonts w:asciiTheme="majorBidi" w:hAnsiTheme="majorBidi" w:cstheme="majorBidi"/>
        </w:rPr>
        <w:t>T</w:t>
      </w:r>
      <w:r w:rsidRPr="0045723E">
        <w:rPr>
          <w:rFonts w:asciiTheme="majorBidi" w:hAnsiTheme="majorBidi" w:cstheme="majorBidi"/>
        </w:rPr>
        <w:t>olbert &amp; Mossberger, 2006, p.35</w:t>
      </w:r>
      <w:r>
        <w:rPr>
          <w:rFonts w:asciiTheme="majorBidi" w:hAnsiTheme="majorBidi" w:cstheme="majorBidi"/>
        </w:rPr>
        <w:t>6</w:t>
      </w:r>
      <w:r w:rsidRPr="002A4F55">
        <w:rPr>
          <w:rFonts w:asciiTheme="majorBidi" w:hAnsiTheme="majorBidi" w:cstheme="majorBidi"/>
        </w:rPr>
        <w:t>).</w:t>
      </w:r>
    </w:p>
    <w:p w14:paraId="382BAEE8"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The importance of effective government communication becomes particularly evident during crises. During the COVID-19 pandemic, governments relied extensively on digital communication channels to provide health information, explain preventive measures, and counter misinformation. In the UAE, official digital platforms played an important role in delivering timely information and maintaining public awareness, demonstrating the importance of communication capacity in crisis governance (</w:t>
      </w:r>
      <w:r w:rsidRPr="008144B7">
        <w:rPr>
          <w:rFonts w:asciiTheme="majorBidi" w:hAnsiTheme="majorBidi" w:cstheme="majorBidi"/>
        </w:rPr>
        <w:t>United Nations, 2024, pp. 18–21</w:t>
      </w:r>
      <w:r w:rsidRPr="002A4F55">
        <w:rPr>
          <w:rFonts w:asciiTheme="majorBidi" w:hAnsiTheme="majorBidi" w:cstheme="majorBidi"/>
        </w:rPr>
        <w:t>).</w:t>
      </w:r>
    </w:p>
    <w:p w14:paraId="7EE1CB20" w14:textId="77777777" w:rsidR="005F61AA" w:rsidRDefault="005F61AA" w:rsidP="005F61AA">
      <w:pPr>
        <w:jc w:val="both"/>
        <w:rPr>
          <w:rFonts w:asciiTheme="majorBidi" w:hAnsiTheme="majorBidi" w:cstheme="majorBidi"/>
        </w:rPr>
      </w:pPr>
      <w:r w:rsidRPr="00922B11">
        <w:rPr>
          <w:rFonts w:asciiTheme="majorBidi" w:hAnsiTheme="majorBidi" w:cstheme="majorBidi"/>
        </w:rPr>
        <w:t>In the UAE, digital government platforms have strengthened institutional responsiveness by enabling continuous interaction with citizens and residents, facilitating access to government services, and supporting public trust through reliable digital communication channels (UAE Digital Government, 2024).</w:t>
      </w:r>
    </w:p>
    <w:p w14:paraId="373A8A74"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Furthermore, public trust strengthens the effectiveness of public policies because citizens are more likely to comply with regulations and cooperate with governmental initiatives when they perceive institutions as transparent, capable, and responsive. Therefore, government communication functions as a strategic mechanism for sustaining government legitimacy and strengthening the relationship between the state and society.</w:t>
      </w:r>
    </w:p>
    <w:p w14:paraId="5BDE597C" w14:textId="77777777" w:rsidR="005F61AA" w:rsidRPr="002A4F55" w:rsidRDefault="005F61AA" w:rsidP="005F61AA">
      <w:pPr>
        <w:jc w:val="both"/>
        <w:rPr>
          <w:rFonts w:asciiTheme="majorBidi" w:hAnsiTheme="majorBidi" w:cstheme="majorBidi"/>
        </w:rPr>
      </w:pPr>
      <w:r w:rsidRPr="002A4F55">
        <w:rPr>
          <w:rFonts w:asciiTheme="majorBidi" w:hAnsiTheme="majorBidi" w:cstheme="majorBidi"/>
        </w:rPr>
        <w:t>In conclusion, the relationship between government communication and good governance in the UAE demonstrates that communication is not merely an administrative function but a strategic governance tool. Through transparency, accountability, public participation, and trust-building, effective government communication contributes to strengthening institutional performance, social stability, and sustainable government–society relations.</w:t>
      </w:r>
    </w:p>
    <w:p w14:paraId="7C1BBF9D"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Third: Government Communication and Crisis Management in the United Arab Emirates</w:t>
      </w:r>
    </w:p>
    <w:p w14:paraId="4F92D482"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1. Government Communication as a Preventive and Proactive Tool</w:t>
      </w:r>
    </w:p>
    <w:p w14:paraId="4EEF5D69"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Government communication has evolved from a reactive mechanism focused primarily on announcing governmental decisions after crises occur into a strategic governance instrument that contributes to risk prevention, public preparedness, and institutional resilience. In contemporary crisis management, communication represents a fundamental component of preparedness because it enables governments to anticipate potential risks, develop communication strategies, establish consistent messages, and ensure the availability of reliable information before, during, and after crises. Effective crisis communication reduces uncertainty and supports informed public behavior by providing citizens with clear guidance and explanations regarding governmental actions (Coombs, 2021, p. 21).</w:t>
      </w:r>
    </w:p>
    <w:p w14:paraId="4FDF6B59"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 xml:space="preserve">Recent developments in digital government have strengthened the preventive role of communication by enabling governments to integrate digital platforms, real-time information systems, and public engagement mechanisms into crisis preparedness strategies. Digital </w:t>
      </w:r>
      <w:r w:rsidRPr="00184330">
        <w:rPr>
          <w:rFonts w:asciiTheme="majorBidi" w:hAnsiTheme="majorBidi" w:cstheme="majorBidi"/>
          <w:lang w:bidi="ar-AE"/>
        </w:rPr>
        <w:lastRenderedPageBreak/>
        <w:t>government environments allow institutions to monitor societal concerns, identify emerging risks, and disseminate preventive guidance more efficiently. Consequently, digital transformation has expanded government communication beyond the traditional function of information transmission toward a strategic capability that supports resilience, responsiveness, and public value creation (United Nations, 2024, p. 16).</w:t>
      </w:r>
    </w:p>
    <w:p w14:paraId="492605E1"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The United Arab Emirates represents an important example of this transformation due to its advanced digital government infrastructure and integrated communication systems. Through national digital platforms, official government websites, and verified communication channels, UAE government institutions provide citizens and residents with continuous access to official information, public services, and emergency updates. These digital capabilities support proactive communication by facilitating rapid dissemination of verified information and strengthening interaction between government institutions and society (UAE Digital Government, 2024).</w:t>
      </w:r>
    </w:p>
    <w:p w14:paraId="52BC6CB1"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The UAE’s approach to preventive communication is also reflected in its broader government modernization strategies, which emphasize strategic foresight, risk management, digital readiness, and institutional coordination. The UAE Digital Government Strategy 2025 highlights the importance of developing proactive government services, enhancing digital capabilities, and improving government responsiveness through integrated technological solutions (UAE Digital Government, 2023).</w:t>
      </w:r>
    </w:p>
    <w:p w14:paraId="21A2A7FB"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In crisis environments characterized by uncertainty and information disorder, proactive government communication becomes essential for protecting public confidence and preventing the spread of inaccurate information. International governance frameworks emphasize that effective crisis communication requires trusted communication channels, transparency, and timely information sharing to maintain social stability and strengthen institutional legitimacy (OECD, 2024, p. 33).</w:t>
      </w:r>
    </w:p>
    <w:p w14:paraId="78130E50" w14:textId="77777777" w:rsidR="005F61AA" w:rsidRPr="00184330" w:rsidRDefault="005F61AA" w:rsidP="005F61AA">
      <w:pPr>
        <w:jc w:val="both"/>
        <w:rPr>
          <w:rFonts w:asciiTheme="majorBidi" w:hAnsiTheme="majorBidi" w:cstheme="majorBidi"/>
          <w:lang w:bidi="ar-AE"/>
        </w:rPr>
      </w:pPr>
      <w:r w:rsidRPr="00184330">
        <w:rPr>
          <w:rFonts w:asciiTheme="majorBidi" w:hAnsiTheme="majorBidi" w:cstheme="majorBidi"/>
          <w:lang w:bidi="ar-AE"/>
        </w:rPr>
        <w:t>Therefore, government communication during crises should not be viewed merely as a process of transmitting information; rather, it represents a preventive governance mechanism that integrates risk management, public awareness, institutional coordination, and societal resilience.</w:t>
      </w:r>
    </w:p>
    <w:p w14:paraId="0E1913DE"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2. Maintaining Institutional Stability and Reputation during Crises</w:t>
      </w:r>
    </w:p>
    <w:p w14:paraId="731BE86A" w14:textId="77777777" w:rsidR="005F61AA" w:rsidRPr="004D4397" w:rsidRDefault="005F61AA" w:rsidP="005F61AA">
      <w:pPr>
        <w:jc w:val="both"/>
        <w:rPr>
          <w:rFonts w:asciiTheme="majorBidi" w:hAnsiTheme="majorBidi" w:cstheme="majorBidi"/>
        </w:rPr>
      </w:pPr>
      <w:r w:rsidRPr="004D4397">
        <w:rPr>
          <w:rFonts w:asciiTheme="majorBidi" w:hAnsiTheme="majorBidi" w:cstheme="majorBidi"/>
        </w:rPr>
        <w:t>During crises, government communication becomes a critical factor in maintaining institutional stability and protecting public confidence in governmental organizations. Crises create conditions of uncertainty in which citizens evaluate not only the effectiveness of governmental responses but also the transparency, consistency, and credibility of official communication. Therefore, communication performance becomes closely associated with institutional legitimacy and reputation management (Coombs, 2021, p. 136).</w:t>
      </w:r>
    </w:p>
    <w:p w14:paraId="10B01043" w14:textId="77777777" w:rsidR="005F61AA" w:rsidRPr="004D4397" w:rsidRDefault="005F61AA" w:rsidP="005F61AA">
      <w:pPr>
        <w:jc w:val="both"/>
        <w:rPr>
          <w:rFonts w:asciiTheme="majorBidi" w:hAnsiTheme="majorBidi" w:cstheme="majorBidi"/>
        </w:rPr>
      </w:pPr>
      <w:r w:rsidRPr="004D4397">
        <w:rPr>
          <w:rFonts w:asciiTheme="majorBidi" w:hAnsiTheme="majorBidi" w:cstheme="majorBidi"/>
        </w:rPr>
        <w:t xml:space="preserve">Strategic crisis communication enables governments to explain decisions, clarify policies, and demonstrate institutional capacity to manage unexpected events. Crisis management literature emphasizes that effective public leadership during crises requires governments to provide </w:t>
      </w:r>
      <w:r w:rsidRPr="004D4397">
        <w:rPr>
          <w:rFonts w:asciiTheme="majorBidi" w:hAnsiTheme="majorBidi" w:cstheme="majorBidi"/>
        </w:rPr>
        <w:lastRenderedPageBreak/>
        <w:t>meaning, reduce uncertainty, and maintain legitimacy through timely and credible communication (Boin, Hart, Stern, &amp; Sundelius, 2017, p. 92).</w:t>
      </w:r>
    </w:p>
    <w:p w14:paraId="4D6CA797" w14:textId="77777777" w:rsidR="005F61AA" w:rsidRPr="004D4397" w:rsidRDefault="005F61AA" w:rsidP="005F61AA">
      <w:pPr>
        <w:jc w:val="both"/>
        <w:rPr>
          <w:rFonts w:asciiTheme="majorBidi" w:hAnsiTheme="majorBidi" w:cstheme="majorBidi"/>
        </w:rPr>
      </w:pPr>
      <w:r w:rsidRPr="004D4397">
        <w:rPr>
          <w:rFonts w:asciiTheme="majorBidi" w:hAnsiTheme="majorBidi" w:cstheme="majorBidi"/>
        </w:rPr>
        <w:t>In the UAE context, government communication during emergencies relies on coordination among different governmental institutions to ensure consistency of messages and accuracy of information. Official entities utilize multiple communication channels, including digital platforms, government applications, and traditional media, to provide updates, clarify procedures, and communicate precautionary measures to citizens and residents. This integrated communication approach supports good governance principles by reinforcing transparency, accountability, and public confidence (UAE Digital Government, 2024).</w:t>
      </w:r>
    </w:p>
    <w:p w14:paraId="5C66301C" w14:textId="77777777" w:rsidR="005F61AA" w:rsidRPr="004D4397" w:rsidRDefault="005F61AA" w:rsidP="005F61AA">
      <w:pPr>
        <w:jc w:val="both"/>
        <w:rPr>
          <w:rFonts w:asciiTheme="majorBidi" w:hAnsiTheme="majorBidi" w:cstheme="majorBidi"/>
        </w:rPr>
      </w:pPr>
      <w:r w:rsidRPr="004D4397">
        <w:rPr>
          <w:rFonts w:asciiTheme="majorBidi" w:hAnsiTheme="majorBidi" w:cstheme="majorBidi"/>
        </w:rPr>
        <w:t>Moreover, crisis communication contributes significantly to protecting institutional reputation by preventing information gaps that may lead to speculation, confusion, or misinformation. The expansion of digital platforms has made misinformation management a central challenge for governments, requiring continuous monitoring, rapid response, and the dissemination of accurate information through trusted official channels (Wardle &amp; Derakhshan, 2017, p. 22).</w:t>
      </w:r>
    </w:p>
    <w:p w14:paraId="57507D5C" w14:textId="77777777" w:rsidR="005F61AA" w:rsidRDefault="005F61AA" w:rsidP="005F61AA">
      <w:pPr>
        <w:jc w:val="both"/>
        <w:rPr>
          <w:rFonts w:asciiTheme="majorBidi" w:hAnsiTheme="majorBidi" w:cstheme="majorBidi"/>
        </w:rPr>
      </w:pPr>
      <w:r w:rsidRPr="004D4397">
        <w:rPr>
          <w:rFonts w:asciiTheme="majorBidi" w:hAnsiTheme="majorBidi" w:cstheme="majorBidi"/>
        </w:rPr>
        <w:t>Digital government platforms have further enhanced the ability of institutions to maintain two-way communication during crises. Through online services, official applications, and social media channels, governments can monitor public concerns, receive feedback, and adjust communication strategies according to evolving circumstances. This transformation reflects the shift from traditional one-way crisis communication toward interactive communication based on dialogue and public engagement (OECD, 2024, p. 40).</w:t>
      </w:r>
    </w:p>
    <w:p w14:paraId="45E60E6F" w14:textId="77777777" w:rsidR="005F61AA" w:rsidRPr="002A4F55" w:rsidRDefault="005F61AA" w:rsidP="005F61AA">
      <w:pPr>
        <w:jc w:val="both"/>
        <w:rPr>
          <w:rFonts w:asciiTheme="majorBidi" w:hAnsiTheme="majorBidi" w:cstheme="majorBidi"/>
          <w:b/>
          <w:bCs/>
        </w:rPr>
      </w:pPr>
      <w:r w:rsidRPr="002A4F55">
        <w:rPr>
          <w:rFonts w:asciiTheme="majorBidi" w:hAnsiTheme="majorBidi" w:cstheme="majorBidi"/>
          <w:b/>
          <w:bCs/>
        </w:rPr>
        <w:t>3. Government Communication, Public Trust, and Good Governance during Crises</w:t>
      </w:r>
    </w:p>
    <w:p w14:paraId="25C49443" w14:textId="77777777" w:rsidR="005F61AA" w:rsidRPr="00D83AC1" w:rsidRDefault="005F61AA" w:rsidP="005F61AA">
      <w:pPr>
        <w:jc w:val="both"/>
        <w:rPr>
          <w:rFonts w:asciiTheme="majorBidi" w:hAnsiTheme="majorBidi" w:cstheme="majorBidi"/>
        </w:rPr>
      </w:pPr>
      <w:r w:rsidRPr="00D83AC1">
        <w:rPr>
          <w:rFonts w:asciiTheme="majorBidi" w:hAnsiTheme="majorBidi" w:cstheme="majorBidi"/>
        </w:rPr>
        <w:t>Public trust represents a fundamental dimension of good governance, particularly during periods of crisis when societies require reliable information and effective leadership. Trust in government is strongly influenced by institutional transparency, responsiveness, performance, and the perceived credibility of official communication. When governments communicate openly and respond effectively to public concerns, they strengthen citizens’ confidence and willingness to cooperate with governmental measures (OECD, 2024, p. 35).</w:t>
      </w:r>
    </w:p>
    <w:p w14:paraId="0178A350" w14:textId="77777777" w:rsidR="005F61AA" w:rsidRPr="00D83AC1" w:rsidRDefault="005F61AA" w:rsidP="005F61AA">
      <w:pPr>
        <w:jc w:val="both"/>
        <w:rPr>
          <w:rFonts w:asciiTheme="majorBidi" w:hAnsiTheme="majorBidi" w:cstheme="majorBidi"/>
        </w:rPr>
      </w:pPr>
      <w:r w:rsidRPr="00D83AC1">
        <w:rPr>
          <w:rFonts w:asciiTheme="majorBidi" w:hAnsiTheme="majorBidi" w:cstheme="majorBidi"/>
        </w:rPr>
        <w:t>Crisis communication therefore plays a central role in maintaining the relationship between government and society. Accurate and timely information reduces uncertainty, supports compliance with public policies, and enhances the perception that institutions are capable of protecting public interests. Digital communication has further strengthened this relationship by enabling governments to communicate directly with citizens and provide immediate responses to emerging concerns (Wang et al., 2023, p. 7).</w:t>
      </w:r>
    </w:p>
    <w:p w14:paraId="0C1DE6CB" w14:textId="77777777" w:rsidR="005F61AA" w:rsidRPr="00D83AC1" w:rsidRDefault="005F61AA" w:rsidP="005F61AA">
      <w:pPr>
        <w:jc w:val="both"/>
        <w:rPr>
          <w:rFonts w:asciiTheme="majorBidi" w:hAnsiTheme="majorBidi" w:cstheme="majorBidi"/>
        </w:rPr>
      </w:pPr>
      <w:r w:rsidRPr="00D83AC1">
        <w:rPr>
          <w:rFonts w:asciiTheme="majorBidi" w:hAnsiTheme="majorBidi" w:cstheme="majorBidi"/>
        </w:rPr>
        <w:t xml:space="preserve">The COVID-19 pandemic demonstrated the importance of digital government communication in crisis governance. Governments worldwide relied on digital platforms to provide health information, explain preventive measures, and counter misinformation. The UAE experience illustrates how established digital communication systems can support crisis response by ensuring </w:t>
      </w:r>
      <w:r w:rsidRPr="00D83AC1">
        <w:rPr>
          <w:rFonts w:asciiTheme="majorBidi" w:hAnsiTheme="majorBidi" w:cstheme="majorBidi"/>
        </w:rPr>
        <w:lastRenderedPageBreak/>
        <w:t>rapid information dissemination, maintaining public awareness, and strengthening confidence in institutional actions (United Nations, 2024, p. 31).</w:t>
      </w:r>
    </w:p>
    <w:p w14:paraId="722BAC19" w14:textId="77777777" w:rsidR="005F61AA" w:rsidRDefault="005F61AA" w:rsidP="005F61AA">
      <w:pPr>
        <w:jc w:val="both"/>
        <w:rPr>
          <w:rFonts w:asciiTheme="majorBidi" w:hAnsiTheme="majorBidi" w:cstheme="majorBidi"/>
        </w:rPr>
      </w:pPr>
      <w:r w:rsidRPr="00D83AC1">
        <w:rPr>
          <w:rFonts w:asciiTheme="majorBidi" w:hAnsiTheme="majorBidi" w:cstheme="majorBidi"/>
        </w:rPr>
        <w:t>From the perspective of good governance, effective crisis communication integrates transparency, accountability, participation, and institutional responsibility. It enables governments not only to manage immediate threats but also to preserve long-term trust and strengthen the relationship between the state and society. Consequently, government communication has become an essential strategic capability that supports crisis resilience and contributes to political and social stability.</w:t>
      </w:r>
    </w:p>
    <w:p w14:paraId="107622D3" w14:textId="77777777" w:rsidR="005F61AA" w:rsidRPr="00D83AC1" w:rsidRDefault="005F61AA" w:rsidP="005F61AA">
      <w:pPr>
        <w:jc w:val="both"/>
        <w:rPr>
          <w:rFonts w:asciiTheme="majorBidi" w:hAnsiTheme="majorBidi" w:cstheme="majorBidi"/>
        </w:rPr>
      </w:pPr>
      <w:bookmarkStart w:id="0" w:name="_Hlk240367911"/>
    </w:p>
    <w:p w14:paraId="26E7030E" w14:textId="77777777" w:rsidR="00C934E5" w:rsidRPr="00667893" w:rsidRDefault="00C934E5" w:rsidP="00C934E5">
      <w:pPr>
        <w:spacing w:after="200"/>
        <w:jc w:val="both"/>
        <w:rPr>
          <w:rFonts w:asciiTheme="majorBidi" w:hAnsiTheme="majorBidi" w:cstheme="majorBidi"/>
          <w:color w:val="0D0D0D" w:themeColor="text1" w:themeTint="F2"/>
          <w:lang w:bidi="ar-IQ"/>
        </w:rPr>
      </w:pPr>
      <w:r w:rsidRPr="00667893">
        <w:rPr>
          <w:rFonts w:asciiTheme="majorBidi" w:hAnsiTheme="majorBidi" w:cstheme="majorBidi"/>
          <w:b/>
          <w:bCs/>
          <w:color w:val="0D0D0D" w:themeColor="text1" w:themeTint="F2"/>
          <w:lang w:bidi="ar-IQ"/>
        </w:rPr>
        <w:t>2. Legal Compliance as a Regulator of Communication Practices and a Means of Strengthening Good Governance</w:t>
      </w:r>
    </w:p>
    <w:p w14:paraId="076D0908" w14:textId="77777777" w:rsidR="00C934E5" w:rsidRPr="00667893" w:rsidRDefault="00C934E5" w:rsidP="00C934E5">
      <w:pPr>
        <w:spacing w:after="200"/>
        <w:jc w:val="both"/>
        <w:rPr>
          <w:rFonts w:asciiTheme="majorBidi" w:hAnsiTheme="majorBidi" w:cstheme="majorBidi"/>
          <w:color w:val="0D0D0D" w:themeColor="text1" w:themeTint="F2"/>
          <w:lang w:bidi="ar-IQ"/>
        </w:rPr>
      </w:pPr>
      <w:r w:rsidRPr="00667893">
        <w:rPr>
          <w:rFonts w:asciiTheme="majorBidi" w:hAnsiTheme="majorBidi" w:cstheme="majorBidi"/>
          <w:b/>
          <w:bCs/>
          <w:color w:val="0D0D0D" w:themeColor="text1" w:themeTint="F2"/>
          <w:lang w:bidi="ar-IQ"/>
        </w:rPr>
        <w:t>2.1 The Legal Framework Governing Government Communication in the United Arab Emirates</w:t>
      </w:r>
    </w:p>
    <w:p w14:paraId="7D001C51" w14:textId="77777777" w:rsidR="00C934E5" w:rsidRPr="00667893" w:rsidRDefault="00C934E5" w:rsidP="00C934E5">
      <w:pPr>
        <w:spacing w:after="20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We shall address in this section three main issues.</w:t>
      </w:r>
    </w:p>
    <w:p w14:paraId="084B5A46" w14:textId="77777777" w:rsidR="00C934E5" w:rsidRPr="00667893" w:rsidRDefault="00C934E5" w:rsidP="00C934E5">
      <w:pPr>
        <w:spacing w:after="200"/>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2.1.1 Media Legislation &amp; Data Protection</w:t>
      </w:r>
    </w:p>
    <w:p w14:paraId="4DD2D2DF" w14:textId="1F81F6C1"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It should be noted first that media legislation comprises a set of legal rules, which regulate the activities of media outlets, whether traditional or digital. These legislations, however, aim to create a balance between freedom of expression and legal responsibility, in addition to ensuring respect for individuals’ rights, particularly the right to privacy. On the other hand, data protection refers to a set of legal rules and technical procedures aimed at protecting personal data from unlawful access or unauthorized use. This data includes everything related to an individual’s identity, such as their name, address, as well as health and financial information.</w:t>
      </w:r>
      <w:r w:rsidR="007350F2">
        <w:rPr>
          <w:rFonts w:asciiTheme="majorBidi" w:hAnsiTheme="majorBidi" w:cstheme="majorBidi"/>
          <w:color w:val="0D0D0D" w:themeColor="text1" w:themeTint="F2"/>
          <w:lang w:bidi="ar-IQ"/>
        </w:rPr>
        <w:t xml:space="preserve"> (Omar Muayad Mahmoud, 2025)</w:t>
      </w:r>
    </w:p>
    <w:p w14:paraId="2BF08BA1" w14:textId="7AD3C759"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There is no doubt that the United Arab Emirates has recently witnessed notable legislative development in the regulation of media and the protection of personal data, amid the rapid digital transformation that has created new legal challenges concerning freedom of expression and the need to protect privacy. Recent studies indicate that the digital revolution has led to an unprecedented expansion in the collection and use of personal data in the media sphere</w:t>
      </w:r>
      <w:r w:rsidRPr="00667893">
        <w:rPr>
          <w:rStyle w:val="FootnoteReference"/>
          <w:rFonts w:asciiTheme="majorBidi" w:hAnsiTheme="majorBidi" w:cstheme="majorBidi"/>
          <w:color w:val="0D0D0D" w:themeColor="text1" w:themeTint="F2"/>
          <w:lang w:bidi="ar-IQ"/>
        </w:rPr>
        <w:footnoteReference w:id="1"/>
      </w:r>
      <w:r w:rsidRPr="00667893">
        <w:rPr>
          <w:rFonts w:asciiTheme="majorBidi" w:hAnsiTheme="majorBidi" w:cstheme="majorBidi"/>
          <w:color w:val="0D0D0D" w:themeColor="text1" w:themeTint="F2"/>
          <w:lang w:bidi="ar-IQ"/>
        </w:rPr>
        <w:t xml:space="preserve">, as digital </w:t>
      </w:r>
      <w:bookmarkStart w:id="1" w:name="_Hlk240367996"/>
      <w:bookmarkEnd w:id="0"/>
      <w:r w:rsidRPr="00667893">
        <w:rPr>
          <w:rFonts w:asciiTheme="majorBidi" w:hAnsiTheme="majorBidi" w:cstheme="majorBidi"/>
          <w:color w:val="0D0D0D" w:themeColor="text1" w:themeTint="F2"/>
          <w:lang w:bidi="ar-IQ"/>
        </w:rPr>
        <w:t>media has become one of the most prominent tools of influence in society, and it is no longer limited to reporting news, but has expanded to include the collection, analysis, and dissemination of data. Thus, it has necessitated the intervention of the Emirati legislator to establish a legal framework that would balance media freedom with the safeguarding of personal rights.</w:t>
      </w:r>
      <w:r w:rsidR="00101AEE">
        <w:rPr>
          <w:rFonts w:asciiTheme="majorBidi" w:hAnsiTheme="majorBidi" w:cstheme="majorBidi"/>
          <w:color w:val="0D0D0D" w:themeColor="text1" w:themeTint="F2"/>
          <w:lang w:bidi="ar-IQ"/>
        </w:rPr>
        <w:t xml:space="preserve"> (</w:t>
      </w:r>
      <w:r w:rsidR="00101AEE" w:rsidRPr="00101AEE">
        <w:rPr>
          <w:rFonts w:asciiTheme="majorBidi" w:hAnsiTheme="majorBidi" w:cstheme="majorBidi"/>
          <w:bCs/>
          <w:color w:val="0D0D0D" w:themeColor="text1" w:themeTint="F2"/>
          <w:lang w:bidi="ar-IQ"/>
        </w:rPr>
        <w:t>Al-Hassan Oweis</w:t>
      </w:r>
      <w:r w:rsidR="00101AEE">
        <w:rPr>
          <w:rFonts w:asciiTheme="majorBidi" w:hAnsiTheme="majorBidi" w:cstheme="majorBidi"/>
          <w:bCs/>
          <w:color w:val="0D0D0D" w:themeColor="text1" w:themeTint="F2"/>
          <w:lang w:bidi="ar-IQ"/>
        </w:rPr>
        <w:t xml:space="preserve"> Shaaban, </w:t>
      </w:r>
      <w:r w:rsidR="00101AEE" w:rsidRPr="00101AEE">
        <w:rPr>
          <w:rFonts w:asciiTheme="majorBidi" w:hAnsiTheme="majorBidi" w:cstheme="majorBidi"/>
          <w:bCs/>
          <w:color w:val="0D0D0D" w:themeColor="text1" w:themeTint="F2"/>
          <w:lang w:bidi="ar-IQ"/>
        </w:rPr>
        <w:t>2025)</w:t>
      </w:r>
    </w:p>
    <w:p w14:paraId="4629786E" w14:textId="241CD7FB"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bookmarkStart w:id="2" w:name="_Hlk240368058"/>
      <w:bookmarkEnd w:id="1"/>
      <w:r w:rsidRPr="00667893">
        <w:rPr>
          <w:rFonts w:asciiTheme="majorBidi" w:hAnsiTheme="majorBidi" w:cstheme="majorBidi"/>
          <w:color w:val="0D0D0D" w:themeColor="text1" w:themeTint="F2"/>
          <w:lang w:bidi="ar-IQ"/>
        </w:rPr>
        <w:t>It has been argued that UAE media legislation is mainly based on a fundamental principle, which ensures freedom of opinion and expression within the limits of the law, avoiding any type of harm to public order or violations of individuals’ privacy. Nevertheless,</w:t>
      </w:r>
      <w:r w:rsidR="00101AEE">
        <w:rPr>
          <w:rFonts w:asciiTheme="majorBidi" w:hAnsiTheme="majorBidi" w:cstheme="majorBidi"/>
          <w:color w:val="0D0D0D" w:themeColor="text1" w:themeTint="F2"/>
          <w:lang w:bidi="ar-IQ"/>
        </w:rPr>
        <w:t xml:space="preserve"> </w:t>
      </w:r>
      <w:r w:rsidR="00101AEE" w:rsidRPr="00101AEE">
        <w:rPr>
          <w:rFonts w:asciiTheme="majorBidi" w:hAnsiTheme="majorBidi" w:cstheme="majorBidi"/>
          <w:bCs/>
          <w:color w:val="0D0D0D" w:themeColor="text1" w:themeTint="F2"/>
          <w:lang w:bidi="ar-IQ"/>
        </w:rPr>
        <w:t xml:space="preserve">Mayada </w:t>
      </w:r>
      <w:r w:rsidR="00101AEE">
        <w:rPr>
          <w:rFonts w:asciiTheme="majorBidi" w:hAnsiTheme="majorBidi" w:cstheme="majorBidi"/>
          <w:bCs/>
          <w:color w:val="0D0D0D" w:themeColor="text1" w:themeTint="F2"/>
          <w:lang w:bidi="ar-IQ"/>
        </w:rPr>
        <w:t>Al-Mahrouqi</w:t>
      </w:r>
      <w:r w:rsidR="00101AEE" w:rsidRPr="00101AEE">
        <w:rPr>
          <w:rFonts w:asciiTheme="majorBidi" w:hAnsiTheme="majorBidi" w:cstheme="majorBidi"/>
          <w:bCs/>
          <w:color w:val="0D0D0D" w:themeColor="text1" w:themeTint="F2"/>
          <w:lang w:bidi="ar-IQ"/>
        </w:rPr>
        <w:t xml:space="preserve"> (2023)</w:t>
      </w:r>
      <w:r w:rsidR="00101AEE">
        <w:rPr>
          <w:rFonts w:asciiTheme="majorBidi" w:hAnsiTheme="majorBidi" w:cstheme="majorBidi"/>
          <w:bCs/>
          <w:color w:val="0D0D0D" w:themeColor="text1" w:themeTint="F2"/>
          <w:lang w:bidi="ar-IQ"/>
        </w:rPr>
        <w:t xml:space="preserve"> demonstrates </w:t>
      </w:r>
      <w:r w:rsidRPr="00667893">
        <w:rPr>
          <w:rFonts w:asciiTheme="majorBidi" w:hAnsiTheme="majorBidi" w:cstheme="majorBidi"/>
          <w:color w:val="0D0D0D" w:themeColor="text1" w:themeTint="F2"/>
          <w:lang w:bidi="ar-IQ"/>
        </w:rPr>
        <w:t>that media freedom is not absolute but only restricted by the protection of personal rights.</w:t>
      </w:r>
      <w:r w:rsidR="00101AEE" w:rsidRPr="00667893">
        <w:rPr>
          <w:rFonts w:asciiTheme="majorBidi" w:hAnsiTheme="majorBidi" w:cstheme="majorBidi"/>
          <w:color w:val="0D0D0D" w:themeColor="text1" w:themeTint="F2"/>
          <w:lang w:bidi="ar-IQ"/>
        </w:rPr>
        <w:t xml:space="preserve"> </w:t>
      </w:r>
      <w:r w:rsidRPr="00667893">
        <w:rPr>
          <w:rFonts w:asciiTheme="majorBidi" w:hAnsiTheme="majorBidi" w:cstheme="majorBidi"/>
          <w:color w:val="0D0D0D" w:themeColor="text1" w:themeTint="F2"/>
          <w:lang w:bidi="ar-IQ"/>
        </w:rPr>
        <w:t xml:space="preserve">This approach has been manifested through a range of laws regulating media activity, whether through traditional or digital means, which impose clear obligations on media </w:t>
      </w:r>
      <w:r w:rsidRPr="00667893">
        <w:rPr>
          <w:rFonts w:asciiTheme="majorBidi" w:hAnsiTheme="majorBidi" w:cstheme="majorBidi"/>
          <w:color w:val="0D0D0D" w:themeColor="text1" w:themeTint="F2"/>
          <w:lang w:bidi="ar-IQ"/>
        </w:rPr>
        <w:lastRenderedPageBreak/>
        <w:t>institutions, particularly concerning the non-publication or circulation of personal data without a legal basis or with an explicit consent of the targeted subject.</w:t>
      </w:r>
      <w:r w:rsidR="00101AEE">
        <w:rPr>
          <w:rFonts w:asciiTheme="majorBidi" w:hAnsiTheme="majorBidi" w:cstheme="majorBidi"/>
          <w:color w:val="0D0D0D" w:themeColor="text1" w:themeTint="F2"/>
          <w:lang w:bidi="ar-IQ"/>
        </w:rPr>
        <w:t xml:space="preserve"> (</w:t>
      </w:r>
      <w:r w:rsidR="00101AEE" w:rsidRPr="00101AEE">
        <w:rPr>
          <w:rFonts w:asciiTheme="majorBidi" w:hAnsiTheme="majorBidi" w:cstheme="majorBidi"/>
          <w:color w:val="0D0D0D" w:themeColor="text1" w:themeTint="F2"/>
          <w:lang w:bidi="ar-IQ"/>
        </w:rPr>
        <w:t>UAE Government Official Portal, 202</w:t>
      </w:r>
      <w:r w:rsidR="00B411DF">
        <w:rPr>
          <w:rFonts w:asciiTheme="majorBidi" w:hAnsiTheme="majorBidi" w:cstheme="majorBidi"/>
          <w:color w:val="0D0D0D" w:themeColor="text1" w:themeTint="F2"/>
          <w:lang w:bidi="ar-IQ"/>
        </w:rPr>
        <w:t>1)</w:t>
      </w:r>
    </w:p>
    <w:p w14:paraId="3FFDDEBD" w14:textId="63897EE9"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Accordingly, Federal Decree-Law No. 45 of 2021 regarding the Protection of Personal Data stands out as the cornerstone of regulating data protection in the country. This law has been established to keep pace with modern international standards and establish precise rules that would govern collecting, processing and storing personal data, thereby ensuring the protection of individuals’ privacy in the digital environment</w:t>
      </w:r>
      <w:r w:rsidR="00B411DF">
        <w:rPr>
          <w:rFonts w:asciiTheme="majorBidi" w:hAnsiTheme="majorBidi" w:cstheme="majorBidi"/>
          <w:color w:val="0D0D0D" w:themeColor="text1" w:themeTint="F2"/>
          <w:lang w:bidi="ar-IQ"/>
        </w:rPr>
        <w:t xml:space="preserve"> (</w:t>
      </w:r>
      <w:r w:rsidR="00B411DF" w:rsidRPr="00B411DF">
        <w:rPr>
          <w:rFonts w:asciiTheme="majorBidi" w:hAnsiTheme="majorBidi" w:cstheme="majorBidi"/>
          <w:bCs/>
          <w:color w:val="0D0D0D" w:themeColor="text1" w:themeTint="F2"/>
          <w:lang w:bidi="ar-IQ"/>
        </w:rPr>
        <w:t>Mansour</w:t>
      </w:r>
      <w:r w:rsidR="00B411DF">
        <w:rPr>
          <w:rFonts w:asciiTheme="majorBidi" w:hAnsiTheme="majorBidi" w:cstheme="majorBidi"/>
          <w:bCs/>
          <w:color w:val="0D0D0D" w:themeColor="text1" w:themeTint="F2"/>
          <w:lang w:bidi="ar-IQ"/>
        </w:rPr>
        <w:t xml:space="preserve"> Al-Kaabi, </w:t>
      </w:r>
      <w:r w:rsidR="00B411DF" w:rsidRPr="00B411DF">
        <w:rPr>
          <w:rFonts w:asciiTheme="majorBidi" w:hAnsiTheme="majorBidi" w:cstheme="majorBidi"/>
          <w:bCs/>
          <w:color w:val="0D0D0D" w:themeColor="text1" w:themeTint="F2"/>
          <w:lang w:bidi="ar-IQ"/>
        </w:rPr>
        <w:t>2025</w:t>
      </w:r>
      <w:r w:rsidR="00B411DF">
        <w:rPr>
          <w:rFonts w:asciiTheme="majorBidi" w:hAnsiTheme="majorBidi" w:cstheme="majorBidi"/>
          <w:bCs/>
          <w:color w:val="0D0D0D" w:themeColor="text1" w:themeTint="F2"/>
          <w:lang w:bidi="ar-IQ"/>
        </w:rPr>
        <w:t>).</w:t>
      </w:r>
      <w:r w:rsidRPr="00667893">
        <w:rPr>
          <w:rFonts w:asciiTheme="majorBidi" w:hAnsiTheme="majorBidi" w:cstheme="majorBidi"/>
          <w:color w:val="0D0D0D" w:themeColor="text1" w:themeTint="F2"/>
          <w:lang w:bidi="ar-IQ"/>
        </w:rPr>
        <w:t xml:space="preserve"> The law stipulates that data processing must be carried out in accordance with lawful principles, including transparency, limitation, and minimization</w:t>
      </w:r>
      <w:r w:rsidR="00B411DF">
        <w:rPr>
          <w:rFonts w:asciiTheme="majorBidi" w:hAnsiTheme="majorBidi" w:cstheme="majorBidi"/>
          <w:color w:val="0D0D0D" w:themeColor="text1" w:themeTint="F2"/>
          <w:lang w:bidi="ar-IQ"/>
        </w:rPr>
        <w:t xml:space="preserve"> (</w:t>
      </w:r>
      <w:r w:rsidR="00B411DF" w:rsidRPr="00B411DF">
        <w:rPr>
          <w:rFonts w:asciiTheme="majorBidi" w:hAnsiTheme="majorBidi" w:cstheme="majorBidi"/>
          <w:bCs/>
          <w:color w:val="0D0D0D" w:themeColor="text1" w:themeTint="F2"/>
          <w:lang w:bidi="ar-IQ"/>
        </w:rPr>
        <w:t>Sayyid Ahmed</w:t>
      </w:r>
      <w:r w:rsidR="00B411DF">
        <w:rPr>
          <w:rFonts w:asciiTheme="majorBidi" w:hAnsiTheme="majorBidi" w:cstheme="majorBidi"/>
          <w:bCs/>
          <w:color w:val="0D0D0D" w:themeColor="text1" w:themeTint="F2"/>
          <w:lang w:bidi="ar-IQ"/>
        </w:rPr>
        <w:t xml:space="preserve"> Mahmoud, </w:t>
      </w:r>
      <w:r w:rsidR="00B411DF" w:rsidRPr="00B411DF">
        <w:rPr>
          <w:rFonts w:asciiTheme="majorBidi" w:hAnsiTheme="majorBidi" w:cstheme="majorBidi"/>
          <w:bCs/>
          <w:color w:val="0D0D0D" w:themeColor="text1" w:themeTint="F2"/>
          <w:lang w:bidi="ar-IQ"/>
        </w:rPr>
        <w:t>2024)</w:t>
      </w:r>
      <w:r w:rsidR="00B411DF">
        <w:rPr>
          <w:rFonts w:asciiTheme="majorBidi" w:hAnsiTheme="majorBidi" w:cstheme="majorBidi"/>
          <w:bCs/>
          <w:color w:val="0D0D0D" w:themeColor="text1" w:themeTint="F2"/>
          <w:lang w:bidi="ar-IQ"/>
        </w:rPr>
        <w:t>.</w:t>
      </w:r>
    </w:p>
    <w:p w14:paraId="0956DD25" w14:textId="5ADDFE2E"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bookmarkStart w:id="3" w:name="_Hlk240368160"/>
      <w:bookmarkEnd w:id="2"/>
      <w:r w:rsidRPr="00667893">
        <w:rPr>
          <w:rFonts w:asciiTheme="majorBidi" w:hAnsiTheme="majorBidi" w:cstheme="majorBidi"/>
          <w:color w:val="0D0D0D" w:themeColor="text1" w:themeTint="F2"/>
          <w:lang w:bidi="ar-IQ"/>
        </w:rPr>
        <w:t>In practical terms, the relationship between media legislation and data protection law in the UAE is characterized by integration. Media outlets may not, even when exercising freedom of expression, exceed the limits established by law concerning privacy protection. The publication of personal information, photographs, or sensitive data without the explicit consent of the data subject is prohibited, except in specific cases permitted by law, such as when publication relates to the public interest or constitutes the fulfillment of a legal obligation</w:t>
      </w:r>
      <w:r w:rsidR="00B411DF">
        <w:rPr>
          <w:rFonts w:asciiTheme="majorBidi" w:hAnsiTheme="majorBidi" w:cstheme="majorBidi"/>
          <w:color w:val="0D0D0D" w:themeColor="text1" w:themeTint="F2"/>
          <w:lang w:bidi="ar-IQ"/>
        </w:rPr>
        <w:t xml:space="preserve"> (</w:t>
      </w:r>
      <w:r w:rsidR="00B411DF" w:rsidRPr="00B411DF">
        <w:rPr>
          <w:rFonts w:asciiTheme="majorBidi" w:hAnsiTheme="majorBidi" w:cstheme="majorBidi"/>
          <w:bCs/>
          <w:color w:val="0D0D0D" w:themeColor="text1" w:themeTint="F2"/>
          <w:lang w:bidi="ar-IQ"/>
        </w:rPr>
        <w:t>Maher Ibrahim et al</w:t>
      </w:r>
      <w:r w:rsidR="00B411DF">
        <w:rPr>
          <w:rFonts w:asciiTheme="majorBidi" w:hAnsiTheme="majorBidi" w:cstheme="majorBidi"/>
          <w:bCs/>
          <w:color w:val="0D0D0D" w:themeColor="text1" w:themeTint="F2"/>
          <w:lang w:bidi="ar-IQ"/>
        </w:rPr>
        <w:t xml:space="preserve">, </w:t>
      </w:r>
      <w:r w:rsidR="00B411DF" w:rsidRPr="00B411DF">
        <w:rPr>
          <w:rFonts w:asciiTheme="majorBidi" w:hAnsiTheme="majorBidi" w:cstheme="majorBidi"/>
          <w:bCs/>
          <w:color w:val="0D0D0D" w:themeColor="text1" w:themeTint="F2"/>
          <w:lang w:bidi="ar-IQ"/>
        </w:rPr>
        <w:t xml:space="preserve">2025), </w:t>
      </w:r>
      <w:r w:rsidRPr="00667893">
        <w:rPr>
          <w:rFonts w:asciiTheme="majorBidi" w:hAnsiTheme="majorBidi" w:cstheme="majorBidi"/>
          <w:color w:val="0D0D0D" w:themeColor="text1" w:themeTint="F2"/>
          <w:lang w:bidi="ar-IQ"/>
        </w:rPr>
        <w:t xml:space="preserve"> This might reflect the UAE legislator’s approach toward achieving a delicate balance between society’s right to know and the individual’s right to privacy.</w:t>
      </w:r>
    </w:p>
    <w:p w14:paraId="646E77CE" w14:textId="16F5181F" w:rsidR="00C934E5" w:rsidRPr="00667893" w:rsidRDefault="00C934E5" w:rsidP="00E453AA">
      <w:pPr>
        <w:spacing w:after="0" w:line="240" w:lineRule="auto"/>
        <w:ind w:firstLine="45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Meanwhile, the UAE law has not been minimized to establishing general rules, as it has also established clear legal responsibilities for media organizations when failing to protecting data. Civil liability, for instance, may arise if individuals suffer harm due to publishing data unlawfully, in addition to the possibility of imposing administrative or financial penalties on violating entities, which falls within the framework of legal protection for personal data</w:t>
      </w:r>
      <w:r w:rsidR="00337BAB">
        <w:rPr>
          <w:rFonts w:asciiTheme="majorBidi" w:hAnsiTheme="majorBidi" w:cstheme="majorBidi"/>
          <w:color w:val="0D0D0D" w:themeColor="text1" w:themeTint="F2"/>
          <w:lang w:bidi="ar-IQ"/>
        </w:rPr>
        <w:t xml:space="preserve"> (</w:t>
      </w:r>
      <w:r w:rsidR="00337BAB" w:rsidRPr="00337BAB">
        <w:rPr>
          <w:rFonts w:asciiTheme="majorBidi" w:hAnsiTheme="majorBidi" w:cstheme="majorBidi"/>
          <w:bCs/>
          <w:color w:val="0D0D0D" w:themeColor="text1" w:themeTint="F2"/>
          <w:lang w:bidi="ar-IQ"/>
        </w:rPr>
        <w:t>Al-Hassan Oweis</w:t>
      </w:r>
      <w:r w:rsidR="00337BAB">
        <w:rPr>
          <w:rFonts w:asciiTheme="majorBidi" w:hAnsiTheme="majorBidi" w:cstheme="majorBidi"/>
          <w:bCs/>
          <w:color w:val="0D0D0D" w:themeColor="text1" w:themeTint="F2"/>
          <w:lang w:bidi="ar-IQ"/>
        </w:rPr>
        <w:t xml:space="preserve"> Shaaban, </w:t>
      </w:r>
      <w:r w:rsidR="00337BAB" w:rsidRPr="00337BAB">
        <w:rPr>
          <w:rFonts w:asciiTheme="majorBidi" w:hAnsiTheme="majorBidi" w:cstheme="majorBidi"/>
          <w:bCs/>
          <w:color w:val="0D0D0D" w:themeColor="text1" w:themeTint="F2"/>
          <w:lang w:bidi="ar-IQ"/>
        </w:rPr>
        <w:t>2025)</w:t>
      </w:r>
      <w:r w:rsidR="00337BAB">
        <w:rPr>
          <w:rFonts w:asciiTheme="majorBidi" w:hAnsiTheme="majorBidi" w:cstheme="majorBidi"/>
          <w:bCs/>
          <w:color w:val="0D0D0D" w:themeColor="text1" w:themeTint="F2"/>
          <w:lang w:bidi="ar-IQ"/>
        </w:rPr>
        <w:t xml:space="preserve">. </w:t>
      </w:r>
      <w:r w:rsidRPr="00667893">
        <w:rPr>
          <w:rFonts w:asciiTheme="majorBidi" w:hAnsiTheme="majorBidi" w:cstheme="majorBidi"/>
          <w:color w:val="0D0D0D" w:themeColor="text1" w:themeTint="F2"/>
          <w:lang w:bidi="ar-IQ"/>
        </w:rPr>
        <w:t>This indicates that the UAE legislator has adopted both a preventive and remedial approach by requiring media institutions to take the necessary measures to protect data whereas holding them accountable when a violation occurs.</w:t>
      </w:r>
    </w:p>
    <w:p w14:paraId="7CF70FD8" w14:textId="6CBA48BE"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bookmarkStart w:id="4" w:name="_Hlk240368299"/>
      <w:bookmarkEnd w:id="3"/>
      <w:r w:rsidRPr="00667893">
        <w:rPr>
          <w:rFonts w:asciiTheme="majorBidi" w:hAnsiTheme="majorBidi" w:cstheme="majorBidi"/>
          <w:color w:val="0D0D0D" w:themeColor="text1" w:themeTint="F2"/>
          <w:lang w:bidi="ar-IQ"/>
        </w:rPr>
        <w:t>The role played by technology in complicating the issue of data protection in the media sector cannot be overlooked, as technological development has made it possible to collect vast amounts of data and analyze them through the use of advanced methods, thereby increasing the risks of privacy violations. Based on that,</w:t>
      </w:r>
      <w:r w:rsidR="00337BAB">
        <w:rPr>
          <w:rFonts w:asciiTheme="majorBidi" w:hAnsiTheme="majorBidi" w:cstheme="majorBidi"/>
          <w:color w:val="0D0D0D" w:themeColor="text1" w:themeTint="F2"/>
          <w:lang w:bidi="ar-IQ"/>
        </w:rPr>
        <w:t xml:space="preserve"> Mansour</w:t>
      </w:r>
      <w:r w:rsidRPr="00667893">
        <w:rPr>
          <w:rFonts w:asciiTheme="majorBidi" w:hAnsiTheme="majorBidi" w:cstheme="majorBidi"/>
          <w:color w:val="0D0D0D" w:themeColor="text1" w:themeTint="F2"/>
          <w:lang w:bidi="ar-IQ"/>
        </w:rPr>
        <w:t xml:space="preserve"> </w:t>
      </w:r>
      <w:r w:rsidR="00337BAB" w:rsidRPr="00337BAB">
        <w:rPr>
          <w:rFonts w:asciiTheme="majorBidi" w:hAnsiTheme="majorBidi" w:cstheme="majorBidi"/>
          <w:bCs/>
          <w:color w:val="0D0D0D" w:themeColor="text1" w:themeTint="F2"/>
          <w:lang w:bidi="ar-IQ"/>
        </w:rPr>
        <w:t>Al-Kaabi</w:t>
      </w:r>
      <w:r w:rsidR="00337BAB">
        <w:rPr>
          <w:rFonts w:asciiTheme="majorBidi" w:hAnsiTheme="majorBidi" w:cstheme="majorBidi"/>
          <w:bCs/>
          <w:color w:val="0D0D0D" w:themeColor="text1" w:themeTint="F2"/>
          <w:lang w:bidi="ar-IQ"/>
        </w:rPr>
        <w:t xml:space="preserve"> </w:t>
      </w:r>
      <w:r w:rsidR="00337BAB" w:rsidRPr="00337BAB">
        <w:rPr>
          <w:rFonts w:asciiTheme="majorBidi" w:hAnsiTheme="majorBidi" w:cstheme="majorBidi"/>
          <w:bCs/>
          <w:color w:val="0D0D0D" w:themeColor="text1" w:themeTint="F2"/>
          <w:lang w:bidi="ar-IQ"/>
        </w:rPr>
        <w:t>(2025)</w:t>
      </w:r>
      <w:r w:rsidR="00337BAB">
        <w:rPr>
          <w:rFonts w:asciiTheme="majorBidi" w:hAnsiTheme="majorBidi" w:cstheme="majorBidi"/>
          <w:bCs/>
          <w:color w:val="0D0D0D" w:themeColor="text1" w:themeTint="F2"/>
          <w:lang w:bidi="ar-IQ"/>
        </w:rPr>
        <w:t xml:space="preserve"> claimed that </w:t>
      </w:r>
      <w:r w:rsidRPr="00667893">
        <w:rPr>
          <w:rFonts w:asciiTheme="majorBidi" w:hAnsiTheme="majorBidi" w:cstheme="majorBidi"/>
          <w:color w:val="0D0D0D" w:themeColor="text1" w:themeTint="F2"/>
          <w:lang w:bidi="ar-IQ"/>
        </w:rPr>
        <w:t>modern legislation has been prompted to adopt technical protection measures such as encryption and information security.</w:t>
      </w:r>
    </w:p>
    <w:p w14:paraId="2D27D4E5" w14:textId="2F0147E6"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Despite this legislative development, practical challenges still face the application of data protection rules in the media field in the United Arab Emirates, most notably the cross-border nature of the Internet, which makes it difficult to subject all media entities to national law, in addition to the delicate balance between information security requirements and individuals’ privacy rights</w:t>
      </w:r>
      <w:r w:rsidR="00337BAB">
        <w:rPr>
          <w:rFonts w:asciiTheme="majorBidi" w:hAnsiTheme="majorBidi" w:cstheme="majorBidi"/>
          <w:color w:val="0D0D0D" w:themeColor="text1" w:themeTint="F2"/>
          <w:lang w:bidi="ar-IQ"/>
        </w:rPr>
        <w:t xml:space="preserve"> (</w:t>
      </w:r>
      <w:r w:rsidR="00337BAB" w:rsidRPr="00337BAB">
        <w:rPr>
          <w:rFonts w:asciiTheme="majorBidi" w:hAnsiTheme="majorBidi" w:cstheme="majorBidi"/>
          <w:bCs/>
          <w:color w:val="0D0D0D" w:themeColor="text1" w:themeTint="F2"/>
          <w:lang w:bidi="ar-IQ"/>
        </w:rPr>
        <w:t>Fahd Ahmed</w:t>
      </w:r>
      <w:r w:rsidR="00337BAB">
        <w:rPr>
          <w:rFonts w:asciiTheme="majorBidi" w:hAnsiTheme="majorBidi" w:cstheme="majorBidi"/>
          <w:bCs/>
          <w:color w:val="0D0D0D" w:themeColor="text1" w:themeTint="F2"/>
          <w:lang w:bidi="ar-IQ"/>
        </w:rPr>
        <w:t xml:space="preserve"> Al-Lahdan</w:t>
      </w:r>
      <w:r w:rsidR="00337BAB" w:rsidRPr="00337BAB">
        <w:rPr>
          <w:rFonts w:asciiTheme="majorBidi" w:hAnsiTheme="majorBidi" w:cstheme="majorBidi"/>
          <w:bCs/>
          <w:color w:val="0D0D0D" w:themeColor="text1" w:themeTint="F2"/>
          <w:lang w:bidi="ar-IQ"/>
        </w:rPr>
        <w:t xml:space="preserve"> &amp; </w:t>
      </w:r>
      <w:r w:rsidR="00337BAB">
        <w:rPr>
          <w:rFonts w:asciiTheme="majorBidi" w:hAnsiTheme="majorBidi" w:cstheme="majorBidi"/>
          <w:bCs/>
          <w:color w:val="0D0D0D" w:themeColor="text1" w:themeTint="F2"/>
          <w:lang w:bidi="ar-IQ"/>
        </w:rPr>
        <w:t xml:space="preserve">Eyad </w:t>
      </w:r>
      <w:r w:rsidR="00337BAB" w:rsidRPr="00337BAB">
        <w:rPr>
          <w:rFonts w:asciiTheme="majorBidi" w:hAnsiTheme="majorBidi" w:cstheme="majorBidi"/>
          <w:bCs/>
          <w:color w:val="0D0D0D" w:themeColor="text1" w:themeTint="F2"/>
          <w:lang w:bidi="ar-IQ"/>
        </w:rPr>
        <w:t>Jad Al-Haq,</w:t>
      </w:r>
      <w:r w:rsidR="00337BAB">
        <w:rPr>
          <w:rFonts w:asciiTheme="majorBidi" w:hAnsiTheme="majorBidi" w:cstheme="majorBidi"/>
          <w:bCs/>
          <w:color w:val="0D0D0D" w:themeColor="text1" w:themeTint="F2"/>
          <w:lang w:bidi="ar-IQ"/>
        </w:rPr>
        <w:t xml:space="preserve"> </w:t>
      </w:r>
      <w:r w:rsidR="00337BAB" w:rsidRPr="00337BAB">
        <w:rPr>
          <w:rFonts w:asciiTheme="majorBidi" w:hAnsiTheme="majorBidi" w:cstheme="majorBidi"/>
          <w:bCs/>
          <w:color w:val="0D0D0D" w:themeColor="text1" w:themeTint="F2"/>
          <w:lang w:bidi="ar-IQ"/>
        </w:rPr>
        <w:t>2025)</w:t>
      </w:r>
      <w:r w:rsidR="00337BAB">
        <w:rPr>
          <w:rFonts w:asciiTheme="majorBidi" w:hAnsiTheme="majorBidi" w:cstheme="majorBidi"/>
          <w:bCs/>
          <w:color w:val="0D0D0D" w:themeColor="text1" w:themeTint="F2"/>
          <w:lang w:bidi="ar-IQ"/>
        </w:rPr>
        <w:t>.</w:t>
      </w:r>
      <w:r w:rsidR="00337BAB" w:rsidRPr="00337BAB">
        <w:rPr>
          <w:rFonts w:asciiTheme="majorBidi" w:hAnsiTheme="majorBidi" w:cstheme="majorBidi"/>
          <w:bCs/>
          <w:color w:val="0D0D0D" w:themeColor="text1" w:themeTint="F2"/>
          <w:lang w:bidi="ar-IQ"/>
        </w:rPr>
        <w:t xml:space="preserve"> </w:t>
      </w:r>
      <w:r w:rsidRPr="00667893">
        <w:rPr>
          <w:rFonts w:asciiTheme="majorBidi" w:hAnsiTheme="majorBidi" w:cstheme="majorBidi"/>
          <w:color w:val="0D0D0D" w:themeColor="text1" w:themeTint="F2"/>
          <w:lang w:bidi="ar-IQ"/>
        </w:rPr>
        <w:t xml:space="preserve"> Individuals’ awareness of their rights in the field of data protection also still needs to be enhanced, ensuring the effective exercise of these rights. </w:t>
      </w:r>
    </w:p>
    <w:p w14:paraId="6C1F1FBE" w14:textId="77777777" w:rsidR="00C934E5"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Nevertheless, the UAE legislation has largely succeeded in establishing an integrated legal framework, which regulates the relationship between the media and data protection. We should admit after all that this framework still requires continuous development so as to keep pace with rapidly advancing technological changes and to strengthen oversight and enforcement mechanisms, thereby achieving effective protection of personal data without compromising freedom of the media.</w:t>
      </w:r>
    </w:p>
    <w:p w14:paraId="7CDA4EAB" w14:textId="77777777" w:rsidR="00E453AA" w:rsidRPr="00667893" w:rsidRDefault="00E453AA" w:rsidP="00E453AA">
      <w:pPr>
        <w:spacing w:after="0" w:line="240" w:lineRule="auto"/>
        <w:ind w:firstLine="540"/>
        <w:jc w:val="both"/>
        <w:rPr>
          <w:rFonts w:asciiTheme="majorBidi" w:hAnsiTheme="majorBidi" w:cstheme="majorBidi"/>
          <w:color w:val="0D0D0D" w:themeColor="text1" w:themeTint="F2"/>
          <w:lang w:bidi="ar-IQ"/>
        </w:rPr>
      </w:pPr>
    </w:p>
    <w:p w14:paraId="1EE5009D" w14:textId="77777777" w:rsidR="00C934E5" w:rsidRPr="00667893" w:rsidRDefault="00C934E5" w:rsidP="00C934E5">
      <w:pPr>
        <w:spacing w:after="200"/>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2.1.2 Rules Relating to Disclosure and Transparency</w:t>
      </w:r>
    </w:p>
    <w:p w14:paraId="52553D22" w14:textId="7ECD3119"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lastRenderedPageBreak/>
        <w:t>It is remarkable to note that these rules are deemed among the most important principles, which highly support the personal data protection system in the United Arab Emirates, as they constitute the cornerstone for ensuring the lawfulness of data processing and enhancing individuals’ trust in the digital environment. The importance of these rules has emerged amid rapid technological development, leading to an unprecedented expansion in the collection and use of data, particularly in the media sector, necessitating legislative intervention to establish precise legal regulation that ensures procedural clarity and privacy protection</w:t>
      </w:r>
      <w:r w:rsidR="00991E7D" w:rsidRPr="00E453AA">
        <w:rPr>
          <w:rFonts w:asciiTheme="majorBidi" w:hAnsiTheme="majorBidi" w:cstheme="majorBidi"/>
          <w:color w:val="0D0D0D" w:themeColor="text1" w:themeTint="F2"/>
          <w:lang w:bidi="ar-IQ"/>
        </w:rPr>
        <w:t xml:space="preserve"> (</w:t>
      </w:r>
      <w:r w:rsidR="00991E7D" w:rsidRPr="00E453AA">
        <w:rPr>
          <w:rFonts w:asciiTheme="majorBidi" w:hAnsiTheme="majorBidi" w:cstheme="majorBidi"/>
          <w:bCs/>
          <w:color w:val="0D0D0D" w:themeColor="text1" w:themeTint="F2"/>
          <w:lang w:bidi="ar-IQ"/>
        </w:rPr>
        <w:t>Fahd Ahmed Al-Lahdan &amp; Eyad Jad Al-Haq, 2025).</w:t>
      </w:r>
    </w:p>
    <w:p w14:paraId="2B172C3D" w14:textId="164010BD"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Transparency within the UAE legislation is mainly based on the obligation of the entity collecting personal data to inform the data subject of all details related to the processing operation, including the data nature, collecting purpose, and the entities to which the data might be transferred. It should be noted however that the principle of transparency is grounded in Federal Decree-Law No. 45 of 2021 regarding the Protection of Personal Data, according to which individuals have the right to obtain clear information about how their data are used</w:t>
      </w:r>
      <w:r w:rsidR="00991E7D" w:rsidRPr="00E453AA">
        <w:rPr>
          <w:rFonts w:asciiTheme="majorBidi" w:hAnsiTheme="majorBidi" w:cstheme="majorBidi"/>
          <w:color w:val="0D0D0D" w:themeColor="text1" w:themeTint="F2"/>
          <w:lang w:bidi="ar-IQ"/>
        </w:rPr>
        <w:t xml:space="preserve"> (Fuad </w:t>
      </w:r>
      <w:r w:rsidR="00991E7D" w:rsidRPr="00E453AA">
        <w:rPr>
          <w:rFonts w:asciiTheme="majorBidi" w:hAnsiTheme="majorBidi" w:cstheme="majorBidi"/>
          <w:bCs/>
          <w:color w:val="0D0D0D" w:themeColor="text1" w:themeTint="F2"/>
          <w:lang w:bidi="ar-IQ"/>
        </w:rPr>
        <w:t>Al-Shuaibi, 2023).</w:t>
      </w:r>
    </w:p>
    <w:p w14:paraId="3308EB17" w14:textId="74B20F50" w:rsidR="00C934E5" w:rsidRPr="00E453AA" w:rsidRDefault="00C934E5" w:rsidP="00E453AA">
      <w:pPr>
        <w:spacing w:after="0" w:line="240" w:lineRule="auto"/>
        <w:ind w:firstLine="630"/>
        <w:jc w:val="both"/>
        <w:rPr>
          <w:rFonts w:asciiTheme="majorBidi" w:hAnsiTheme="majorBidi" w:cstheme="majorBidi"/>
          <w:color w:val="0D0D0D" w:themeColor="text1" w:themeTint="F2"/>
          <w:lang w:bidi="ar-IQ"/>
        </w:rPr>
      </w:pPr>
      <w:bookmarkStart w:id="5" w:name="_Hlk240368424"/>
      <w:bookmarkEnd w:id="4"/>
      <w:r w:rsidRPr="00E453AA">
        <w:rPr>
          <w:rFonts w:asciiTheme="majorBidi" w:hAnsiTheme="majorBidi" w:cstheme="majorBidi"/>
          <w:color w:val="0D0D0D" w:themeColor="text1" w:themeTint="F2"/>
          <w:lang w:bidi="ar-IQ"/>
        </w:rPr>
        <w:t xml:space="preserve">It is worth noting that transparency is not limited to mere notification; rather, it must be complete, truthful, and accurate, enabling the individual to make an informed decision regarding consent to the processing of their data. </w:t>
      </w:r>
      <w:r w:rsidR="00790D36" w:rsidRPr="00E453AA">
        <w:rPr>
          <w:rFonts w:asciiTheme="majorBidi" w:hAnsiTheme="majorBidi" w:cstheme="majorBidi"/>
          <w:bCs/>
          <w:color w:val="0D0D0D" w:themeColor="text1" w:themeTint="F2"/>
          <w:lang w:bidi="ar-IQ"/>
        </w:rPr>
        <w:t>Haitham Al-Naour</w:t>
      </w:r>
      <w:r w:rsidR="00F11288" w:rsidRPr="00E453AA">
        <w:rPr>
          <w:rFonts w:asciiTheme="majorBidi" w:hAnsiTheme="majorBidi" w:cstheme="majorBidi"/>
          <w:bCs/>
          <w:color w:val="0D0D0D" w:themeColor="text1" w:themeTint="F2"/>
          <w:lang w:bidi="ar-IQ"/>
        </w:rPr>
        <w:t xml:space="preserve"> </w:t>
      </w:r>
      <w:r w:rsidR="00790D36" w:rsidRPr="00E453AA">
        <w:rPr>
          <w:rFonts w:asciiTheme="majorBidi" w:hAnsiTheme="majorBidi" w:cstheme="majorBidi"/>
          <w:bCs/>
          <w:color w:val="0D0D0D" w:themeColor="text1" w:themeTint="F2"/>
          <w:lang w:bidi="ar-IQ"/>
        </w:rPr>
        <w:t>(2024</w:t>
      </w:r>
      <w:r w:rsidR="00AE4EC6" w:rsidRPr="00E453AA">
        <w:rPr>
          <w:rFonts w:asciiTheme="majorBidi" w:hAnsiTheme="majorBidi" w:cstheme="majorBidi"/>
          <w:bCs/>
          <w:color w:val="0D0D0D" w:themeColor="text1" w:themeTint="F2"/>
          <w:lang w:bidi="ar-IQ"/>
        </w:rPr>
        <w:t>, p. 22</w:t>
      </w:r>
      <w:r w:rsidR="00790D36" w:rsidRPr="00E453AA">
        <w:rPr>
          <w:rFonts w:asciiTheme="majorBidi" w:hAnsiTheme="majorBidi" w:cstheme="majorBidi"/>
          <w:bCs/>
          <w:color w:val="0D0D0D" w:themeColor="text1" w:themeTint="F2"/>
          <w:lang w:bidi="ar-IQ"/>
        </w:rPr>
        <w:t xml:space="preserve">) </w:t>
      </w:r>
      <w:r w:rsidRPr="00E453AA">
        <w:rPr>
          <w:rFonts w:asciiTheme="majorBidi" w:hAnsiTheme="majorBidi" w:cstheme="majorBidi"/>
          <w:color w:val="0D0D0D" w:themeColor="text1" w:themeTint="F2"/>
          <w:lang w:bidi="ar-IQ"/>
        </w:rPr>
        <w:t>confirm</w:t>
      </w:r>
      <w:r w:rsidR="00790D36" w:rsidRPr="00E453AA">
        <w:rPr>
          <w:rFonts w:asciiTheme="majorBidi" w:hAnsiTheme="majorBidi" w:cstheme="majorBidi"/>
          <w:color w:val="0D0D0D" w:themeColor="text1" w:themeTint="F2"/>
          <w:lang w:bidi="ar-IQ"/>
        </w:rPr>
        <w:t>s in his study confirms</w:t>
      </w:r>
      <w:r w:rsidRPr="00E453AA">
        <w:rPr>
          <w:rFonts w:asciiTheme="majorBidi" w:hAnsiTheme="majorBidi" w:cstheme="majorBidi"/>
          <w:color w:val="0D0D0D" w:themeColor="text1" w:themeTint="F2"/>
          <w:lang w:bidi="ar-IQ"/>
        </w:rPr>
        <w:t xml:space="preserve"> that incomplete or misleading disclosure would constitute a breach to the principle of lawfulness entailing legal liability for the processing entity.</w:t>
      </w:r>
    </w:p>
    <w:p w14:paraId="782F9D68" w14:textId="315F2714"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Moreover, transparency can be taken as a natural extension to the principle of disclosure, as it requires the relevant entities to ensure that their data-related policies and procedures are clear and easy to understand, so that information is presented in simple and direct language, away from complexity or ambiguity, and thereby data subjects would be able to access their information and know how it is processed at any time</w:t>
      </w:r>
      <w:r w:rsidR="00790D36" w:rsidRPr="00E453AA">
        <w:rPr>
          <w:rFonts w:asciiTheme="majorBidi" w:hAnsiTheme="majorBidi" w:cstheme="majorBidi"/>
          <w:color w:val="0D0D0D" w:themeColor="text1" w:themeTint="F2"/>
          <w:lang w:bidi="ar-IQ"/>
        </w:rPr>
        <w:t xml:space="preserve"> (</w:t>
      </w:r>
      <w:r w:rsidR="00F11288" w:rsidRPr="00E453AA">
        <w:rPr>
          <w:rFonts w:asciiTheme="majorBidi" w:hAnsiTheme="majorBidi" w:cstheme="majorBidi"/>
          <w:bCs/>
          <w:color w:val="0D0D0D" w:themeColor="text1" w:themeTint="F2"/>
          <w:lang w:bidi="ar-IQ"/>
        </w:rPr>
        <w:t>Ahmed Salah El-Din, 2020</w:t>
      </w:r>
      <w:r w:rsidR="00AE4EC6" w:rsidRPr="00E453AA">
        <w:rPr>
          <w:rFonts w:asciiTheme="majorBidi" w:hAnsiTheme="majorBidi" w:cstheme="majorBidi"/>
          <w:bCs/>
          <w:color w:val="0D0D0D" w:themeColor="text1" w:themeTint="F2"/>
          <w:lang w:bidi="ar-IQ"/>
        </w:rPr>
        <w:t>, p. 18</w:t>
      </w:r>
      <w:r w:rsidR="00F11288" w:rsidRPr="00E453AA">
        <w:rPr>
          <w:rFonts w:asciiTheme="majorBidi" w:hAnsiTheme="majorBidi" w:cstheme="majorBidi"/>
          <w:bCs/>
          <w:color w:val="0D0D0D" w:themeColor="text1" w:themeTint="F2"/>
          <w:lang w:bidi="ar-IQ"/>
        </w:rPr>
        <w:t>).</w:t>
      </w:r>
      <w:r w:rsidRPr="00E453AA">
        <w:rPr>
          <w:rFonts w:asciiTheme="majorBidi" w:hAnsiTheme="majorBidi" w:cstheme="majorBidi"/>
          <w:color w:val="0D0D0D" w:themeColor="text1" w:themeTint="F2"/>
          <w:lang w:bidi="ar-IQ"/>
        </w:rPr>
        <w:t xml:space="preserve"> </w:t>
      </w:r>
    </w:p>
    <w:p w14:paraId="55B686A2" w14:textId="2A6B017C"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We should keep in mind as well that transparency is closely linked to the principle of purpose limitation, under which the processing entity should clearly reveal the purpose that lies behind collecting the data and must not subsequently use it for different purposes without informing the data subject or obtaining their consent. </w:t>
      </w:r>
      <w:r w:rsidR="00F11288" w:rsidRPr="00E453AA">
        <w:rPr>
          <w:rFonts w:asciiTheme="majorBidi" w:hAnsiTheme="majorBidi" w:cstheme="majorBidi"/>
          <w:bCs/>
          <w:color w:val="0D0D0D" w:themeColor="text1" w:themeTint="F2"/>
          <w:lang w:bidi="ar-IQ"/>
        </w:rPr>
        <w:t xml:space="preserve">Fahd Ahmed Al-Lahdan &amp; Eyad Jad Al-Haq, </w:t>
      </w:r>
      <w:r w:rsidR="00AE4EC6" w:rsidRPr="00E453AA">
        <w:rPr>
          <w:rFonts w:asciiTheme="majorBidi" w:hAnsiTheme="majorBidi" w:cstheme="majorBidi"/>
          <w:bCs/>
          <w:color w:val="0D0D0D" w:themeColor="text1" w:themeTint="F2"/>
          <w:lang w:bidi="ar-IQ"/>
        </w:rPr>
        <w:t>(</w:t>
      </w:r>
      <w:r w:rsidR="00F11288" w:rsidRPr="00E453AA">
        <w:rPr>
          <w:rFonts w:asciiTheme="majorBidi" w:hAnsiTheme="majorBidi" w:cstheme="majorBidi"/>
          <w:bCs/>
          <w:color w:val="0D0D0D" w:themeColor="text1" w:themeTint="F2"/>
          <w:lang w:bidi="ar-IQ"/>
        </w:rPr>
        <w:t>2025</w:t>
      </w:r>
      <w:r w:rsidR="00AE4EC6" w:rsidRPr="00E453AA">
        <w:rPr>
          <w:rFonts w:asciiTheme="majorBidi" w:hAnsiTheme="majorBidi" w:cstheme="majorBidi"/>
          <w:bCs/>
          <w:color w:val="0D0D0D" w:themeColor="text1" w:themeTint="F2"/>
          <w:lang w:bidi="ar-IQ"/>
        </w:rPr>
        <w:t>, p. 12)</w:t>
      </w:r>
      <w:r w:rsidR="00F11288" w:rsidRPr="00E453AA">
        <w:rPr>
          <w:rFonts w:asciiTheme="majorBidi" w:hAnsiTheme="majorBidi" w:cstheme="majorBidi"/>
          <w:bCs/>
          <w:color w:val="0D0D0D" w:themeColor="text1" w:themeTint="F2"/>
          <w:lang w:bidi="ar-IQ"/>
        </w:rPr>
        <w:t xml:space="preserve"> have emphasized</w:t>
      </w:r>
      <w:r w:rsidRPr="00E453AA">
        <w:rPr>
          <w:rFonts w:asciiTheme="majorBidi" w:hAnsiTheme="majorBidi" w:cstheme="majorBidi"/>
          <w:color w:val="0D0D0D" w:themeColor="text1" w:themeTint="F2"/>
          <w:lang w:bidi="ar-IQ"/>
        </w:rPr>
        <w:t xml:space="preserve"> that this principle is one of the most important safeguards against data misuse, particularly in the media sector, which relies heavily on analyzing personal information.</w:t>
      </w:r>
      <w:r w:rsidR="00F11288" w:rsidRPr="00E453AA">
        <w:rPr>
          <w:rFonts w:asciiTheme="majorBidi" w:hAnsiTheme="majorBidi" w:cstheme="majorBidi"/>
          <w:color w:val="0D0D0D" w:themeColor="text1" w:themeTint="F2"/>
          <w:lang w:bidi="ar-IQ"/>
        </w:rPr>
        <w:t xml:space="preserve"> </w:t>
      </w:r>
    </w:p>
    <w:p w14:paraId="5657C566" w14:textId="29673AE7"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It should be noted after all that any type of violating revelation or transparency rules would lead to legal liability, whether civil, administrative, or criminal, depending on the nature of the violation and the resulting harm. Legal scholarship</w:t>
      </w:r>
      <w:r w:rsidR="00F11288" w:rsidRPr="00E453AA">
        <w:rPr>
          <w:rFonts w:asciiTheme="majorBidi" w:hAnsiTheme="majorBidi" w:cstheme="majorBidi"/>
          <w:color w:val="0D0D0D" w:themeColor="text1" w:themeTint="F2"/>
          <w:lang w:bidi="ar-IQ"/>
        </w:rPr>
        <w:t xml:space="preserve"> (See</w:t>
      </w:r>
      <w:r w:rsidR="00AE4EC6" w:rsidRPr="00E453AA">
        <w:rPr>
          <w:rFonts w:asciiTheme="majorBidi" w:hAnsiTheme="majorBidi" w:cstheme="majorBidi"/>
          <w:color w:val="0D0D0D" w:themeColor="text1" w:themeTint="F2"/>
          <w:lang w:bidi="ar-IQ"/>
        </w:rPr>
        <w:t xml:space="preserve"> </w:t>
      </w:r>
      <w:r w:rsidR="00AE4EC6" w:rsidRPr="00E453AA">
        <w:rPr>
          <w:rFonts w:asciiTheme="majorBidi" w:hAnsiTheme="majorBidi" w:cstheme="majorBidi"/>
        </w:rPr>
        <w:t xml:space="preserve">Fuad </w:t>
      </w:r>
      <w:r w:rsidR="00AE4EC6" w:rsidRPr="00E453AA">
        <w:rPr>
          <w:rFonts w:asciiTheme="majorBidi" w:hAnsiTheme="majorBidi" w:cstheme="majorBidi"/>
          <w:bCs/>
        </w:rPr>
        <w:t>Al-Shuaibi, 2023, p. 110)</w:t>
      </w:r>
      <w:r w:rsidR="00F11288" w:rsidRPr="00E453AA">
        <w:rPr>
          <w:rFonts w:asciiTheme="majorBidi" w:hAnsiTheme="majorBidi" w:cstheme="majorBidi"/>
          <w:color w:val="0D0D0D" w:themeColor="text1" w:themeTint="F2"/>
          <w:lang w:bidi="ar-IQ"/>
        </w:rPr>
        <w:t xml:space="preserve"> </w:t>
      </w:r>
      <w:r w:rsidRPr="00E453AA">
        <w:rPr>
          <w:rFonts w:asciiTheme="majorBidi" w:hAnsiTheme="majorBidi" w:cstheme="majorBidi"/>
          <w:color w:val="0D0D0D" w:themeColor="text1" w:themeTint="F2"/>
          <w:lang w:bidi="ar-IQ"/>
        </w:rPr>
        <w:t>has indicated that failure to disclose information or providing misleading information may invalidate the consent issued by the data subject, thereby considering the whole process as unlawful.</w:t>
      </w:r>
    </w:p>
    <w:p w14:paraId="003CBE03" w14:textId="013C13D5"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On the other hand, these rules impose an ongoing obligation on the relevant entities, such that disclosure is not limited to the data collection stage only, but extend to all stages of processing, including storage, transfer, and sharing with third parties. Recent studies</w:t>
      </w:r>
      <w:r w:rsidR="00AE4EC6" w:rsidRPr="00E453AA">
        <w:rPr>
          <w:rFonts w:asciiTheme="majorBidi" w:hAnsiTheme="majorBidi" w:cstheme="majorBidi"/>
          <w:color w:val="0D0D0D" w:themeColor="text1" w:themeTint="F2"/>
          <w:lang w:bidi="ar-IQ"/>
        </w:rPr>
        <w:t xml:space="preserve">, including </w:t>
      </w:r>
      <w:r w:rsidR="00AE4EC6" w:rsidRPr="00E453AA">
        <w:rPr>
          <w:rFonts w:asciiTheme="majorBidi" w:hAnsiTheme="majorBidi" w:cstheme="majorBidi"/>
          <w:bCs/>
        </w:rPr>
        <w:t xml:space="preserve">Haitham Al-Naour (2024, p. 40), </w:t>
      </w:r>
      <w:r w:rsidRPr="00E453AA">
        <w:rPr>
          <w:rFonts w:asciiTheme="majorBidi" w:hAnsiTheme="majorBidi" w:cstheme="majorBidi"/>
          <w:color w:val="0D0D0D" w:themeColor="text1" w:themeTint="F2"/>
          <w:lang w:bidi="ar-IQ"/>
        </w:rPr>
        <w:t>however have confirmed that continuous transparency is one of the most important elements of good governance in data management and contributes to strengthening trust between individuals and institutions.</w:t>
      </w:r>
    </w:p>
    <w:p w14:paraId="35523868" w14:textId="77777777" w:rsidR="00C934E5"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Finally, we should confirm the fact that the rules concerning disclosure and transparency under UAE law constitute an integrated system aimed at creating a balance between the requirements of digital development and the protection of personal rights, by obliging the relevant entities to provide clear and accurate information and enabling individuals to exercise their rights </w:t>
      </w:r>
      <w:r w:rsidRPr="00E453AA">
        <w:rPr>
          <w:rFonts w:asciiTheme="majorBidi" w:hAnsiTheme="majorBidi" w:cstheme="majorBidi"/>
          <w:color w:val="0D0D0D" w:themeColor="text1" w:themeTint="F2"/>
          <w:lang w:bidi="ar-IQ"/>
        </w:rPr>
        <w:lastRenderedPageBreak/>
        <w:t>knowingly. These rules also constitute a fundamental safeguard against the arbitrary use of data and reinforce the principle of legal accountability, making them among the most important pillars upon which the data protection system in the modern era is based.</w:t>
      </w:r>
    </w:p>
    <w:p w14:paraId="74946CD5" w14:textId="77777777" w:rsidR="00E453AA" w:rsidRPr="00E453AA" w:rsidRDefault="00E453AA" w:rsidP="00E453AA">
      <w:pPr>
        <w:spacing w:after="0" w:line="240" w:lineRule="auto"/>
        <w:ind w:firstLine="540"/>
        <w:jc w:val="both"/>
        <w:rPr>
          <w:rFonts w:asciiTheme="majorBidi" w:hAnsiTheme="majorBidi" w:cstheme="majorBidi"/>
          <w:color w:val="0D0D0D" w:themeColor="text1" w:themeTint="F2"/>
          <w:lang w:bidi="ar-IQ"/>
        </w:rPr>
      </w:pPr>
    </w:p>
    <w:bookmarkEnd w:id="5"/>
    <w:p w14:paraId="02E500D6" w14:textId="77777777" w:rsidR="00C934E5" w:rsidRPr="00667893" w:rsidRDefault="00C934E5" w:rsidP="00C934E5">
      <w:pPr>
        <w:spacing w:after="200"/>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2.1.3</w:t>
      </w:r>
      <w:r w:rsidRPr="00667893">
        <w:rPr>
          <w:rFonts w:asciiTheme="majorBidi" w:hAnsiTheme="majorBidi" w:cstheme="majorBidi"/>
          <w:b/>
          <w:bCs/>
          <w:color w:val="EE0000"/>
        </w:rPr>
        <w:t xml:space="preserve"> </w:t>
      </w:r>
      <w:r w:rsidRPr="00667893">
        <w:rPr>
          <w:rFonts w:asciiTheme="majorBidi" w:hAnsiTheme="majorBidi" w:cstheme="majorBidi"/>
          <w:b/>
          <w:bCs/>
          <w:color w:val="0D0D0D" w:themeColor="text1" w:themeTint="F2"/>
          <w:lang w:bidi="ar-IQ"/>
        </w:rPr>
        <w:t>Misinformation-Prevention Policies and Publication Controls</w:t>
      </w:r>
    </w:p>
    <w:p w14:paraId="265DC9A4" w14:textId="228EB38E"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Anti-misinformation policies and publication controls are among the fundamental pillars upon which the legal regulation of media in the United Arab Emirates is based, particularly in light of the widespread use of digital social media platforms that undoubtedly have become a fertile environment for the circulation of information and news, whether accurate or misleading. Such status has given rise to legal challenges regarding the need to limit the dissemination of false news and misleading information, given their negative effects on societal security and public stability. Accordingly, the UAE legislator has been prompted to establish strict legal rules to regulate the publication process and ensure the credibility of media content</w:t>
      </w:r>
      <w:r w:rsidR="00313F53">
        <w:rPr>
          <w:rFonts w:asciiTheme="majorBidi" w:hAnsiTheme="majorBidi" w:cstheme="majorBidi"/>
          <w:color w:val="0D0D0D" w:themeColor="text1" w:themeTint="F2"/>
          <w:lang w:bidi="ar-IQ"/>
        </w:rPr>
        <w:t xml:space="preserve"> </w:t>
      </w:r>
      <w:r w:rsidR="00E0064B">
        <w:rPr>
          <w:rFonts w:asciiTheme="majorBidi" w:hAnsiTheme="majorBidi" w:cstheme="majorBidi"/>
          <w:color w:val="0D0D0D" w:themeColor="text1" w:themeTint="F2"/>
          <w:lang w:bidi="ar-IQ"/>
        </w:rPr>
        <w:t>(</w:t>
      </w:r>
      <w:r w:rsidR="00E0064B" w:rsidRPr="00227A21">
        <w:rPr>
          <w:bCs/>
        </w:rPr>
        <w:t xml:space="preserve">Hussein bin Ali </w:t>
      </w:r>
      <w:r w:rsidR="00E0064B">
        <w:rPr>
          <w:bCs/>
        </w:rPr>
        <w:t xml:space="preserve">Al-Hummadi, </w:t>
      </w:r>
      <w:r w:rsidR="00E0064B" w:rsidRPr="00227A21">
        <w:rPr>
          <w:bCs/>
        </w:rPr>
        <w:t>2024</w:t>
      </w:r>
      <w:r w:rsidR="00E0064B">
        <w:rPr>
          <w:bCs/>
        </w:rPr>
        <w:t>, p. 60</w:t>
      </w:r>
      <w:r w:rsidR="00E0064B" w:rsidRPr="00227A21">
        <w:rPr>
          <w:bCs/>
        </w:rPr>
        <w:t>)</w:t>
      </w:r>
      <w:r w:rsidR="00313F53">
        <w:rPr>
          <w:bCs/>
        </w:rPr>
        <w:t>.</w:t>
      </w:r>
      <w:r w:rsidR="00E0064B" w:rsidRPr="00227A21">
        <w:rPr>
          <w:bCs/>
        </w:rPr>
        <w:t xml:space="preserve"> </w:t>
      </w:r>
      <w:r w:rsidRPr="00667893">
        <w:rPr>
          <w:rFonts w:asciiTheme="majorBidi" w:hAnsiTheme="majorBidi" w:cstheme="majorBidi"/>
          <w:color w:val="0D0D0D" w:themeColor="text1" w:themeTint="F2"/>
          <w:lang w:bidi="ar-IQ"/>
        </w:rPr>
        <w:t xml:space="preserve"> </w:t>
      </w:r>
    </w:p>
    <w:p w14:paraId="770D5F62" w14:textId="59C71485"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A legal framework for combating misinformation has been established focusing on the necessity to verify the accuracy of information before being published. In other words, the law enforces media entities as well as individuals not to publish or circulate any unreliable or misleading information. We should note however that the related statement is grounded in the Federal Decree-Law No. 34 of 2021, which criminalizes the publication of false or misleading news through electronic means, imposing strict penalties on perpetrators of such acts</w:t>
      </w:r>
      <w:r w:rsidR="00313F53">
        <w:rPr>
          <w:rFonts w:asciiTheme="majorBidi" w:hAnsiTheme="majorBidi" w:cstheme="majorBidi"/>
          <w:color w:val="0D0D0D" w:themeColor="text1" w:themeTint="F2"/>
          <w:lang w:bidi="ar-IQ"/>
        </w:rPr>
        <w:t xml:space="preserve"> </w:t>
      </w:r>
      <w:r w:rsidR="00E0064B">
        <w:rPr>
          <w:rFonts w:asciiTheme="majorBidi" w:hAnsiTheme="majorBidi" w:cstheme="majorBidi"/>
          <w:color w:val="0D0D0D" w:themeColor="text1" w:themeTint="F2"/>
          <w:lang w:bidi="ar-IQ"/>
        </w:rPr>
        <w:t>(See</w:t>
      </w:r>
      <w:r w:rsidR="00E0064B" w:rsidRPr="00E0064B">
        <w:rPr>
          <w:bCs/>
        </w:rPr>
        <w:t xml:space="preserve"> </w:t>
      </w:r>
      <w:r w:rsidR="00E0064B" w:rsidRPr="00E0064B">
        <w:rPr>
          <w:rFonts w:asciiTheme="majorBidi" w:hAnsiTheme="majorBidi" w:cstheme="majorBidi"/>
          <w:bCs/>
          <w:color w:val="0D0D0D" w:themeColor="text1" w:themeTint="F2"/>
          <w:lang w:bidi="ar-IQ"/>
        </w:rPr>
        <w:t xml:space="preserve">Sami Mohammed </w:t>
      </w:r>
      <w:r w:rsidR="00E0064B">
        <w:rPr>
          <w:rFonts w:asciiTheme="majorBidi" w:hAnsiTheme="majorBidi" w:cstheme="majorBidi"/>
          <w:bCs/>
          <w:color w:val="0D0D0D" w:themeColor="text1" w:themeTint="F2"/>
          <w:lang w:bidi="ar-IQ"/>
        </w:rPr>
        <w:t xml:space="preserve">Al-Arifi, </w:t>
      </w:r>
      <w:r w:rsidR="00E0064B" w:rsidRPr="00E0064B">
        <w:rPr>
          <w:rFonts w:asciiTheme="majorBidi" w:hAnsiTheme="majorBidi" w:cstheme="majorBidi"/>
          <w:bCs/>
          <w:color w:val="0D0D0D" w:themeColor="text1" w:themeTint="F2"/>
          <w:lang w:bidi="ar-IQ"/>
        </w:rPr>
        <w:t>2025</w:t>
      </w:r>
      <w:r w:rsidR="00E0064B">
        <w:rPr>
          <w:rFonts w:asciiTheme="majorBidi" w:hAnsiTheme="majorBidi" w:cstheme="majorBidi"/>
          <w:bCs/>
          <w:color w:val="0D0D0D" w:themeColor="text1" w:themeTint="F2"/>
          <w:lang w:bidi="ar-IQ"/>
        </w:rPr>
        <w:t>, p. 45</w:t>
      </w:r>
      <w:r w:rsidR="00E0064B" w:rsidRPr="00E0064B">
        <w:rPr>
          <w:rFonts w:asciiTheme="majorBidi" w:hAnsiTheme="majorBidi" w:cstheme="majorBidi"/>
          <w:bCs/>
          <w:color w:val="0D0D0D" w:themeColor="text1" w:themeTint="F2"/>
          <w:lang w:bidi="ar-IQ"/>
        </w:rPr>
        <w:t>)</w:t>
      </w:r>
      <w:r w:rsidR="00313F53">
        <w:rPr>
          <w:rFonts w:asciiTheme="majorBidi" w:hAnsiTheme="majorBidi" w:cstheme="majorBidi"/>
          <w:bCs/>
          <w:color w:val="0D0D0D" w:themeColor="text1" w:themeTint="F2"/>
          <w:lang w:bidi="ar-IQ"/>
        </w:rPr>
        <w:t>.</w:t>
      </w:r>
      <w:r w:rsidR="00E0064B">
        <w:rPr>
          <w:rFonts w:asciiTheme="majorBidi" w:hAnsiTheme="majorBidi" w:cstheme="majorBidi"/>
          <w:color w:val="0D0D0D" w:themeColor="text1" w:themeTint="F2"/>
          <w:lang w:bidi="ar-IQ"/>
        </w:rPr>
        <w:t xml:space="preserve">  </w:t>
      </w:r>
    </w:p>
    <w:p w14:paraId="57113C65" w14:textId="456B1213" w:rsidR="00C934E5" w:rsidRPr="00667893" w:rsidRDefault="00E0064B" w:rsidP="00E453AA">
      <w:pPr>
        <w:spacing w:after="0" w:line="240" w:lineRule="auto"/>
        <w:ind w:firstLine="270"/>
        <w:jc w:val="both"/>
        <w:rPr>
          <w:rFonts w:asciiTheme="majorBidi" w:hAnsiTheme="majorBidi" w:cstheme="majorBidi"/>
          <w:color w:val="0D0D0D" w:themeColor="text1" w:themeTint="F2"/>
          <w:lang w:bidi="ar-IQ"/>
        </w:rPr>
      </w:pPr>
      <w:r w:rsidRPr="00E0064B">
        <w:rPr>
          <w:rFonts w:asciiTheme="majorBidi" w:hAnsiTheme="majorBidi" w:cstheme="majorBidi"/>
          <w:bCs/>
          <w:color w:val="0D0D0D" w:themeColor="text1" w:themeTint="F2"/>
          <w:lang w:bidi="ar-IQ"/>
        </w:rPr>
        <w:t>Mona Abdul Karim</w:t>
      </w:r>
      <w:r>
        <w:rPr>
          <w:rFonts w:asciiTheme="majorBidi" w:hAnsiTheme="majorBidi" w:cstheme="majorBidi"/>
          <w:bCs/>
          <w:color w:val="0D0D0D" w:themeColor="text1" w:themeTint="F2"/>
          <w:lang w:bidi="ar-IQ"/>
        </w:rPr>
        <w:t xml:space="preserve"> Al-Suwaidi</w:t>
      </w:r>
      <w:r w:rsidRPr="00E0064B">
        <w:rPr>
          <w:rFonts w:asciiTheme="majorBidi" w:hAnsiTheme="majorBidi" w:cstheme="majorBidi"/>
          <w:bCs/>
          <w:color w:val="0D0D0D" w:themeColor="text1" w:themeTint="F2"/>
          <w:lang w:bidi="ar-IQ"/>
        </w:rPr>
        <w:t xml:space="preserve"> (2023</w:t>
      </w:r>
      <w:r w:rsidR="000E0C11">
        <w:rPr>
          <w:rFonts w:asciiTheme="majorBidi" w:hAnsiTheme="majorBidi" w:cstheme="majorBidi"/>
          <w:bCs/>
          <w:color w:val="0D0D0D" w:themeColor="text1" w:themeTint="F2"/>
          <w:lang w:bidi="ar-IQ"/>
        </w:rPr>
        <w:t>, p.90</w:t>
      </w:r>
      <w:r w:rsidRPr="00E0064B">
        <w:rPr>
          <w:rFonts w:asciiTheme="majorBidi" w:hAnsiTheme="majorBidi" w:cstheme="majorBidi"/>
          <w:bCs/>
          <w:color w:val="0D0D0D" w:themeColor="text1" w:themeTint="F2"/>
          <w:lang w:bidi="ar-IQ"/>
        </w:rPr>
        <w:t>)</w:t>
      </w:r>
      <w:r>
        <w:rPr>
          <w:rFonts w:asciiTheme="majorBidi" w:hAnsiTheme="majorBidi" w:cstheme="majorBidi"/>
          <w:bCs/>
          <w:color w:val="0D0D0D" w:themeColor="text1" w:themeTint="F2"/>
          <w:lang w:bidi="ar-IQ"/>
        </w:rPr>
        <w:t xml:space="preserve"> clarifies that c</w:t>
      </w:r>
      <w:r w:rsidR="00C934E5" w:rsidRPr="00667893">
        <w:rPr>
          <w:rFonts w:asciiTheme="majorBidi" w:hAnsiTheme="majorBidi" w:cstheme="majorBidi"/>
          <w:color w:val="0D0D0D" w:themeColor="text1" w:themeTint="F2"/>
          <w:lang w:bidi="ar-IQ"/>
        </w:rPr>
        <w:t>ombat of misinformation policies are also manifested in the media’s commitment to professional and ethical standards in publishing, based on respect for truth, objectivity and avoidance of exaggeration or distortion, and this has been confirmed by recent legal studies, which consider responsible media to be the first line of defense against media misinformation. In fact, these policies also require reliance on trustworthy sources and verification of the news accuracy before being published, thereby enhancing the media’s credibility and protecting society from the effects of false information.</w:t>
      </w:r>
    </w:p>
    <w:p w14:paraId="4B46CA07" w14:textId="79FB8C35"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On the other hand, publishing regulations under UAE legislation include a set of legal restrictions aimed at protecting the rights of individuals and society. The publication of any content that could harm individuals’ reputations, violate their privacy, or reveal their personal data without permission is prohibited. This is closely related to personal data protection rules, which prohibit the use of private information in a media context without legal justification</w:t>
      </w:r>
      <w:r w:rsidR="000E0C11">
        <w:rPr>
          <w:rFonts w:asciiTheme="majorBidi" w:hAnsiTheme="majorBidi" w:cstheme="majorBidi"/>
          <w:color w:val="0D0D0D" w:themeColor="text1" w:themeTint="F2"/>
          <w:lang w:bidi="ar-IQ"/>
        </w:rPr>
        <w:t xml:space="preserve"> (</w:t>
      </w:r>
      <w:r w:rsidR="000E0C11" w:rsidRPr="000E0C11">
        <w:rPr>
          <w:rFonts w:asciiTheme="majorBidi" w:hAnsiTheme="majorBidi" w:cstheme="majorBidi"/>
          <w:bCs/>
          <w:color w:val="0D0D0D" w:themeColor="text1" w:themeTint="F2"/>
          <w:lang w:bidi="ar-IQ"/>
        </w:rPr>
        <w:t>Ahmed bin Rashid</w:t>
      </w:r>
      <w:r w:rsidR="000E0C11">
        <w:rPr>
          <w:rFonts w:asciiTheme="majorBidi" w:hAnsiTheme="majorBidi" w:cstheme="majorBidi"/>
          <w:bCs/>
          <w:color w:val="0D0D0D" w:themeColor="text1" w:themeTint="F2"/>
          <w:lang w:bidi="ar-IQ"/>
        </w:rPr>
        <w:t xml:space="preserve"> Al-Nuaimi, </w:t>
      </w:r>
      <w:r w:rsidR="000E0C11" w:rsidRPr="000E0C11">
        <w:rPr>
          <w:rFonts w:asciiTheme="majorBidi" w:hAnsiTheme="majorBidi" w:cstheme="majorBidi"/>
          <w:bCs/>
          <w:color w:val="0D0D0D" w:themeColor="text1" w:themeTint="F2"/>
          <w:lang w:bidi="ar-IQ"/>
        </w:rPr>
        <w:t>2024</w:t>
      </w:r>
      <w:r w:rsidR="000E0C11">
        <w:rPr>
          <w:rFonts w:asciiTheme="majorBidi" w:hAnsiTheme="majorBidi" w:cstheme="majorBidi"/>
          <w:bCs/>
          <w:color w:val="0D0D0D" w:themeColor="text1" w:themeTint="F2"/>
          <w:lang w:bidi="ar-IQ"/>
        </w:rPr>
        <w:t>, p. 215</w:t>
      </w:r>
      <w:r w:rsidR="000E0C11" w:rsidRPr="000E0C11">
        <w:rPr>
          <w:rFonts w:asciiTheme="majorBidi" w:hAnsiTheme="majorBidi" w:cstheme="majorBidi"/>
          <w:bCs/>
          <w:color w:val="0D0D0D" w:themeColor="text1" w:themeTint="F2"/>
          <w:lang w:bidi="ar-IQ"/>
        </w:rPr>
        <w:t>)</w:t>
      </w:r>
      <w:r w:rsidR="000E0C11">
        <w:rPr>
          <w:rFonts w:asciiTheme="majorBidi" w:hAnsiTheme="majorBidi" w:cstheme="majorBidi"/>
          <w:bCs/>
          <w:color w:val="0D0D0D" w:themeColor="text1" w:themeTint="F2"/>
          <w:lang w:bidi="ar-IQ"/>
        </w:rPr>
        <w:t>.</w:t>
      </w:r>
    </w:p>
    <w:p w14:paraId="75C1587D" w14:textId="7C8E0825" w:rsidR="00C934E5" w:rsidRPr="00667893"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 xml:space="preserve">Moreover, publication of content that incites hatred, threatens national security, or disrupts public order is completely prohibited. The UAE law has set clear limits on freedom of expression so that it does not become a means of harming society. These restrictions, as confirmed by </w:t>
      </w:r>
      <w:r w:rsidR="000E0C11" w:rsidRPr="004B1CF4">
        <w:rPr>
          <w:bCs/>
        </w:rPr>
        <w:t>Maryam Saeed</w:t>
      </w:r>
      <w:r w:rsidR="000E0C11">
        <w:rPr>
          <w:bCs/>
        </w:rPr>
        <w:t xml:space="preserve"> Al-Kaabi</w:t>
      </w:r>
      <w:r w:rsidR="000E0C11" w:rsidRPr="004B1CF4">
        <w:rPr>
          <w:bCs/>
        </w:rPr>
        <w:t xml:space="preserve"> (2023</w:t>
      </w:r>
      <w:r w:rsidR="000E0C11">
        <w:rPr>
          <w:bCs/>
        </w:rPr>
        <w:t>, p. 110</w:t>
      </w:r>
      <w:r w:rsidR="000E0C11" w:rsidRPr="004B1CF4">
        <w:rPr>
          <w:bCs/>
        </w:rPr>
        <w:t xml:space="preserve">), </w:t>
      </w:r>
      <w:r w:rsidRPr="00667893">
        <w:rPr>
          <w:rFonts w:asciiTheme="majorBidi" w:hAnsiTheme="majorBidi" w:cstheme="majorBidi"/>
          <w:color w:val="0D0D0D" w:themeColor="text1" w:themeTint="F2"/>
          <w:lang w:bidi="ar-IQ"/>
        </w:rPr>
        <w:t>are quite necessary to achieve a balance between media freedom and the requirements of security and stability.</w:t>
      </w:r>
    </w:p>
    <w:p w14:paraId="156CAD79" w14:textId="36DB0C08" w:rsidR="00C934E5" w:rsidRPr="00667893" w:rsidRDefault="00C934E5" w:rsidP="00E453AA">
      <w:pPr>
        <w:spacing w:after="0" w:line="240" w:lineRule="auto"/>
        <w:ind w:firstLine="45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In a related context, UAE legislation imposes legal liability on those responsible for publishing, whether individuals or media institutions. They may be held accountable for publishing misleading or illegal content, whether criminally or civilly, and thus embodying the principle of media accountability, which aims to ensure that publishing entities comply with legal and professional rules</w:t>
      </w:r>
      <w:r w:rsidR="00313F53">
        <w:rPr>
          <w:rFonts w:asciiTheme="majorBidi" w:hAnsiTheme="majorBidi" w:cstheme="majorBidi"/>
          <w:color w:val="0D0D0D" w:themeColor="text1" w:themeTint="F2"/>
          <w:lang w:bidi="ar-IQ"/>
        </w:rPr>
        <w:t xml:space="preserve"> </w:t>
      </w:r>
      <w:r w:rsidR="000E0C11">
        <w:rPr>
          <w:rFonts w:asciiTheme="majorBidi" w:hAnsiTheme="majorBidi" w:cstheme="majorBidi"/>
          <w:color w:val="0D0D0D" w:themeColor="text1" w:themeTint="F2"/>
          <w:lang w:bidi="ar-IQ"/>
        </w:rPr>
        <w:t>(</w:t>
      </w:r>
      <w:r w:rsidR="000E0C11" w:rsidRPr="000E0C11">
        <w:rPr>
          <w:rFonts w:asciiTheme="majorBidi" w:hAnsiTheme="majorBidi" w:cstheme="majorBidi"/>
          <w:bCs/>
          <w:color w:val="0D0D0D" w:themeColor="text1" w:themeTint="F2"/>
          <w:lang w:bidi="ar-IQ"/>
        </w:rPr>
        <w:t>Abdullah Yousef</w:t>
      </w:r>
      <w:r w:rsidR="000E0C11">
        <w:rPr>
          <w:rFonts w:asciiTheme="majorBidi" w:hAnsiTheme="majorBidi" w:cstheme="majorBidi"/>
          <w:bCs/>
          <w:color w:val="0D0D0D" w:themeColor="text1" w:themeTint="F2"/>
          <w:lang w:bidi="ar-IQ"/>
        </w:rPr>
        <w:t xml:space="preserve"> Al-Mazrouei, </w:t>
      </w:r>
      <w:r w:rsidR="000E0C11" w:rsidRPr="000E0C11">
        <w:rPr>
          <w:rFonts w:asciiTheme="majorBidi" w:hAnsiTheme="majorBidi" w:cstheme="majorBidi"/>
          <w:bCs/>
          <w:color w:val="0D0D0D" w:themeColor="text1" w:themeTint="F2"/>
          <w:lang w:bidi="ar-IQ"/>
        </w:rPr>
        <w:t>2025</w:t>
      </w:r>
      <w:r w:rsidR="00C55D26">
        <w:rPr>
          <w:rFonts w:asciiTheme="majorBidi" w:hAnsiTheme="majorBidi" w:cstheme="majorBidi"/>
          <w:bCs/>
          <w:color w:val="0D0D0D" w:themeColor="text1" w:themeTint="F2"/>
          <w:lang w:bidi="ar-IQ"/>
        </w:rPr>
        <w:t>, p.30</w:t>
      </w:r>
      <w:r w:rsidR="000E0C11" w:rsidRPr="000E0C11">
        <w:rPr>
          <w:rFonts w:asciiTheme="majorBidi" w:hAnsiTheme="majorBidi" w:cstheme="majorBidi"/>
          <w:bCs/>
          <w:color w:val="0D0D0D" w:themeColor="text1" w:themeTint="F2"/>
          <w:lang w:bidi="ar-IQ"/>
        </w:rPr>
        <w:t>)</w:t>
      </w:r>
      <w:r w:rsidR="00C55D26">
        <w:rPr>
          <w:rFonts w:asciiTheme="majorBidi" w:hAnsiTheme="majorBidi" w:cstheme="majorBidi"/>
          <w:bCs/>
          <w:color w:val="0D0D0D" w:themeColor="text1" w:themeTint="F2"/>
          <w:lang w:bidi="ar-IQ"/>
        </w:rPr>
        <w:t>.</w:t>
      </w:r>
      <w:r w:rsidR="000E0C11" w:rsidRPr="000E0C11">
        <w:rPr>
          <w:rFonts w:asciiTheme="majorBidi" w:hAnsiTheme="majorBidi" w:cstheme="majorBidi"/>
          <w:bCs/>
          <w:color w:val="0D0D0D" w:themeColor="text1" w:themeTint="F2"/>
          <w:lang w:bidi="ar-IQ"/>
        </w:rPr>
        <w:t xml:space="preserve"> </w:t>
      </w:r>
      <w:r w:rsidRPr="00667893">
        <w:rPr>
          <w:rFonts w:asciiTheme="majorBidi" w:hAnsiTheme="majorBidi" w:cstheme="majorBidi"/>
          <w:color w:val="0D0D0D" w:themeColor="text1" w:themeTint="F2"/>
          <w:lang w:bidi="ar-IQ"/>
        </w:rPr>
        <w:t xml:space="preserve"> Such responsibility also extends </w:t>
      </w:r>
      <w:r w:rsidRPr="00667893">
        <w:rPr>
          <w:rFonts w:asciiTheme="majorBidi" w:hAnsiTheme="majorBidi" w:cstheme="majorBidi"/>
          <w:color w:val="0D0D0D" w:themeColor="text1" w:themeTint="F2"/>
          <w:lang w:bidi="ar-IQ"/>
        </w:rPr>
        <w:lastRenderedPageBreak/>
        <w:t>to cover the whole digital sphere, as publishing is no longer limited to traditional media institutions but also includes social media users.</w:t>
      </w:r>
    </w:p>
    <w:p w14:paraId="0547AA64" w14:textId="3B8D37A3" w:rsidR="00C934E5" w:rsidRPr="00667893" w:rsidRDefault="00C934E5" w:rsidP="00E453AA">
      <w:pPr>
        <w:tabs>
          <w:tab w:val="left" w:pos="1560"/>
        </w:tabs>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It is worth noting that anti-misinformation policies are not limited to the punitive aspect; they also include the preventive aspect, by raising media awareness and enhancing individuals’ legal culture, enabling them to distinguish between accurate and misleading information. Recent studies have indicated that public awareness is one of the most important means of combating media misinformation, alongside legal legislation</w:t>
      </w:r>
      <w:r w:rsidR="00567B4F">
        <w:rPr>
          <w:rFonts w:asciiTheme="majorBidi" w:hAnsiTheme="majorBidi" w:cstheme="majorBidi"/>
          <w:color w:val="0D0D0D" w:themeColor="text1" w:themeTint="F2"/>
          <w:lang w:bidi="ar-IQ"/>
        </w:rPr>
        <w:t xml:space="preserve"> </w:t>
      </w:r>
      <w:r w:rsidR="000E0C11">
        <w:rPr>
          <w:rFonts w:asciiTheme="majorBidi" w:hAnsiTheme="majorBidi" w:cstheme="majorBidi"/>
          <w:color w:val="0D0D0D" w:themeColor="text1" w:themeTint="F2"/>
          <w:lang w:bidi="ar-IQ"/>
        </w:rPr>
        <w:t>(</w:t>
      </w:r>
      <w:r w:rsidR="00C55D26" w:rsidRPr="00C55D26">
        <w:rPr>
          <w:rFonts w:asciiTheme="majorBidi" w:hAnsiTheme="majorBidi" w:cstheme="majorBidi"/>
          <w:bCs/>
          <w:color w:val="0D0D0D" w:themeColor="text1" w:themeTint="F2"/>
          <w:lang w:bidi="ar-IQ"/>
        </w:rPr>
        <w:t>Ibrahim Muhammad</w:t>
      </w:r>
      <w:r w:rsidR="00C55D26">
        <w:rPr>
          <w:rFonts w:asciiTheme="majorBidi" w:hAnsiTheme="majorBidi" w:cstheme="majorBidi"/>
          <w:bCs/>
          <w:color w:val="0D0D0D" w:themeColor="text1" w:themeTint="F2"/>
          <w:lang w:bidi="ar-IQ"/>
        </w:rPr>
        <w:t xml:space="preserve"> </w:t>
      </w:r>
      <w:r w:rsidR="00C55D26" w:rsidRPr="00C55D26">
        <w:rPr>
          <w:rFonts w:asciiTheme="majorBidi" w:hAnsiTheme="majorBidi" w:cstheme="majorBidi"/>
          <w:bCs/>
          <w:color w:val="0D0D0D" w:themeColor="text1" w:themeTint="F2"/>
          <w:lang w:bidi="ar-IQ"/>
        </w:rPr>
        <w:t>Al-Shafi'</w:t>
      </w:r>
      <w:r w:rsidR="00C55D26">
        <w:rPr>
          <w:rFonts w:asciiTheme="majorBidi" w:hAnsiTheme="majorBidi" w:cstheme="majorBidi"/>
          <w:bCs/>
          <w:color w:val="0D0D0D" w:themeColor="text1" w:themeTint="F2"/>
          <w:lang w:bidi="ar-IQ"/>
        </w:rPr>
        <w:t xml:space="preserve">I, </w:t>
      </w:r>
      <w:r w:rsidR="00C55D26" w:rsidRPr="00C55D26">
        <w:rPr>
          <w:rFonts w:asciiTheme="majorBidi" w:hAnsiTheme="majorBidi" w:cstheme="majorBidi"/>
          <w:bCs/>
          <w:color w:val="0D0D0D" w:themeColor="text1" w:themeTint="F2"/>
          <w:lang w:bidi="ar-IQ"/>
        </w:rPr>
        <w:t>2023</w:t>
      </w:r>
      <w:r w:rsidR="00C55D26">
        <w:rPr>
          <w:rFonts w:asciiTheme="majorBidi" w:hAnsiTheme="majorBidi" w:cstheme="majorBidi"/>
          <w:bCs/>
          <w:color w:val="0D0D0D" w:themeColor="text1" w:themeTint="F2"/>
          <w:lang w:bidi="ar-IQ"/>
        </w:rPr>
        <w:t>, p. 85</w:t>
      </w:r>
      <w:r w:rsidR="00C55D26" w:rsidRPr="00C55D26">
        <w:rPr>
          <w:rFonts w:asciiTheme="majorBidi" w:hAnsiTheme="majorBidi" w:cstheme="majorBidi"/>
          <w:bCs/>
          <w:color w:val="0D0D0D" w:themeColor="text1" w:themeTint="F2"/>
          <w:lang w:bidi="ar-IQ"/>
        </w:rPr>
        <w:t>)</w:t>
      </w:r>
      <w:r w:rsidR="00567B4F">
        <w:rPr>
          <w:rFonts w:asciiTheme="majorBidi" w:hAnsiTheme="majorBidi" w:cstheme="majorBidi"/>
          <w:bCs/>
          <w:color w:val="0D0D0D" w:themeColor="text1" w:themeTint="F2"/>
          <w:lang w:bidi="ar-IQ"/>
        </w:rPr>
        <w:t>.</w:t>
      </w:r>
    </w:p>
    <w:p w14:paraId="296070FB" w14:textId="77777777" w:rsidR="00C934E5" w:rsidRDefault="00C934E5" w:rsidP="00E453AA">
      <w:pPr>
        <w:spacing w:after="0" w:line="240" w:lineRule="auto"/>
        <w:ind w:firstLine="540"/>
        <w:jc w:val="both"/>
        <w:rPr>
          <w:rFonts w:asciiTheme="majorBidi" w:hAnsiTheme="majorBidi" w:cstheme="majorBidi"/>
          <w:color w:val="0D0D0D" w:themeColor="text1" w:themeTint="F2"/>
          <w:lang w:bidi="ar-IQ"/>
        </w:rPr>
      </w:pPr>
      <w:r w:rsidRPr="00667893">
        <w:rPr>
          <w:rFonts w:asciiTheme="majorBidi" w:hAnsiTheme="majorBidi" w:cstheme="majorBidi"/>
          <w:color w:val="0D0D0D" w:themeColor="text1" w:themeTint="F2"/>
          <w:lang w:bidi="ar-IQ"/>
        </w:rPr>
        <w:t>We may claim therefore that the UAE legislation has established an integrated framework for combating media misinformation and regulating the publication process, based on a combination of legal rules and professional standards. It aims to protect society from the risks of misleading information while at the same time preserving freedom of expression within the limits of the law, which is considered one of the most prominent legal challenges in the digital age.</w:t>
      </w:r>
    </w:p>
    <w:p w14:paraId="0186E0BE" w14:textId="77777777" w:rsidR="00E453AA" w:rsidRPr="00667893" w:rsidRDefault="00E453AA" w:rsidP="00E453AA">
      <w:pPr>
        <w:spacing w:after="0" w:line="240" w:lineRule="auto"/>
        <w:ind w:firstLine="540"/>
        <w:jc w:val="both"/>
        <w:rPr>
          <w:rFonts w:asciiTheme="majorBidi" w:hAnsiTheme="majorBidi" w:cstheme="majorBidi"/>
          <w:color w:val="0D0D0D" w:themeColor="text1" w:themeTint="F2"/>
          <w:lang w:bidi="ar-IQ"/>
        </w:rPr>
      </w:pPr>
    </w:p>
    <w:p w14:paraId="383E70D2" w14:textId="77777777" w:rsidR="00C934E5" w:rsidRPr="00667893" w:rsidRDefault="00C934E5" w:rsidP="00C934E5">
      <w:pPr>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2.2 Legal Responsibility and Accountability in the United Arab Emirates</w:t>
      </w:r>
    </w:p>
    <w:p w14:paraId="67648C86" w14:textId="77777777" w:rsidR="00C934E5" w:rsidRPr="00667893" w:rsidRDefault="00C934E5" w:rsidP="00C934E5">
      <w:pPr>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2.2.1 The Boundaries of Official Discourse and the Balance between Transparency and Security</w:t>
      </w:r>
    </w:p>
    <w:p w14:paraId="3A8D55E4" w14:textId="77777777" w:rsidR="00C934E5" w:rsidRPr="00E453AA" w:rsidRDefault="00C934E5" w:rsidP="00E453AA">
      <w:pPr>
        <w:spacing w:after="0" w:line="240" w:lineRule="auto"/>
        <w:ind w:firstLine="63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Official discourse is deemed one of the essential tools that the state relies on in its communication with the public, thus reflecting its positions and policies and playing an essential role in promoting public trust. In the United Arab Emirates, this discourse is subject to precise legal controls aimed at balancing the principle of transparency on the one hand with national security requirements on the other, particularly in light of the digital environment characterized by the rapid circulation of information and the broad scope of its impact.</w:t>
      </w:r>
    </w:p>
    <w:p w14:paraId="5B24CD04" w14:textId="339C4DBE" w:rsidR="00C934E5" w:rsidRPr="00E453AA" w:rsidRDefault="00C934E5" w:rsidP="00E453AA">
      <w:pPr>
        <w:spacing w:after="0" w:line="240" w:lineRule="auto"/>
        <w:ind w:firstLine="63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Government entities are committed to disclose relevant information to the public interest, whereas taking care not to reveal information that could affect national security or public order. </w:t>
      </w:r>
      <w:r w:rsidR="00AE7E54" w:rsidRPr="00E453AA">
        <w:rPr>
          <w:rFonts w:asciiTheme="majorBidi" w:hAnsiTheme="majorBidi" w:cstheme="majorBidi"/>
          <w:color w:val="0D0D0D" w:themeColor="text1" w:themeTint="F2"/>
          <w:lang w:bidi="ar-IQ"/>
        </w:rPr>
        <w:t xml:space="preserve">Musaed </w:t>
      </w:r>
      <w:r w:rsidR="00AE7E54" w:rsidRPr="00E453AA">
        <w:rPr>
          <w:rFonts w:asciiTheme="majorBidi" w:hAnsiTheme="majorBidi" w:cstheme="majorBidi"/>
          <w:bCs/>
          <w:color w:val="0D0D0D" w:themeColor="text1" w:themeTint="F2"/>
          <w:lang w:bidi="ar-IQ"/>
        </w:rPr>
        <w:t>Al-Jumhour, (2024, p. 15), as part of r</w:t>
      </w:r>
      <w:r w:rsidRPr="00E453AA">
        <w:rPr>
          <w:rFonts w:asciiTheme="majorBidi" w:hAnsiTheme="majorBidi" w:cstheme="majorBidi"/>
          <w:color w:val="0D0D0D" w:themeColor="text1" w:themeTint="F2"/>
          <w:lang w:bidi="ar-IQ"/>
        </w:rPr>
        <w:t>ecent legal literature</w:t>
      </w:r>
      <w:r w:rsidR="00AE7E54" w:rsidRPr="00E453AA">
        <w:rPr>
          <w:rFonts w:asciiTheme="majorBidi" w:hAnsiTheme="majorBidi" w:cstheme="majorBidi"/>
          <w:color w:val="0D0D0D" w:themeColor="text1" w:themeTint="F2"/>
          <w:lang w:bidi="ar-IQ"/>
        </w:rPr>
        <w:t>,</w:t>
      </w:r>
      <w:r w:rsidRPr="00E453AA">
        <w:rPr>
          <w:rFonts w:asciiTheme="majorBidi" w:hAnsiTheme="majorBidi" w:cstheme="majorBidi"/>
          <w:color w:val="0D0D0D" w:themeColor="text1" w:themeTint="F2"/>
          <w:lang w:bidi="ar-IQ"/>
        </w:rPr>
        <w:t xml:space="preserve"> has confirmed that transparency is a fundamental principle of governance, but it is not absolute; rather, it is restricted by considerations of protecting the state and its higher interests.</w:t>
      </w:r>
    </w:p>
    <w:p w14:paraId="2DD9ED58" w14:textId="0E5F5096"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Within this framework, the concept of balancing transparency and security emerges as one of the most important contemporary legal challenges, as official authorities should provide the public with accurate and clear information without compromising the confidentiality of sensitive data. </w:t>
      </w:r>
      <w:r w:rsidR="00AE7E54" w:rsidRPr="00E453AA">
        <w:rPr>
          <w:rFonts w:asciiTheme="majorBidi" w:hAnsiTheme="majorBidi" w:cstheme="majorBidi"/>
          <w:bCs/>
          <w:color w:val="0D0D0D" w:themeColor="text1" w:themeTint="F2"/>
          <w:lang w:bidi="ar-IQ"/>
        </w:rPr>
        <w:t>Hisham Abdel-Sayed Al-Safi (2025</w:t>
      </w:r>
      <w:r w:rsidR="00074521" w:rsidRPr="00E453AA">
        <w:rPr>
          <w:rFonts w:asciiTheme="majorBidi" w:hAnsiTheme="majorBidi" w:cstheme="majorBidi"/>
          <w:bCs/>
          <w:color w:val="0D0D0D" w:themeColor="text1" w:themeTint="F2"/>
          <w:lang w:bidi="ar-IQ"/>
        </w:rPr>
        <w:t>, p.76</w:t>
      </w:r>
      <w:r w:rsidR="00AE7E54" w:rsidRPr="00E453AA">
        <w:rPr>
          <w:rFonts w:asciiTheme="majorBidi" w:hAnsiTheme="majorBidi" w:cstheme="majorBidi"/>
          <w:bCs/>
          <w:color w:val="0D0D0D" w:themeColor="text1" w:themeTint="F2"/>
          <w:lang w:bidi="ar-IQ"/>
        </w:rPr>
        <w:t xml:space="preserve">) </w:t>
      </w:r>
      <w:r w:rsidR="00074521" w:rsidRPr="00E453AA">
        <w:rPr>
          <w:rFonts w:asciiTheme="majorBidi" w:hAnsiTheme="majorBidi" w:cstheme="majorBidi"/>
          <w:color w:val="0D0D0D" w:themeColor="text1" w:themeTint="F2"/>
          <w:lang w:bidi="ar-IQ"/>
        </w:rPr>
        <w:t xml:space="preserve">has </w:t>
      </w:r>
      <w:r w:rsidRPr="00E453AA">
        <w:rPr>
          <w:rFonts w:asciiTheme="majorBidi" w:hAnsiTheme="majorBidi" w:cstheme="majorBidi"/>
          <w:color w:val="0D0D0D" w:themeColor="text1" w:themeTint="F2"/>
          <w:lang w:bidi="ar-IQ"/>
        </w:rPr>
        <w:t>indicated that excessive disclosure may lead to the exposure of strategic information, while excessive restriction may undermine public trust and affect the credibility of institutions.</w:t>
      </w:r>
    </w:p>
    <w:p w14:paraId="1C73091C" w14:textId="443D1BB1"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However, such balance is also reflected in the rules governing disclosure, which require that revelation must be accurate, timely and submitted in an understandable manner, thereby enhancing transparency without harming the state’s essential interests. Regulatory authorities in the UAE have clarified that disclosure must be based on accuracy, clarity, and appropriate timing, while taking into account the nature of the information and its potential impact</w:t>
      </w:r>
      <w:r w:rsidR="00567B4F" w:rsidRPr="00E453AA">
        <w:rPr>
          <w:rFonts w:asciiTheme="majorBidi" w:hAnsiTheme="majorBidi" w:cstheme="majorBidi"/>
          <w:color w:val="0D0D0D" w:themeColor="text1" w:themeTint="F2"/>
          <w:lang w:bidi="ar-IQ"/>
        </w:rPr>
        <w:t xml:space="preserve"> </w:t>
      </w:r>
      <w:r w:rsidR="00074521" w:rsidRPr="00E453AA">
        <w:rPr>
          <w:rFonts w:asciiTheme="majorBidi" w:hAnsiTheme="majorBidi" w:cstheme="majorBidi"/>
          <w:color w:val="0D0D0D" w:themeColor="text1" w:themeTint="F2"/>
          <w:lang w:bidi="ar-IQ"/>
        </w:rPr>
        <w:t>(Securities and Commodities Authority – UAE, Disclosure and Transparency Regulations, pp. 1-2).</w:t>
      </w:r>
    </w:p>
    <w:p w14:paraId="04313D3C" w14:textId="50B14AA2"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On the other hand, UAE legislation imposes strict restrictions on official discourse regarding the non-disclosure of official secrets or information affecting security or privacy. Maintaining official confidentiality is a legal obligation incumbent upon public employees, and violations thereof entail legal liability</w:t>
      </w:r>
      <w:r w:rsidR="00567B4F" w:rsidRPr="00E453AA">
        <w:rPr>
          <w:rFonts w:asciiTheme="majorBidi" w:hAnsiTheme="majorBidi" w:cstheme="majorBidi"/>
          <w:color w:val="0D0D0D" w:themeColor="text1" w:themeTint="F2"/>
          <w:lang w:bidi="ar-IQ"/>
        </w:rPr>
        <w:t xml:space="preserve"> </w:t>
      </w:r>
      <w:r w:rsidR="00074521" w:rsidRPr="00E453AA">
        <w:rPr>
          <w:rFonts w:asciiTheme="majorBidi" w:hAnsiTheme="majorBidi" w:cstheme="majorBidi"/>
          <w:color w:val="0D0D0D" w:themeColor="text1" w:themeTint="F2"/>
          <w:lang w:bidi="ar-IQ"/>
        </w:rPr>
        <w:t xml:space="preserve">(See Hamdan </w:t>
      </w:r>
      <w:r w:rsidR="00074521" w:rsidRPr="00E453AA">
        <w:rPr>
          <w:rFonts w:asciiTheme="majorBidi" w:hAnsiTheme="majorBidi" w:cstheme="majorBidi"/>
          <w:bCs/>
        </w:rPr>
        <w:t xml:space="preserve">Al-Amiri &amp; Mohammed Al-Ani, 2023, p. -5). </w:t>
      </w:r>
      <w:r w:rsidRPr="00E453AA">
        <w:rPr>
          <w:rFonts w:asciiTheme="majorBidi" w:hAnsiTheme="majorBidi" w:cstheme="majorBidi"/>
          <w:color w:val="0D0D0D" w:themeColor="text1" w:themeTint="F2"/>
          <w:lang w:bidi="ar-IQ"/>
        </w:rPr>
        <w:t>It should be taken into consideration after all that official discourse is not merely a media tool, but rather a regulated legal activity that is subject to precise standards.</w:t>
      </w:r>
    </w:p>
    <w:p w14:paraId="7006D3E7" w14:textId="77777777"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lastRenderedPageBreak/>
        <w:t xml:space="preserve">There is no doubt that the UAE modern legislative framework has been reinforcing this balance through the regulation of media content and public discourse. In fact, by establishing the Federal Decree-Law No. 55 of 2023, clear standards governing the publication and circulation of information have been practically adopted, including the need to respect societal values and avoid harming security or public order, while guaranteeing freedom of expression within the limits of the law. </w:t>
      </w:r>
    </w:p>
    <w:p w14:paraId="50FC2C18" w14:textId="77777777" w:rsidR="00C934E5"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Based on the foregoing, it is quite obvious that the official discourse in the United Arab Emirates has been founded on a precise equation that combines transparency and security, enabling the public to access information while protecting the state’s vital interests. This balance is considered one of the most important foundations of modern governance and one of the foremost challenges facing legal systems in the digital age, which requires ongoing development of legislation and policies to ensure its effective achievement.</w:t>
      </w:r>
    </w:p>
    <w:p w14:paraId="4D40FFA6" w14:textId="77777777" w:rsidR="00E453AA" w:rsidRPr="00E453AA" w:rsidRDefault="00E453AA" w:rsidP="00E453AA">
      <w:pPr>
        <w:spacing w:after="0" w:line="240" w:lineRule="auto"/>
        <w:ind w:firstLine="540"/>
        <w:jc w:val="both"/>
        <w:rPr>
          <w:rFonts w:asciiTheme="majorBidi" w:hAnsiTheme="majorBidi" w:cstheme="majorBidi"/>
          <w:color w:val="0D0D0D" w:themeColor="text1" w:themeTint="F2"/>
          <w:lang w:bidi="ar-IQ"/>
        </w:rPr>
      </w:pPr>
    </w:p>
    <w:p w14:paraId="78346D9A" w14:textId="77777777" w:rsidR="00C934E5" w:rsidRPr="00667893" w:rsidRDefault="00C934E5" w:rsidP="00C934E5">
      <w:pPr>
        <w:spacing w:after="200"/>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2.2.2 Institutional Oversight &amp; Periodic Evaluation of Government Communication</w:t>
      </w:r>
    </w:p>
    <w:p w14:paraId="0E5D9360" w14:textId="77777777"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Government communication is deemed as one of the strategic tools that the state relies on to manage its relationship with the public and convey policies and information in a manner that fosters trust and transparency. In the United Arab Emirates, this communication is subject to an integrated institutional framework based on continuous oversight and evaluation, with the aim of ensuring the quality and effectiveness of media messages while adhering to the relevant legal and regulatory controls.</w:t>
      </w:r>
    </w:p>
    <w:p w14:paraId="36EB890A" w14:textId="6FF3E990"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On the other hand, institutional supervision consists of a set of mechanisms adopted by public entities to monitor and guide government communication, whether through specialized units or higher regulatory bodies, thereby ensuring that official discourse complies with the state’s public policies and does not depart from the legal framework. </w:t>
      </w:r>
      <w:r w:rsidR="00FA7EEC" w:rsidRPr="00E453AA">
        <w:rPr>
          <w:rFonts w:asciiTheme="majorBidi" w:hAnsiTheme="majorBidi" w:cstheme="majorBidi"/>
          <w:bCs/>
          <w:color w:val="0D0D0D" w:themeColor="text1" w:themeTint="F2"/>
          <w:lang w:bidi="ar-IQ"/>
        </w:rPr>
        <w:t xml:space="preserve">Mohammed Saeed Al-Mansouri (2024, p.33) </w:t>
      </w:r>
      <w:r w:rsidR="00FA7EEC" w:rsidRPr="00E453AA">
        <w:rPr>
          <w:rFonts w:asciiTheme="majorBidi" w:hAnsiTheme="majorBidi" w:cstheme="majorBidi"/>
          <w:color w:val="0D0D0D" w:themeColor="text1" w:themeTint="F2"/>
          <w:lang w:bidi="ar-IQ"/>
        </w:rPr>
        <w:t>has</w:t>
      </w:r>
      <w:r w:rsidRPr="00E453AA">
        <w:rPr>
          <w:rFonts w:asciiTheme="majorBidi" w:hAnsiTheme="majorBidi" w:cstheme="majorBidi"/>
          <w:color w:val="0D0D0D" w:themeColor="text1" w:themeTint="F2"/>
          <w:lang w:bidi="ar-IQ"/>
        </w:rPr>
        <w:t xml:space="preserve"> confirmed that institutional oversight is one of the most important tools of good governance, as it helps prevent misinformation and enhance the credibility of government information.</w:t>
      </w:r>
    </w:p>
    <w:p w14:paraId="04F52332" w14:textId="0E7CEFDF"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In line with this, institutional control mainly depends on the principle of accountability, whereby government entities are subject to internal and external supervision to ensure their compliance with standards of transparency and accuracy in conveying information. This type of control includes reviewing media content before publication and ensuring its conformity with approved laws and policies, thereby limiting the dissemination of inaccurate information that might harm the public interest</w:t>
      </w:r>
      <w:r w:rsidR="00567B4F" w:rsidRPr="00E453AA">
        <w:rPr>
          <w:rFonts w:asciiTheme="majorBidi" w:hAnsiTheme="majorBidi" w:cstheme="majorBidi"/>
          <w:color w:val="0D0D0D" w:themeColor="text1" w:themeTint="F2"/>
          <w:lang w:bidi="ar-IQ"/>
        </w:rPr>
        <w:t xml:space="preserve"> </w:t>
      </w:r>
      <w:r w:rsidR="00FA7EEC" w:rsidRPr="00E453AA">
        <w:rPr>
          <w:rFonts w:asciiTheme="majorBidi" w:hAnsiTheme="majorBidi" w:cstheme="majorBidi"/>
          <w:color w:val="0D0D0D" w:themeColor="text1" w:themeTint="F2"/>
          <w:lang w:bidi="ar-IQ"/>
        </w:rPr>
        <w:t>(</w:t>
      </w:r>
      <w:r w:rsidR="00FA7EEC" w:rsidRPr="00E453AA">
        <w:rPr>
          <w:rFonts w:asciiTheme="majorBidi" w:hAnsiTheme="majorBidi" w:cstheme="majorBidi"/>
          <w:bCs/>
          <w:color w:val="0D0D0D" w:themeColor="text1" w:themeTint="F2"/>
          <w:lang w:bidi="ar-IQ"/>
        </w:rPr>
        <w:t>Abdulrahman bin Salem Al-Ketbi, 2023, p. 88)</w:t>
      </w:r>
      <w:r w:rsidR="00567B4F" w:rsidRPr="00E453AA">
        <w:rPr>
          <w:rFonts w:asciiTheme="majorBidi" w:hAnsiTheme="majorBidi" w:cstheme="majorBidi"/>
          <w:bCs/>
          <w:color w:val="0D0D0D" w:themeColor="text1" w:themeTint="F2"/>
          <w:lang w:bidi="ar-IQ"/>
        </w:rPr>
        <w:t>.</w:t>
      </w:r>
    </w:p>
    <w:p w14:paraId="4B53F17B" w14:textId="7B576B37"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In addition, institutional oversight is linked to the existence of clear standards often regulate government communication, as the relevant authorities work to develop guidelines and policies that specify how media messages are prepared and disseminated, ensuring the standardization and consistency of official discourse</w:t>
      </w:r>
      <w:r w:rsidR="00567B4F" w:rsidRPr="00E453AA">
        <w:rPr>
          <w:rFonts w:asciiTheme="majorBidi" w:hAnsiTheme="majorBidi" w:cstheme="majorBidi"/>
          <w:color w:val="0D0D0D" w:themeColor="text1" w:themeTint="F2"/>
          <w:lang w:bidi="ar-IQ"/>
        </w:rPr>
        <w:t xml:space="preserve"> </w:t>
      </w:r>
      <w:r w:rsidR="00FA7EEC" w:rsidRPr="00E453AA">
        <w:rPr>
          <w:rFonts w:asciiTheme="majorBidi" w:hAnsiTheme="majorBidi" w:cstheme="majorBidi"/>
          <w:color w:val="0D0D0D" w:themeColor="text1" w:themeTint="F2"/>
          <w:lang w:bidi="ar-IQ"/>
        </w:rPr>
        <w:t>(</w:t>
      </w:r>
      <w:r w:rsidR="007366A8" w:rsidRPr="00E453AA">
        <w:rPr>
          <w:rFonts w:asciiTheme="majorBidi" w:hAnsiTheme="majorBidi" w:cstheme="majorBidi"/>
          <w:bCs/>
          <w:color w:val="0D0D0D" w:themeColor="text1" w:themeTint="F2"/>
          <w:lang w:bidi="ar-IQ"/>
        </w:rPr>
        <w:t>Yousef Ibrahim Al-Hosani, 2025, p 20).</w:t>
      </w:r>
    </w:p>
    <w:p w14:paraId="6E63DDFD" w14:textId="63B91BD5" w:rsidR="00C934E5" w:rsidRPr="00E453AA" w:rsidRDefault="00C934E5" w:rsidP="00E453AA">
      <w:pPr>
        <w:spacing w:after="0" w:line="240" w:lineRule="auto"/>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Besides, periodic evaluation is one of the fundamental pillars in the promotion of developing government communication, as it measures the effectiveness of media messages and their impact on the public. </w:t>
      </w:r>
      <w:r w:rsidR="007366A8" w:rsidRPr="00E453AA">
        <w:rPr>
          <w:rFonts w:asciiTheme="majorBidi" w:hAnsiTheme="majorBidi" w:cstheme="majorBidi"/>
          <w:bCs/>
        </w:rPr>
        <w:t xml:space="preserve">Mohammed Abdullah Al-Awadhi (2024, p. 130), claims that such </w:t>
      </w:r>
      <w:r w:rsidRPr="00E453AA">
        <w:rPr>
          <w:rFonts w:asciiTheme="majorBidi" w:hAnsiTheme="majorBidi" w:cstheme="majorBidi"/>
          <w:color w:val="0D0D0D" w:themeColor="text1" w:themeTint="F2"/>
          <w:lang w:bidi="ar-IQ"/>
        </w:rPr>
        <w:t>evaluation includes the use of specific performance indicators, such as level of engagement, clarity of messages, and degree of public trust that would continuously help government entities improve their media performance.</w:t>
      </w:r>
    </w:p>
    <w:p w14:paraId="084818BE" w14:textId="3CD8979E"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 xml:space="preserve">We should note that periodic evaluation is featured with a strategic nature, as it is not limited to measuring results but extends to analyzing the strengths and weaknesses of the government communication system and identifying areas for improvement. </w:t>
      </w:r>
      <w:r w:rsidR="007366A8" w:rsidRPr="00E453AA">
        <w:rPr>
          <w:rFonts w:asciiTheme="majorBidi" w:hAnsiTheme="majorBidi" w:cstheme="majorBidi"/>
          <w:color w:val="0D0D0D" w:themeColor="text1" w:themeTint="F2"/>
          <w:lang w:bidi="ar-IQ"/>
        </w:rPr>
        <w:t xml:space="preserve">A study written by </w:t>
      </w:r>
      <w:r w:rsidR="007366A8" w:rsidRPr="00E453AA">
        <w:rPr>
          <w:rFonts w:asciiTheme="majorBidi" w:hAnsiTheme="majorBidi" w:cstheme="majorBidi"/>
          <w:bCs/>
        </w:rPr>
        <w:t xml:space="preserve">Mona Abdul </w:t>
      </w:r>
      <w:r w:rsidR="007366A8" w:rsidRPr="00E453AA">
        <w:rPr>
          <w:rFonts w:asciiTheme="majorBidi" w:hAnsiTheme="majorBidi" w:cstheme="majorBidi"/>
          <w:bCs/>
        </w:rPr>
        <w:lastRenderedPageBreak/>
        <w:t>Karim AL-Suwaidi (2023</w:t>
      </w:r>
      <w:r w:rsidR="002C60D8" w:rsidRPr="00E453AA">
        <w:rPr>
          <w:rFonts w:asciiTheme="majorBidi" w:hAnsiTheme="majorBidi" w:cstheme="majorBidi"/>
          <w:bCs/>
        </w:rPr>
        <w:t>, p. 140</w:t>
      </w:r>
      <w:r w:rsidR="007366A8" w:rsidRPr="00E453AA">
        <w:rPr>
          <w:rFonts w:asciiTheme="majorBidi" w:hAnsiTheme="majorBidi" w:cstheme="majorBidi"/>
          <w:bCs/>
        </w:rPr>
        <w:t>)</w:t>
      </w:r>
      <w:r w:rsidR="007366A8" w:rsidRPr="00E453AA">
        <w:rPr>
          <w:rFonts w:asciiTheme="majorBidi" w:hAnsiTheme="majorBidi" w:cstheme="majorBidi"/>
          <w:color w:val="0D0D0D" w:themeColor="text1" w:themeTint="F2"/>
          <w:lang w:bidi="ar-IQ"/>
        </w:rPr>
        <w:t xml:space="preserve"> </w:t>
      </w:r>
      <w:r w:rsidRPr="00E453AA">
        <w:rPr>
          <w:rFonts w:asciiTheme="majorBidi" w:hAnsiTheme="majorBidi" w:cstheme="majorBidi"/>
          <w:color w:val="0D0D0D" w:themeColor="text1" w:themeTint="F2"/>
          <w:lang w:bidi="ar-IQ"/>
        </w:rPr>
        <w:t>confirm</w:t>
      </w:r>
      <w:r w:rsidR="002C60D8" w:rsidRPr="00E453AA">
        <w:rPr>
          <w:rFonts w:asciiTheme="majorBidi" w:hAnsiTheme="majorBidi" w:cstheme="majorBidi"/>
          <w:color w:val="0D0D0D" w:themeColor="text1" w:themeTint="F2"/>
          <w:lang w:bidi="ar-IQ"/>
        </w:rPr>
        <w:t>s</w:t>
      </w:r>
      <w:r w:rsidRPr="00E453AA">
        <w:rPr>
          <w:rFonts w:asciiTheme="majorBidi" w:hAnsiTheme="majorBidi" w:cstheme="majorBidi"/>
          <w:color w:val="0D0D0D" w:themeColor="text1" w:themeTint="F2"/>
          <w:lang w:bidi="ar-IQ"/>
        </w:rPr>
        <w:t xml:space="preserve"> that continuous evaluation is one of the most important tools for institutional development, as it enables media policies to be adjusted in line with societal and technological changes.</w:t>
      </w:r>
    </w:p>
    <w:p w14:paraId="50E9DECE" w14:textId="558CA092"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As for the UAE legislation, periodic evaluation is also linked to the principle of transparency, since government entities seek to publish the results of their media performance in a manner that enhances public trust, refraining meanwhile from disclosing information that might affect security or public interest, and thus reflecting the balance between transparency and supervision, being one of the most prominent features of modern governance</w:t>
      </w:r>
      <w:r w:rsidR="00567B4F" w:rsidRPr="00E453AA">
        <w:rPr>
          <w:rFonts w:asciiTheme="majorBidi" w:hAnsiTheme="majorBidi" w:cstheme="majorBidi"/>
          <w:color w:val="0D0D0D" w:themeColor="text1" w:themeTint="F2"/>
          <w:lang w:bidi="ar-IQ"/>
        </w:rPr>
        <w:t xml:space="preserve"> </w:t>
      </w:r>
      <w:r w:rsidR="002C60D8" w:rsidRPr="00E453AA">
        <w:rPr>
          <w:rFonts w:asciiTheme="majorBidi" w:hAnsiTheme="majorBidi" w:cstheme="majorBidi"/>
          <w:color w:val="0D0D0D" w:themeColor="text1" w:themeTint="F2"/>
          <w:lang w:bidi="ar-IQ"/>
        </w:rPr>
        <w:t>(</w:t>
      </w:r>
      <w:r w:rsidR="002C60D8" w:rsidRPr="00E453AA">
        <w:rPr>
          <w:rFonts w:asciiTheme="majorBidi" w:hAnsiTheme="majorBidi" w:cstheme="majorBidi"/>
          <w:bCs/>
          <w:color w:val="0D0D0D" w:themeColor="text1" w:themeTint="F2"/>
          <w:lang w:bidi="ar-IQ"/>
        </w:rPr>
        <w:t>Ahmed bin Rashid Al-Nuaimi, (2024, p.220).</w:t>
      </w:r>
    </w:p>
    <w:p w14:paraId="37155E00" w14:textId="26D545FD" w:rsidR="00C934E5" w:rsidRPr="00E453AA" w:rsidRDefault="00C934E5" w:rsidP="00E453AA">
      <w:pPr>
        <w:spacing w:after="0" w:line="240" w:lineRule="auto"/>
        <w:ind w:firstLine="540"/>
        <w:jc w:val="both"/>
        <w:rPr>
          <w:rFonts w:asciiTheme="majorBidi" w:hAnsiTheme="majorBidi" w:cstheme="majorBidi"/>
          <w:color w:val="0D0D0D" w:themeColor="text1" w:themeTint="F2"/>
          <w:lang w:bidi="ar-IQ"/>
        </w:rPr>
      </w:pPr>
      <w:r w:rsidRPr="00E453AA">
        <w:rPr>
          <w:rFonts w:asciiTheme="majorBidi" w:hAnsiTheme="majorBidi" w:cstheme="majorBidi"/>
          <w:color w:val="0D0D0D" w:themeColor="text1" w:themeTint="F2"/>
          <w:lang w:bidi="ar-IQ"/>
        </w:rPr>
        <w:t>We may c</w:t>
      </w:r>
      <w:r w:rsidR="00567B4F" w:rsidRPr="00E453AA">
        <w:rPr>
          <w:rFonts w:asciiTheme="majorBidi" w:hAnsiTheme="majorBidi" w:cstheme="majorBidi"/>
          <w:color w:val="0D0D0D" w:themeColor="text1" w:themeTint="F2"/>
          <w:lang w:bidi="ar-IQ"/>
        </w:rPr>
        <w:t>laim</w:t>
      </w:r>
      <w:r w:rsidRPr="00E453AA">
        <w:rPr>
          <w:rFonts w:asciiTheme="majorBidi" w:hAnsiTheme="majorBidi" w:cstheme="majorBidi"/>
          <w:color w:val="0D0D0D" w:themeColor="text1" w:themeTint="F2"/>
          <w:lang w:bidi="ar-IQ"/>
        </w:rPr>
        <w:t xml:space="preserve"> therefore that institutional oversight and periodic evaluation constitute indeed an integrated system for regulating government communication in the UAE, ensuring the quality of information, enhancing transparency, and achieving a balance between freedom of information circulation and security requirements, in addition to representing an effective tool for developing government performance and keeping pace with the rapid changes in the media environment, particularly in light of the digital transformation taking place worldwide.</w:t>
      </w:r>
    </w:p>
    <w:p w14:paraId="49C405AF" w14:textId="77777777" w:rsidR="00C934E5" w:rsidRPr="00667893" w:rsidRDefault="00C934E5" w:rsidP="00C934E5">
      <w:pPr>
        <w:ind w:firstLine="540"/>
        <w:jc w:val="both"/>
        <w:rPr>
          <w:rFonts w:asciiTheme="majorBidi" w:hAnsiTheme="majorBidi" w:cstheme="majorBidi"/>
          <w:color w:val="0D0D0D" w:themeColor="text1" w:themeTint="F2"/>
          <w:lang w:bidi="ar-IQ"/>
        </w:rPr>
      </w:pPr>
    </w:p>
    <w:p w14:paraId="001AE2B2" w14:textId="77777777" w:rsidR="00C934E5" w:rsidRPr="00667893" w:rsidRDefault="00C934E5" w:rsidP="00C934E5">
      <w:pPr>
        <w:spacing w:after="200"/>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3. Integrating Communication Practices and Legal Compliance in the United Arab Emirates</w:t>
      </w:r>
    </w:p>
    <w:p w14:paraId="22776B28" w14:textId="77777777" w:rsidR="00C934E5" w:rsidRPr="00667893" w:rsidRDefault="00C934E5" w:rsidP="00C934E5">
      <w:pPr>
        <w:spacing w:after="200"/>
        <w:ind w:firstLine="540"/>
        <w:jc w:val="both"/>
        <w:rPr>
          <w:rFonts w:asciiTheme="majorBidi" w:hAnsiTheme="majorBidi" w:cstheme="majorBidi"/>
          <w:b/>
          <w:bCs/>
          <w:color w:val="0D0D0D" w:themeColor="text1" w:themeTint="F2"/>
          <w:lang w:bidi="ar-IQ"/>
        </w:rPr>
      </w:pPr>
      <w:r w:rsidRPr="00667893">
        <w:rPr>
          <w:rFonts w:asciiTheme="majorBidi" w:hAnsiTheme="majorBidi" w:cstheme="majorBidi"/>
          <w:color w:val="0D0D0D" w:themeColor="text1" w:themeTint="F2"/>
          <w:lang w:bidi="ar-IQ"/>
        </w:rPr>
        <w:t xml:space="preserve">Two main aspects will be taken into consideration in this section: alignment of communication with legislation, and </w:t>
      </w:r>
      <w:r w:rsidRPr="00667893">
        <w:rPr>
          <w:rFonts w:asciiTheme="majorBidi" w:hAnsiTheme="majorBidi" w:cstheme="majorBidi"/>
          <w:bCs/>
        </w:rPr>
        <w:t>Development of Communication Performance Indicators</w:t>
      </w:r>
      <w:r w:rsidRPr="00667893">
        <w:rPr>
          <w:rFonts w:asciiTheme="majorBidi" w:hAnsiTheme="majorBidi" w:cstheme="majorBidi"/>
          <w:b/>
          <w:bCs/>
          <w:color w:val="0D0D0D" w:themeColor="text1" w:themeTint="F2"/>
          <w:lang w:bidi="ar-IQ"/>
        </w:rPr>
        <w:t xml:space="preserve">. </w:t>
      </w:r>
    </w:p>
    <w:p w14:paraId="5A56A29E" w14:textId="77777777" w:rsidR="00C934E5" w:rsidRPr="00667893" w:rsidRDefault="00C934E5" w:rsidP="00C934E5">
      <w:pPr>
        <w:spacing w:after="200"/>
        <w:jc w:val="both"/>
        <w:rPr>
          <w:rFonts w:asciiTheme="majorBidi" w:hAnsiTheme="majorBidi" w:cstheme="majorBidi"/>
          <w:b/>
          <w:bCs/>
          <w:color w:val="0D0D0D" w:themeColor="text1" w:themeTint="F2"/>
          <w:lang w:bidi="ar-IQ"/>
        </w:rPr>
      </w:pPr>
      <w:r w:rsidRPr="00667893">
        <w:rPr>
          <w:rFonts w:asciiTheme="majorBidi" w:hAnsiTheme="majorBidi" w:cstheme="majorBidi"/>
          <w:b/>
          <w:bCs/>
          <w:color w:val="0D0D0D" w:themeColor="text1" w:themeTint="F2"/>
          <w:lang w:bidi="ar-IQ"/>
        </w:rPr>
        <w:t>3.1 Aligning Communication Policies with Legislation to Ensure the Sustainability of Good Governance</w:t>
      </w:r>
    </w:p>
    <w:p w14:paraId="48A95B65" w14:textId="4140EF03"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Alignment of communication policies with the legislative framework is deemed a fundamental aspect for achieving good governance in the United Arab Emirates. Government communication serves as the primary means of conveying public policies and engaging with society, while legislation represents the legal control that defines the boundaries of this communication and ensures its commitment to the public interest. Amid the accelerating digital transformation, the need to achieve this alignment has become more pressing due to the growing volume of information exchanged and the complexity of the media environment</w:t>
      </w:r>
      <w:r w:rsidR="00567B4F" w:rsidRPr="00E453AA">
        <w:rPr>
          <w:rFonts w:asciiTheme="majorBidi" w:hAnsiTheme="majorBidi" w:cstheme="majorBidi"/>
          <w:bCs/>
        </w:rPr>
        <w:t xml:space="preserve"> </w:t>
      </w:r>
      <w:r w:rsidR="002C60D8" w:rsidRPr="00E453AA">
        <w:rPr>
          <w:rFonts w:asciiTheme="majorBidi" w:hAnsiTheme="majorBidi" w:cstheme="majorBidi"/>
          <w:bCs/>
        </w:rPr>
        <w:t>(</w:t>
      </w:r>
      <w:r w:rsidR="00FF33EA" w:rsidRPr="00E453AA">
        <w:rPr>
          <w:rFonts w:asciiTheme="majorBidi" w:hAnsiTheme="majorBidi" w:cstheme="majorBidi"/>
          <w:bCs/>
        </w:rPr>
        <w:t>Salem Mohammed Al-Dhaheri (2024, p.28).</w:t>
      </w:r>
    </w:p>
    <w:p w14:paraId="2423FCEC" w14:textId="50971658"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Such alignment relies on the necessity for media messages and communication plans to comply with the applicable legal rules, ensuring that they do not conflict with legislation related to data protection, combating rumors, or media regulation. In this context, Federal Decree-Law No. 45 of 2021 plays a prominent role, imposing clear obligations on government entities regarding how data is handled, which directly affects the nature and content of communication discourse</w:t>
      </w:r>
      <w:r w:rsidR="00567B4F" w:rsidRPr="00E453AA">
        <w:rPr>
          <w:rFonts w:asciiTheme="majorBidi" w:hAnsiTheme="majorBidi" w:cstheme="majorBidi"/>
          <w:bCs/>
        </w:rPr>
        <w:t xml:space="preserve"> </w:t>
      </w:r>
      <w:r w:rsidR="00FF33EA" w:rsidRPr="00E453AA">
        <w:rPr>
          <w:rFonts w:asciiTheme="majorBidi" w:hAnsiTheme="majorBidi" w:cstheme="majorBidi"/>
          <w:bCs/>
        </w:rPr>
        <w:t>(</w:t>
      </w:r>
      <w:r w:rsidR="00F06F8C" w:rsidRPr="00E453AA">
        <w:rPr>
          <w:rFonts w:asciiTheme="majorBidi" w:hAnsiTheme="majorBidi" w:cstheme="majorBidi"/>
          <w:bCs/>
        </w:rPr>
        <w:t>Al-Marzouqi, Ahmed Saeed Al-Marzouqi, 2023, p. 95</w:t>
      </w:r>
      <w:r w:rsidR="00FF33EA" w:rsidRPr="00E453AA">
        <w:rPr>
          <w:rFonts w:asciiTheme="majorBidi" w:hAnsiTheme="majorBidi" w:cstheme="majorBidi"/>
          <w:bCs/>
        </w:rPr>
        <w:t>).</w:t>
      </w:r>
    </w:p>
    <w:p w14:paraId="13AAAB4D" w14:textId="29927843"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Furthermore, it contributes to strengthening the principle of legality, as all communication policies must be based on a clear legal foundation, guaranteeing that government entities do not exceed the limits of their authority or violate individuals’ rights. </w:t>
      </w:r>
      <w:r w:rsidR="00FF33EA" w:rsidRPr="00E453AA">
        <w:rPr>
          <w:rFonts w:asciiTheme="majorBidi" w:hAnsiTheme="majorBidi" w:cstheme="majorBidi"/>
          <w:bCs/>
        </w:rPr>
        <w:t xml:space="preserve">Khalid Abdullah Al-Hashimi (2025, p. </w:t>
      </w:r>
      <w:r w:rsidR="00F06F8C" w:rsidRPr="00E453AA">
        <w:rPr>
          <w:rFonts w:asciiTheme="majorBidi" w:hAnsiTheme="majorBidi" w:cstheme="majorBidi"/>
          <w:bCs/>
        </w:rPr>
        <w:t>40</w:t>
      </w:r>
      <w:r w:rsidR="00FF33EA" w:rsidRPr="00E453AA">
        <w:rPr>
          <w:rFonts w:asciiTheme="majorBidi" w:hAnsiTheme="majorBidi" w:cstheme="majorBidi"/>
          <w:bCs/>
        </w:rPr>
        <w:t xml:space="preserve">) </w:t>
      </w:r>
      <w:r w:rsidRPr="00E453AA">
        <w:rPr>
          <w:rFonts w:asciiTheme="majorBidi" w:hAnsiTheme="majorBidi" w:cstheme="majorBidi"/>
          <w:bCs/>
        </w:rPr>
        <w:t>ha</w:t>
      </w:r>
      <w:r w:rsidR="00FF33EA" w:rsidRPr="00E453AA">
        <w:rPr>
          <w:rFonts w:asciiTheme="majorBidi" w:hAnsiTheme="majorBidi" w:cstheme="majorBidi"/>
          <w:bCs/>
        </w:rPr>
        <w:t>s</w:t>
      </w:r>
      <w:r w:rsidRPr="00E453AA">
        <w:rPr>
          <w:rFonts w:asciiTheme="majorBidi" w:hAnsiTheme="majorBidi" w:cstheme="majorBidi"/>
          <w:bCs/>
        </w:rPr>
        <w:t xml:space="preserve"> confirmed that the absence of alignment between policies and legislation leads to weak public trust and institutional performance deficiencies</w:t>
      </w:r>
      <w:r w:rsidR="00567B4F" w:rsidRPr="00E453AA">
        <w:rPr>
          <w:rFonts w:asciiTheme="majorBidi" w:hAnsiTheme="majorBidi" w:cstheme="majorBidi"/>
          <w:bCs/>
        </w:rPr>
        <w:t>.</w:t>
      </w:r>
      <w:r w:rsidRPr="00E453AA">
        <w:rPr>
          <w:rFonts w:asciiTheme="majorBidi" w:hAnsiTheme="majorBidi" w:cstheme="majorBidi"/>
          <w:bCs/>
        </w:rPr>
        <w:t xml:space="preserve"> We should keep in mind however that alignment of communication policies has a tight connection with the principle of transparency, as the information provided to the public must be accurate and consistent with what the law permits, without excess or deficiency</w:t>
      </w:r>
      <w:r w:rsidR="00567B4F" w:rsidRPr="00E453AA">
        <w:rPr>
          <w:rFonts w:asciiTheme="majorBidi" w:hAnsiTheme="majorBidi" w:cstheme="majorBidi"/>
          <w:bCs/>
        </w:rPr>
        <w:t xml:space="preserve"> </w:t>
      </w:r>
      <w:r w:rsidR="00F06F8C" w:rsidRPr="00E453AA">
        <w:rPr>
          <w:rFonts w:asciiTheme="majorBidi" w:hAnsiTheme="majorBidi" w:cstheme="majorBidi"/>
          <w:bCs/>
        </w:rPr>
        <w:t>(Fatimah Muhammad Al-Ali, 2024, p. 60).</w:t>
      </w:r>
    </w:p>
    <w:p w14:paraId="157A59FB" w14:textId="287D9770"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lastRenderedPageBreak/>
        <w:t xml:space="preserve">This alignment indeed plays an important role in sustaining good governance, as it ensures continued compliance with legal rules throughout all stages of government communication, from planning to implementation and evaluation. </w:t>
      </w:r>
      <w:r w:rsidR="00F06F8C" w:rsidRPr="00E453AA">
        <w:rPr>
          <w:rFonts w:asciiTheme="majorBidi" w:hAnsiTheme="majorBidi" w:cstheme="majorBidi"/>
          <w:bCs/>
        </w:rPr>
        <w:t xml:space="preserve"> Yousef IbrahimAl-Hosani (2025, p. 22), </w:t>
      </w:r>
      <w:r w:rsidRPr="00E453AA">
        <w:rPr>
          <w:rFonts w:asciiTheme="majorBidi" w:hAnsiTheme="majorBidi" w:cstheme="majorBidi"/>
          <w:bCs/>
        </w:rPr>
        <w:t>ha</w:t>
      </w:r>
      <w:r w:rsidR="00F06F8C" w:rsidRPr="00E453AA">
        <w:rPr>
          <w:rFonts w:asciiTheme="majorBidi" w:hAnsiTheme="majorBidi" w:cstheme="majorBidi"/>
          <w:bCs/>
        </w:rPr>
        <w:t>s</w:t>
      </w:r>
      <w:r w:rsidRPr="00E453AA">
        <w:rPr>
          <w:rFonts w:asciiTheme="majorBidi" w:hAnsiTheme="majorBidi" w:cstheme="majorBidi"/>
          <w:bCs/>
        </w:rPr>
        <w:t xml:space="preserve"> shown that good governance is based on fundamental principles such as transparency, accountability, and efficiency that cannot be achieved without communication policies consistent with legislation.  </w:t>
      </w:r>
    </w:p>
    <w:p w14:paraId="11DA9DB8" w14:textId="04B7505C"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We are obliged to note here that modern UAE legislation imposes an integrated framework for regulating media and communication. Federal Decree-Law No. 55 of 2023 on the Regulation of Media establishes clear standards governing media content and defines the responsibilities of publishing entities. This requires government entities to align their communication policies with these standards to ensure legal compliance</w:t>
      </w:r>
      <w:r w:rsidR="00FF6A83" w:rsidRPr="00E453AA">
        <w:rPr>
          <w:rFonts w:asciiTheme="majorBidi" w:hAnsiTheme="majorBidi" w:cstheme="majorBidi"/>
          <w:bCs/>
        </w:rPr>
        <w:t xml:space="preserve"> (Abdulrahman bin Salem Al-Ketbi, 2023, 115).</w:t>
      </w:r>
    </w:p>
    <w:p w14:paraId="0AE163C7" w14:textId="3FF67771"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Legislators as well as related researchers have clearly emphasized that such alignment is not limited to the preventive aspect, but extends to the developmental aspect, as it contributes to improving the quality and effectiveness of government communication by ensuring its conformity with the best legal and administrative practices. Studies have confirmed that institutions adopting policies consistent with legislation are better able to adapt to changes and achieve institutional sustainability</w:t>
      </w:r>
      <w:r w:rsidR="00567B4F" w:rsidRPr="00E453AA">
        <w:rPr>
          <w:rFonts w:asciiTheme="majorBidi" w:hAnsiTheme="majorBidi" w:cstheme="majorBidi"/>
          <w:bCs/>
        </w:rPr>
        <w:t xml:space="preserve"> </w:t>
      </w:r>
      <w:r w:rsidR="00FF6A83" w:rsidRPr="00E453AA">
        <w:rPr>
          <w:rFonts w:asciiTheme="majorBidi" w:hAnsiTheme="majorBidi" w:cstheme="majorBidi"/>
          <w:bCs/>
        </w:rPr>
        <w:t>(See Mohammed Saeed Al-Mansouri, 2024, p. 50)</w:t>
      </w:r>
      <w:r w:rsidR="00567B4F" w:rsidRPr="00E453AA">
        <w:rPr>
          <w:rFonts w:asciiTheme="majorBidi" w:hAnsiTheme="majorBidi" w:cstheme="majorBidi"/>
          <w:bCs/>
        </w:rPr>
        <w:t>.</w:t>
      </w:r>
    </w:p>
    <w:p w14:paraId="03BD8B29" w14:textId="77777777" w:rsidR="00C934E5"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In the end, we may come up with the fact that alignment of communication policies with legislation is somehow imperative so as to ensure the sustainability of good governance, effectively contributing to balancing transparency requirements with the protection of rights, enhancing the credibility of government institutions, and supporting their ability to address challenges associated with digital media. </w:t>
      </w:r>
    </w:p>
    <w:p w14:paraId="46CFE960" w14:textId="77777777" w:rsidR="00E453AA" w:rsidRPr="00E453AA" w:rsidRDefault="00E453AA" w:rsidP="00E453AA">
      <w:pPr>
        <w:spacing w:after="0" w:line="240" w:lineRule="auto"/>
        <w:ind w:firstLine="540"/>
        <w:jc w:val="both"/>
        <w:rPr>
          <w:rFonts w:asciiTheme="majorBidi" w:hAnsiTheme="majorBidi" w:cstheme="majorBidi"/>
          <w:bCs/>
        </w:rPr>
      </w:pPr>
    </w:p>
    <w:p w14:paraId="4F835F8E" w14:textId="77777777" w:rsidR="00C934E5" w:rsidRPr="00667893" w:rsidRDefault="00C934E5" w:rsidP="00C934E5">
      <w:pPr>
        <w:jc w:val="both"/>
        <w:rPr>
          <w:rFonts w:asciiTheme="majorBidi" w:hAnsiTheme="majorBidi" w:cstheme="majorBidi"/>
          <w:b/>
        </w:rPr>
      </w:pPr>
      <w:r w:rsidRPr="00667893">
        <w:rPr>
          <w:rFonts w:asciiTheme="majorBidi" w:hAnsiTheme="majorBidi" w:cstheme="majorBidi"/>
          <w:b/>
        </w:rPr>
        <w:t>3.2 Developing Communication Performance Indicators within the Legal Framework</w:t>
      </w:r>
    </w:p>
    <w:p w14:paraId="56FBF560" w14:textId="77777777"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The development of communication performance measurement indicators is considered an essential tool on which government institutions do rely to promote communication efficiency and ensure the achievement of its strategic objectives, especially in light of the digital transformation taking place worldwide. In the United Arab Emirates, this development is closely linked to the legal framework regulating government communication, since performance cannot be measured independently of compliance with the legislation governing the publication and circulation of information.</w:t>
      </w:r>
    </w:p>
    <w:p w14:paraId="1B01517F" w14:textId="0CB8020A"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These indicators depend on a set of criteria aimed at evaluating the effectiveness of media messages and the extent of their impact on the public, such as level of engagement, clarity of messages, speed of response, and the extent to which communication objectives are achieved. </w:t>
      </w:r>
      <w:r w:rsidR="009E6E0A" w:rsidRPr="00E453AA">
        <w:rPr>
          <w:rFonts w:asciiTheme="majorBidi" w:hAnsiTheme="majorBidi" w:cstheme="majorBidi"/>
          <w:bCs/>
        </w:rPr>
        <w:t xml:space="preserve">Ahmed Saeed Al-Marzouqi (2024, p. 48) </w:t>
      </w:r>
      <w:r w:rsidRPr="00E453AA">
        <w:rPr>
          <w:rFonts w:asciiTheme="majorBidi" w:hAnsiTheme="majorBidi" w:cstheme="majorBidi"/>
          <w:bCs/>
        </w:rPr>
        <w:t>has confirmed that developing these indicators would undoubtedly contribute to improving the quality of government communication and enhance public trust.</w:t>
      </w:r>
    </w:p>
    <w:p w14:paraId="1CA04503" w14:textId="575324C9"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However, it should be taken into account that performance indicators must be designed in accordance with legal rules, particularly those relating to data protection and privacy, simply because compliance with these rules is deemed quite essential for the legitimacy of the communication process. The role of Federal Decree-Law No. 45 of 2021 is particularly relevant here, imposing restrictions on how data are collected and analyzed, directly affecting performance measurement tools that rely on analyzing audience engagement</w:t>
      </w:r>
      <w:r w:rsidR="00E453AA" w:rsidRPr="00E453AA">
        <w:rPr>
          <w:rFonts w:asciiTheme="majorBidi" w:hAnsiTheme="majorBidi" w:cstheme="majorBidi"/>
          <w:bCs/>
        </w:rPr>
        <w:t xml:space="preserve"> </w:t>
      </w:r>
      <w:r w:rsidR="009E6E0A" w:rsidRPr="00E453AA">
        <w:rPr>
          <w:rFonts w:asciiTheme="majorBidi" w:hAnsiTheme="majorBidi" w:cstheme="majorBidi"/>
          <w:bCs/>
        </w:rPr>
        <w:t>(Salem Mohammed Al-Dhaheri, 2023, p. 102).</w:t>
      </w:r>
    </w:p>
    <w:p w14:paraId="4B844FB1" w14:textId="34A0826B"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Moreover, these indicators also require the consideration of transparency, so that evaluation results become clear and understandable without compromising sensitive or confidential information. Legal literature has indicated that transparency in performance measurement would </w:t>
      </w:r>
      <w:r w:rsidRPr="00E453AA">
        <w:rPr>
          <w:rFonts w:asciiTheme="majorBidi" w:hAnsiTheme="majorBidi" w:cstheme="majorBidi"/>
          <w:bCs/>
        </w:rPr>
        <w:lastRenderedPageBreak/>
        <w:t>promote accountability and support good governance, provided that it takes place within a regulated legal framework</w:t>
      </w:r>
      <w:r w:rsidR="00E453AA" w:rsidRPr="00E453AA">
        <w:rPr>
          <w:rFonts w:asciiTheme="majorBidi" w:hAnsiTheme="majorBidi" w:cstheme="majorBidi"/>
          <w:bCs/>
        </w:rPr>
        <w:t xml:space="preserve"> </w:t>
      </w:r>
      <w:r w:rsidR="009E6E0A" w:rsidRPr="00E453AA">
        <w:rPr>
          <w:rFonts w:asciiTheme="majorBidi" w:hAnsiTheme="majorBidi" w:cstheme="majorBidi"/>
          <w:bCs/>
        </w:rPr>
        <w:t xml:space="preserve">(See Al-Ali, Fatimah Muhammad, 2024, p. 65).  </w:t>
      </w:r>
    </w:p>
    <w:p w14:paraId="2DF21DB5" w14:textId="0A32F1D5"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In addition, performance indicators have an effective role in strengthening institutional control, as they provide accurate data that help government entities evaluate their performance and make decisions based on scientific foundations. Related studies</w:t>
      </w:r>
      <w:r w:rsidR="009E6E0A" w:rsidRPr="00E453AA">
        <w:rPr>
          <w:rFonts w:asciiTheme="majorBidi" w:hAnsiTheme="majorBidi" w:cstheme="majorBidi"/>
          <w:bCs/>
        </w:rPr>
        <w:t xml:space="preserve">, including Mohammed Saeed Al-Mansouri (2025, p. 55), </w:t>
      </w:r>
      <w:r w:rsidRPr="00E453AA">
        <w:rPr>
          <w:rFonts w:asciiTheme="majorBidi" w:hAnsiTheme="majorBidi" w:cstheme="majorBidi"/>
          <w:bCs/>
        </w:rPr>
        <w:t>have shown that use of performance measurement indicators is one of the most important tools of modern management, as it provides information that helps improve and develop communication policies.</w:t>
      </w:r>
    </w:p>
    <w:p w14:paraId="3C6A6B84" w14:textId="646326CD"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It should be noted that within the framework of UAE legislation, the development of these indicators is also linked to the rules governing media and communication. Federal Decree-Law No. 55 of 2023 has established clear standards for media content, and to be incorporated into performance indicators so that the extent of entities’ compliance with them when publishing information can be assessed</w:t>
      </w:r>
      <w:r w:rsidR="007E058B" w:rsidRPr="00E453AA">
        <w:rPr>
          <w:rFonts w:asciiTheme="majorBidi" w:hAnsiTheme="majorBidi" w:cstheme="majorBidi"/>
          <w:bCs/>
        </w:rPr>
        <w:t xml:space="preserve"> </w:t>
      </w:r>
      <w:r w:rsidR="00E453AA" w:rsidRPr="00E453AA">
        <w:rPr>
          <w:rFonts w:asciiTheme="majorBidi" w:hAnsiTheme="majorBidi" w:cstheme="majorBidi"/>
          <w:bCs/>
        </w:rPr>
        <w:t>(</w:t>
      </w:r>
      <w:r w:rsidR="009E6E0A" w:rsidRPr="00E453AA">
        <w:rPr>
          <w:rFonts w:asciiTheme="majorBidi" w:hAnsiTheme="majorBidi" w:cstheme="majorBidi"/>
          <w:bCs/>
        </w:rPr>
        <w:t>Yousef Ibrahim</w:t>
      </w:r>
      <w:r w:rsidR="007E058B" w:rsidRPr="00E453AA">
        <w:rPr>
          <w:rFonts w:asciiTheme="majorBidi" w:hAnsiTheme="majorBidi" w:cstheme="majorBidi"/>
          <w:bCs/>
        </w:rPr>
        <w:t xml:space="preserve"> Al-Hosani, </w:t>
      </w:r>
      <w:r w:rsidR="009E6E0A" w:rsidRPr="00E453AA">
        <w:rPr>
          <w:rFonts w:asciiTheme="majorBidi" w:hAnsiTheme="majorBidi" w:cstheme="majorBidi"/>
          <w:bCs/>
        </w:rPr>
        <w:t>2025</w:t>
      </w:r>
      <w:r w:rsidR="007E058B" w:rsidRPr="00E453AA">
        <w:rPr>
          <w:rFonts w:asciiTheme="majorBidi" w:hAnsiTheme="majorBidi" w:cstheme="majorBidi"/>
          <w:bCs/>
        </w:rPr>
        <w:t>, p. 28</w:t>
      </w:r>
      <w:r w:rsidR="009E6E0A" w:rsidRPr="00E453AA">
        <w:rPr>
          <w:rFonts w:asciiTheme="majorBidi" w:hAnsiTheme="majorBidi" w:cstheme="majorBidi"/>
          <w:bCs/>
        </w:rPr>
        <w:t>)</w:t>
      </w:r>
      <w:r w:rsidR="007E058B" w:rsidRPr="00E453AA">
        <w:rPr>
          <w:rFonts w:asciiTheme="majorBidi" w:hAnsiTheme="majorBidi" w:cstheme="majorBidi"/>
          <w:bCs/>
        </w:rPr>
        <w:t>.</w:t>
      </w:r>
    </w:p>
    <w:p w14:paraId="59AB7AB9" w14:textId="4AD47F08"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Periodic evaluation of performance indicators is also a pivotal element in developing government communication, as it allows these indicators to be updated in line with technological and legislative changes. </w:t>
      </w:r>
      <w:r w:rsidR="007E058B" w:rsidRPr="00E453AA">
        <w:rPr>
          <w:rFonts w:asciiTheme="majorBidi" w:hAnsiTheme="majorBidi" w:cstheme="majorBidi"/>
          <w:bCs/>
        </w:rPr>
        <w:t>In his remarkable s</w:t>
      </w:r>
      <w:r w:rsidRPr="00E453AA">
        <w:rPr>
          <w:rFonts w:asciiTheme="majorBidi" w:hAnsiTheme="majorBidi" w:cstheme="majorBidi"/>
          <w:bCs/>
        </w:rPr>
        <w:t>tud</w:t>
      </w:r>
      <w:r w:rsidR="007E058B" w:rsidRPr="00E453AA">
        <w:rPr>
          <w:rFonts w:asciiTheme="majorBidi" w:hAnsiTheme="majorBidi" w:cstheme="majorBidi"/>
          <w:bCs/>
        </w:rPr>
        <w:t>y, Abdulrahman bin Salem Al-Ketbi (2023, p. 118)</w:t>
      </w:r>
      <w:r w:rsidRPr="00E453AA">
        <w:rPr>
          <w:rFonts w:asciiTheme="majorBidi" w:hAnsiTheme="majorBidi" w:cstheme="majorBidi"/>
          <w:bCs/>
        </w:rPr>
        <w:t xml:space="preserve"> </w:t>
      </w:r>
      <w:r w:rsidR="007E058B" w:rsidRPr="00E453AA">
        <w:rPr>
          <w:rFonts w:asciiTheme="majorBidi" w:hAnsiTheme="majorBidi" w:cstheme="majorBidi"/>
          <w:bCs/>
        </w:rPr>
        <w:t xml:space="preserve">has </w:t>
      </w:r>
      <w:r w:rsidRPr="00E453AA">
        <w:rPr>
          <w:rFonts w:asciiTheme="majorBidi" w:hAnsiTheme="majorBidi" w:cstheme="majorBidi"/>
          <w:bCs/>
        </w:rPr>
        <w:t xml:space="preserve">emphasized that flexibility in promoting indicators is one of the most important factors in their success, particularly in the context of the changing digital environment. </w:t>
      </w:r>
    </w:p>
    <w:p w14:paraId="228FE7E5" w14:textId="77777777" w:rsidR="00C934E5" w:rsidRPr="00E453AA" w:rsidRDefault="00C934E5" w:rsidP="00E453AA">
      <w:pPr>
        <w:spacing w:after="0" w:line="240" w:lineRule="auto"/>
        <w:ind w:firstLine="540"/>
        <w:jc w:val="both"/>
        <w:rPr>
          <w:rFonts w:asciiTheme="majorBidi" w:hAnsiTheme="majorBidi" w:cstheme="majorBidi"/>
          <w:bCs/>
        </w:rPr>
      </w:pPr>
      <w:r w:rsidRPr="00E453AA">
        <w:rPr>
          <w:rFonts w:asciiTheme="majorBidi" w:hAnsiTheme="majorBidi" w:cstheme="majorBidi"/>
          <w:bCs/>
        </w:rPr>
        <w:t xml:space="preserve">There is no doubt that development of these indicators within the legal framework constitutes an integrated process aimed at achieving a balance between communication efficiency and legal compliance. Thus, they would play an important role in the improvement of communication quality, enhancing transparency, and supporting decision-making, while ensuring respect for individuals’ rights and data protection. </w:t>
      </w:r>
    </w:p>
    <w:p w14:paraId="1B5A0184" w14:textId="77777777" w:rsidR="005F61AA" w:rsidRDefault="005F61AA" w:rsidP="005F61AA">
      <w:pPr>
        <w:jc w:val="both"/>
        <w:rPr>
          <w:rFonts w:asciiTheme="majorBidi" w:hAnsiTheme="majorBidi" w:cstheme="majorBidi"/>
          <w:b/>
          <w:bCs/>
          <w:u w:val="single"/>
        </w:rPr>
      </w:pPr>
    </w:p>
    <w:p w14:paraId="1F22AB88" w14:textId="75FD8EBE" w:rsidR="005F61AA" w:rsidRPr="007350F2" w:rsidRDefault="005F61AA" w:rsidP="005F61AA">
      <w:pPr>
        <w:jc w:val="both"/>
        <w:rPr>
          <w:rFonts w:asciiTheme="majorBidi" w:hAnsiTheme="majorBidi" w:cstheme="majorBidi"/>
          <w:b/>
          <w:bCs/>
          <w:lang w:val="es-AR"/>
        </w:rPr>
      </w:pPr>
      <w:r w:rsidRPr="007350F2">
        <w:rPr>
          <w:rFonts w:asciiTheme="majorBidi" w:hAnsiTheme="majorBidi" w:cstheme="majorBidi"/>
          <w:b/>
          <w:bCs/>
          <w:u w:val="single"/>
          <w:lang w:val="es-AR"/>
        </w:rPr>
        <w:t>References</w:t>
      </w:r>
      <w:r w:rsidRPr="007350F2">
        <w:rPr>
          <w:rFonts w:asciiTheme="majorBidi" w:hAnsiTheme="majorBidi" w:cstheme="majorBidi"/>
          <w:b/>
          <w:bCs/>
          <w:lang w:val="es-AR"/>
        </w:rPr>
        <w:t>:</w:t>
      </w:r>
    </w:p>
    <w:p w14:paraId="7AA0169C" w14:textId="0B3F1ED8"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Al-Ali, F. M. (2024). </w:t>
      </w:r>
      <w:r w:rsidRPr="00E453AA">
        <w:rPr>
          <w:rFonts w:asciiTheme="majorBidi" w:hAnsiTheme="majorBidi" w:cstheme="majorBidi"/>
        </w:rPr>
        <w:t>Transparency and disclosure in modern management (pp. 50–75).</w:t>
      </w:r>
    </w:p>
    <w:p w14:paraId="5A157531" w14:textId="33B6EA16"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Al-Amiri, H., &amp; Al-Ani, M. (2023). </w:t>
      </w:r>
      <w:r w:rsidRPr="00E453AA">
        <w:rPr>
          <w:rFonts w:asciiTheme="majorBidi" w:hAnsiTheme="majorBidi" w:cstheme="majorBidi"/>
        </w:rPr>
        <w:t>Criminalizing the disclosure of occupational secrets in the UAE legislation (pp. 5–15).</w:t>
      </w:r>
    </w:p>
    <w:p w14:paraId="4EE9A484" w14:textId="792FA416"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Al-Arifi, S. M. (2025). Information technology crimes and their impact on societal security (pp. 40–75).</w:t>
      </w:r>
    </w:p>
    <w:p w14:paraId="1DDBD9A3" w14:textId="764CBE5B"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Al-Awadhi, M. A. (2024). The legal regulation of digital media (pp. 120–150).</w:t>
      </w:r>
    </w:p>
    <w:p w14:paraId="224D57F1" w14:textId="47933B0A"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Al-Dhaheri, S. M. (2023). Personal data protection under UAE law (pp. 95–120).</w:t>
      </w:r>
    </w:p>
    <w:p w14:paraId="2C81D1AE" w14:textId="0314948B"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Al-Dhaheri, S. M. (2024). Government communication and digital transformation (pp. 20–40).</w:t>
      </w:r>
    </w:p>
    <w:p w14:paraId="77057D1E" w14:textId="49BA1716"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Al-Hammadi, H. b. A. (2024). </w:t>
      </w:r>
      <w:r w:rsidRPr="00E453AA">
        <w:rPr>
          <w:rFonts w:asciiTheme="majorBidi" w:hAnsiTheme="majorBidi" w:cstheme="majorBidi"/>
        </w:rPr>
        <w:t>Digital media and legal challenges in confronting misleading news (pp. 55–90).</w:t>
      </w:r>
    </w:p>
    <w:p w14:paraId="4A6B5B63" w14:textId="13FC1B90"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Al-Hashimi, K. A. (2025). Good governance in government institutions (pp. 30–55).</w:t>
      </w:r>
    </w:p>
    <w:p w14:paraId="234F31CC" w14:textId="38F11695"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Al-Hosani, Y. I. (2025). Government communication management and digital media challenges (pp. 15–35).</w:t>
      </w:r>
    </w:p>
    <w:p w14:paraId="2936CAD7" w14:textId="04D6A127"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Al-Jumhour, M. (2024). The principle of transparency and disclosure in governance. University of Sharjah Journal, (pp. 15–25).</w:t>
      </w:r>
    </w:p>
    <w:p w14:paraId="303FBC75" w14:textId="3DEE94FE"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lastRenderedPageBreak/>
        <w:t>Al-Kaabi, M. b. S. (2025). Protection of sensitive personal data privacy (pp. 1–24).</w:t>
      </w:r>
    </w:p>
    <w:p w14:paraId="2AD6DF88" w14:textId="18638B95"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Al-Kaabi, M. S. (2023). Limits on freedom of expression in digital media (pp. 95–130).</w:t>
      </w:r>
    </w:p>
    <w:p w14:paraId="089F46F4" w14:textId="7EAB9AEE"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Al-Ketbi, A. b. S. (2023). </w:t>
      </w:r>
      <w:r w:rsidRPr="00E453AA">
        <w:rPr>
          <w:rFonts w:asciiTheme="majorBidi" w:hAnsiTheme="majorBidi" w:cstheme="majorBidi"/>
        </w:rPr>
        <w:t>Legal liability for electronic media content (pp. 80–100).</w:t>
      </w:r>
    </w:p>
    <w:p w14:paraId="63210B2E" w14:textId="093984E2"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Al-Lahdan, F. A., &amp; Jad Al-Haq, E. (2025). </w:t>
      </w:r>
      <w:r w:rsidRPr="00E453AA">
        <w:rPr>
          <w:rFonts w:asciiTheme="majorBidi" w:hAnsiTheme="majorBidi" w:cstheme="majorBidi"/>
        </w:rPr>
        <w:t>The scope of legal protection for personal data: A comparative study (pp. 1–32).</w:t>
      </w:r>
    </w:p>
    <w:p w14:paraId="4FC06E51" w14:textId="30BE2260"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Al-Mahrouqi, M. M. (2023). Criminal protection of electronically processed personal data (pp. 1477–1608).</w:t>
      </w:r>
    </w:p>
    <w:p w14:paraId="6858FCA4" w14:textId="418F47B1"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Al-Mansouri, M. S. (2024). Government communication governance in the digital age (pp. 25–45).</w:t>
      </w:r>
    </w:p>
    <w:p w14:paraId="2F846DB8" w14:textId="14F2CC2B"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Al-Mansouri, M. S. (2025). Institutional performance governance (pp. 50–70).</w:t>
      </w:r>
    </w:p>
    <w:p w14:paraId="5B5A29E6" w14:textId="51A76935"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Al-Marzouqi, A. S. (2023). Personal data protection under UAE law (pp. 90–120).</w:t>
      </w:r>
    </w:p>
    <w:p w14:paraId="61DA7871" w14:textId="1E7BF856"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Al-Marzouqi, A. S. (2024). Performance management in government institutions (pp. 40–60).</w:t>
      </w:r>
    </w:p>
    <w:p w14:paraId="08077A0C" w14:textId="67E393DA"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Al-Mazrouei, A. S. (2025). Criminal liability for disseminating rumors (pp. 15–45).</w:t>
      </w:r>
    </w:p>
    <w:p w14:paraId="6EEE33E7" w14:textId="1E42131A"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Al-Naour, H. A. M. (2024). </w:t>
      </w:r>
      <w:r w:rsidRPr="00E453AA">
        <w:rPr>
          <w:rFonts w:asciiTheme="majorBidi" w:hAnsiTheme="majorBidi" w:cstheme="majorBidi"/>
        </w:rPr>
        <w:t>Criminal protection of personal data privacy (pp. 1–58).</w:t>
      </w:r>
    </w:p>
    <w:p w14:paraId="0DDB0F75" w14:textId="3FCFB43B"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Al-Nuaimi, A. b. R. (2024). </w:t>
      </w:r>
      <w:r w:rsidRPr="00E453AA">
        <w:rPr>
          <w:rFonts w:asciiTheme="majorBidi" w:hAnsiTheme="majorBidi" w:cstheme="majorBidi"/>
        </w:rPr>
        <w:t>Combating fake news on social media (pp. 200–235).</w:t>
      </w:r>
    </w:p>
    <w:p w14:paraId="40BC256E" w14:textId="4002A062"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Al-Safi, H. A.-S. (2025). Media liability for the disclosure of professional secrets (pp. 76–80).</w:t>
      </w:r>
    </w:p>
    <w:p w14:paraId="24D1DFC7" w14:textId="68A579C4"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Al-Shafi'i, I. M. (2023). The legal regulation of digital media in the face of fake news (pp. 60–100).</w:t>
      </w:r>
    </w:p>
    <w:p w14:paraId="06A5C9A5" w14:textId="2F3D498B"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rPr>
        <w:t>Al-Shobari, A. (2025). Legislative protection of digital data privacy (pp. 1060–1085).</w:t>
      </w:r>
    </w:p>
    <w:p w14:paraId="1ABB2150" w14:textId="5D3B1E34"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Al-Suwaidi, M. A. K. (2023). </w:t>
      </w:r>
      <w:r w:rsidRPr="00E453AA">
        <w:rPr>
          <w:rFonts w:asciiTheme="majorBidi" w:hAnsiTheme="majorBidi" w:cstheme="majorBidi"/>
        </w:rPr>
        <w:t>Legal liability for electronic publishing (pp. 70–110).</w:t>
      </w:r>
    </w:p>
    <w:p w14:paraId="76FB11A7" w14:textId="609BBB57" w:rsidR="006C62F6" w:rsidRPr="00E453AA" w:rsidRDefault="006C62F6" w:rsidP="00295642">
      <w:pPr>
        <w:spacing w:line="240" w:lineRule="auto"/>
        <w:jc w:val="both"/>
        <w:rPr>
          <w:rFonts w:asciiTheme="majorBidi" w:hAnsiTheme="majorBidi" w:cstheme="majorBidi"/>
        </w:rPr>
      </w:pPr>
      <w:r w:rsidRPr="00E453AA">
        <w:rPr>
          <w:rFonts w:asciiTheme="majorBidi" w:hAnsiTheme="majorBidi" w:cstheme="majorBidi"/>
          <w:lang w:val="es-AR"/>
        </w:rPr>
        <w:t xml:space="preserve">Al-Suwaidi, M. A. K. (2023). </w:t>
      </w:r>
      <w:r w:rsidRPr="00E453AA">
        <w:rPr>
          <w:rFonts w:asciiTheme="majorBidi" w:hAnsiTheme="majorBidi" w:cstheme="majorBidi"/>
        </w:rPr>
        <w:t>Legal liability for electronic publishing (pp. 130–150).</w:t>
      </w:r>
    </w:p>
    <w:p w14:paraId="101B40B3" w14:textId="5922D828"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Bannister, F., &amp; Connolly, R. (2014). ICT, public values and transformative government: A framework and programme for research. </w:t>
      </w:r>
      <w:r w:rsidRPr="00E453AA">
        <w:rPr>
          <w:rFonts w:asciiTheme="majorBidi" w:hAnsiTheme="majorBidi" w:cstheme="majorBidi"/>
          <w:i/>
          <w:iCs/>
        </w:rPr>
        <w:t>Government Information Quarterly, 31</w:t>
      </w:r>
      <w:r w:rsidRPr="00E453AA">
        <w:rPr>
          <w:rFonts w:asciiTheme="majorBidi" w:hAnsiTheme="majorBidi" w:cstheme="majorBidi"/>
        </w:rPr>
        <w:t xml:space="preserve">(1), 119–128. </w:t>
      </w:r>
      <w:hyperlink r:id="rId8" w:tgtFrame="_new" w:history="1">
        <w:r w:rsidRPr="00E453AA">
          <w:rPr>
            <w:rStyle w:val="Hyperlink"/>
            <w:rFonts w:asciiTheme="majorBidi" w:hAnsiTheme="majorBidi" w:cstheme="majorBidi"/>
          </w:rPr>
          <w:t>https://doi.org/10.1016/j.giq.2013.06.002</w:t>
        </w:r>
      </w:hyperlink>
    </w:p>
    <w:p w14:paraId="008DC0AA"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Bertot, J. C., Jaeger, P. T., &amp; Hansen, D. (2012). The impact of policies on government social media usage: Issues, challenges, and recommendations. </w:t>
      </w:r>
      <w:r w:rsidRPr="00E453AA">
        <w:rPr>
          <w:rFonts w:asciiTheme="majorBidi" w:hAnsiTheme="majorBidi" w:cstheme="majorBidi"/>
          <w:i/>
          <w:iCs/>
        </w:rPr>
        <w:t>Government Information Quarterly, 29</w:t>
      </w:r>
      <w:r w:rsidRPr="00E453AA">
        <w:rPr>
          <w:rFonts w:asciiTheme="majorBidi" w:hAnsiTheme="majorBidi" w:cstheme="majorBidi"/>
        </w:rPr>
        <w:t xml:space="preserve">(1), 30–40. </w:t>
      </w:r>
      <w:hyperlink r:id="rId9" w:tgtFrame="_new" w:history="1">
        <w:r w:rsidRPr="00E453AA">
          <w:rPr>
            <w:rStyle w:val="Hyperlink"/>
            <w:rFonts w:asciiTheme="majorBidi" w:hAnsiTheme="majorBidi" w:cstheme="majorBidi"/>
          </w:rPr>
          <w:t>https://doi.org/10.1016/j.giq.2011.04.004</w:t>
        </w:r>
      </w:hyperlink>
    </w:p>
    <w:p w14:paraId="5924DE9F"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Boin, A., Hart, P., Stern, E., &amp; Sundelius, B. (2017). </w:t>
      </w:r>
      <w:r w:rsidRPr="00E453AA">
        <w:rPr>
          <w:rFonts w:asciiTheme="majorBidi" w:hAnsiTheme="majorBidi" w:cstheme="majorBidi"/>
          <w:i/>
          <w:iCs/>
        </w:rPr>
        <w:t>The Politics of Crisis Management: Public Leadership under Pressure</w:t>
      </w:r>
      <w:r w:rsidRPr="00E453AA">
        <w:rPr>
          <w:rFonts w:asciiTheme="majorBidi" w:hAnsiTheme="majorBidi" w:cstheme="majorBidi"/>
        </w:rPr>
        <w:t xml:space="preserve"> (2nd ed.). Cambridge University Press.</w:t>
      </w:r>
    </w:p>
    <w:p w14:paraId="767D61AF"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Canel, M. J., &amp; Sanders, K. (2016). Government communication. In G. Mazzoleni (Ed.), </w:t>
      </w:r>
      <w:r w:rsidRPr="00E453AA">
        <w:rPr>
          <w:rFonts w:asciiTheme="majorBidi" w:hAnsiTheme="majorBidi" w:cstheme="majorBidi"/>
          <w:i/>
          <w:iCs/>
        </w:rPr>
        <w:t>The International Encyclopedia of Political Communication</w:t>
      </w:r>
      <w:r w:rsidRPr="00E453AA">
        <w:rPr>
          <w:rFonts w:asciiTheme="majorBidi" w:hAnsiTheme="majorBidi" w:cstheme="majorBidi"/>
        </w:rPr>
        <w:t xml:space="preserve">. Wiley. </w:t>
      </w:r>
      <w:hyperlink r:id="rId10" w:history="1">
        <w:r w:rsidRPr="00E453AA">
          <w:rPr>
            <w:rStyle w:val="Hyperlink"/>
            <w:rFonts w:asciiTheme="majorBidi" w:hAnsiTheme="majorBidi" w:cstheme="majorBidi"/>
          </w:rPr>
          <w:t>https://doi.org/10.1002/9781118541555.wbiepc190</w:t>
        </w:r>
      </w:hyperlink>
    </w:p>
    <w:p w14:paraId="43197FC5" w14:textId="77777777" w:rsidR="005F61AA" w:rsidRPr="00E453AA" w:rsidRDefault="005F61AA" w:rsidP="005F61AA">
      <w:pPr>
        <w:jc w:val="both"/>
        <w:rPr>
          <w:rFonts w:asciiTheme="majorBidi" w:hAnsiTheme="majorBidi" w:cstheme="majorBidi"/>
          <w:rtl/>
        </w:rPr>
      </w:pPr>
      <w:r w:rsidRPr="00E453AA">
        <w:rPr>
          <w:rFonts w:asciiTheme="majorBidi" w:hAnsiTheme="majorBidi" w:cstheme="majorBidi"/>
        </w:rPr>
        <w:lastRenderedPageBreak/>
        <w:t xml:space="preserve">Coombs, W. T. (2021). </w:t>
      </w:r>
      <w:r w:rsidRPr="00E453AA">
        <w:rPr>
          <w:rFonts w:asciiTheme="majorBidi" w:hAnsiTheme="majorBidi" w:cstheme="majorBidi"/>
          <w:i/>
          <w:iCs/>
        </w:rPr>
        <w:t>Ongoing Crisis Communication: Planning, Managing, and Responding</w:t>
      </w:r>
      <w:r w:rsidRPr="00E453AA">
        <w:rPr>
          <w:rFonts w:asciiTheme="majorBidi" w:hAnsiTheme="majorBidi" w:cstheme="majorBidi"/>
        </w:rPr>
        <w:t xml:space="preserve"> (6th ed.). SAGE Publications.</w:t>
      </w:r>
    </w:p>
    <w:p w14:paraId="55CB15CC" w14:textId="61211FB5" w:rsidR="00C46237" w:rsidRPr="00E453AA" w:rsidRDefault="00C46237" w:rsidP="00C46237">
      <w:pPr>
        <w:spacing w:after="0" w:line="240" w:lineRule="auto"/>
        <w:rPr>
          <w:rFonts w:asciiTheme="majorBidi" w:hAnsiTheme="majorBidi" w:cstheme="majorBidi"/>
          <w:rtl/>
        </w:rPr>
      </w:pPr>
      <w:r w:rsidRPr="00E453AA">
        <w:rPr>
          <w:rFonts w:asciiTheme="majorBidi" w:hAnsiTheme="majorBidi" w:cstheme="majorBidi"/>
        </w:rPr>
        <w:t>Fuad Al-Shuaibi, F. (2023). Civil protection of personal data under UAE law (pp. 95–156).</w:t>
      </w:r>
    </w:p>
    <w:p w14:paraId="420747EC" w14:textId="77777777" w:rsidR="00C46237" w:rsidRPr="00E453AA" w:rsidRDefault="00C46237" w:rsidP="00C46237">
      <w:pPr>
        <w:spacing w:after="0" w:line="240" w:lineRule="auto"/>
        <w:rPr>
          <w:rFonts w:asciiTheme="majorBidi" w:hAnsiTheme="majorBidi" w:cstheme="majorBidi"/>
        </w:rPr>
      </w:pPr>
    </w:p>
    <w:p w14:paraId="44477285"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Grimmelikhuijsen, S., &amp; Meijer, A. (2014). Effects of transparency on the perceived trustworthiness of a government organization: Evidence from an online experiment. </w:t>
      </w:r>
      <w:r w:rsidRPr="00E453AA">
        <w:rPr>
          <w:rFonts w:asciiTheme="majorBidi" w:hAnsiTheme="majorBidi" w:cstheme="majorBidi"/>
          <w:i/>
          <w:iCs/>
        </w:rPr>
        <w:t>Journal of Public Administration Research and Theory, 24</w:t>
      </w:r>
      <w:r w:rsidRPr="00E453AA">
        <w:rPr>
          <w:rFonts w:asciiTheme="majorBidi" w:hAnsiTheme="majorBidi" w:cstheme="majorBidi"/>
        </w:rPr>
        <w:t xml:space="preserve">(1), 137–157. </w:t>
      </w:r>
      <w:hyperlink r:id="rId11" w:tgtFrame="_new" w:history="1">
        <w:r w:rsidRPr="00E453AA">
          <w:rPr>
            <w:rStyle w:val="Hyperlink"/>
            <w:rFonts w:asciiTheme="majorBidi" w:hAnsiTheme="majorBidi" w:cstheme="majorBidi"/>
          </w:rPr>
          <w:t>https://doi.org/10.1093/jopart/mus048</w:t>
        </w:r>
      </w:hyperlink>
    </w:p>
    <w:p w14:paraId="04013CE0"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Grimmelikhuijsen, S., Porumbescu, G., Hong, B., &amp; Im, T. (2013). The effect of transparency on trust in government: A cross-national comparative experiment. </w:t>
      </w:r>
      <w:r w:rsidRPr="00E453AA">
        <w:rPr>
          <w:rFonts w:asciiTheme="majorBidi" w:hAnsiTheme="majorBidi" w:cstheme="majorBidi"/>
          <w:i/>
          <w:iCs/>
        </w:rPr>
        <w:t>Public Administration Review, 73</w:t>
      </w:r>
      <w:r w:rsidRPr="00E453AA">
        <w:rPr>
          <w:rFonts w:asciiTheme="majorBidi" w:hAnsiTheme="majorBidi" w:cstheme="majorBidi"/>
        </w:rPr>
        <w:t xml:space="preserve">(4), 575–586. </w:t>
      </w:r>
      <w:hyperlink r:id="rId12" w:history="1">
        <w:r w:rsidRPr="00E453AA">
          <w:rPr>
            <w:rStyle w:val="Hyperlink"/>
            <w:rFonts w:asciiTheme="majorBidi" w:hAnsiTheme="majorBidi" w:cstheme="majorBidi"/>
          </w:rPr>
          <w:t>https://doi.org/10.1111/puar.12047</w:t>
        </w:r>
      </w:hyperlink>
    </w:p>
    <w:p w14:paraId="3E8907B6"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Janowski, T. (2015). Digital government evolution: From transformation to contextualization. </w:t>
      </w:r>
      <w:r w:rsidRPr="00E453AA">
        <w:rPr>
          <w:rFonts w:asciiTheme="majorBidi" w:hAnsiTheme="majorBidi" w:cstheme="majorBidi"/>
          <w:i/>
          <w:iCs/>
        </w:rPr>
        <w:t>Government Information Quarterly, 32</w:t>
      </w:r>
      <w:r w:rsidRPr="00E453AA">
        <w:rPr>
          <w:rFonts w:asciiTheme="majorBidi" w:hAnsiTheme="majorBidi" w:cstheme="majorBidi"/>
        </w:rPr>
        <w:t xml:space="preserve">(3), 221–236. </w:t>
      </w:r>
      <w:hyperlink r:id="rId13" w:history="1">
        <w:r w:rsidRPr="00E453AA">
          <w:rPr>
            <w:rStyle w:val="Hyperlink"/>
            <w:rFonts w:asciiTheme="majorBidi" w:hAnsiTheme="majorBidi" w:cstheme="majorBidi"/>
          </w:rPr>
          <w:t>https://doi.org/10.1016/j.giq.2015.07.001</w:t>
        </w:r>
      </w:hyperlink>
    </w:p>
    <w:p w14:paraId="29F99CA6"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Meijer, A. J., &amp; Bekkers, V. (2015). A metatheory of e-government: Creating some order in a fragmented research field. </w:t>
      </w:r>
      <w:r w:rsidRPr="00E453AA">
        <w:rPr>
          <w:rFonts w:asciiTheme="majorBidi" w:hAnsiTheme="majorBidi" w:cstheme="majorBidi"/>
          <w:i/>
          <w:iCs/>
        </w:rPr>
        <w:t>Government Information Quarterly, 32</w:t>
      </w:r>
      <w:r w:rsidRPr="00E453AA">
        <w:rPr>
          <w:rFonts w:asciiTheme="majorBidi" w:hAnsiTheme="majorBidi" w:cstheme="majorBidi"/>
        </w:rPr>
        <w:t>(3), 237–245. https://doi.org/10.1016/j.giq.2015.04.006</w:t>
      </w:r>
    </w:p>
    <w:p w14:paraId="67FB4360"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Mergel, I., Edelmann, N., &amp; Haug, N. (2019). Defining digital transformation: Results from expert interviews. </w:t>
      </w:r>
      <w:r w:rsidRPr="00E453AA">
        <w:rPr>
          <w:rFonts w:asciiTheme="majorBidi" w:hAnsiTheme="majorBidi" w:cstheme="majorBidi"/>
          <w:i/>
          <w:iCs/>
        </w:rPr>
        <w:t>Government Information Quarterly, 36</w:t>
      </w:r>
      <w:r w:rsidRPr="00E453AA">
        <w:rPr>
          <w:rFonts w:asciiTheme="majorBidi" w:hAnsiTheme="majorBidi" w:cstheme="majorBidi"/>
        </w:rPr>
        <w:t xml:space="preserve">(4), 101385. </w:t>
      </w:r>
      <w:hyperlink r:id="rId14" w:tgtFrame="_new" w:history="1">
        <w:r w:rsidRPr="00E453AA">
          <w:rPr>
            <w:rStyle w:val="Hyperlink"/>
            <w:rFonts w:asciiTheme="majorBidi" w:hAnsiTheme="majorBidi" w:cstheme="majorBidi"/>
          </w:rPr>
          <w:t>https://doi.org/10.1016/j.giq.2019.06.002</w:t>
        </w:r>
      </w:hyperlink>
    </w:p>
    <w:p w14:paraId="687F12AD" w14:textId="2C86899C" w:rsidR="00C46237" w:rsidRPr="00E453AA" w:rsidRDefault="00C46237" w:rsidP="00295642">
      <w:pPr>
        <w:spacing w:line="240" w:lineRule="auto"/>
        <w:rPr>
          <w:rFonts w:asciiTheme="majorBidi" w:hAnsiTheme="majorBidi" w:cstheme="majorBidi"/>
        </w:rPr>
      </w:pPr>
      <w:r w:rsidRPr="00E453AA">
        <w:rPr>
          <w:rFonts w:asciiTheme="majorBidi" w:hAnsiTheme="majorBidi" w:cstheme="majorBidi"/>
        </w:rPr>
        <w:t>Mahmoud, O. M. (2025). Legal protection of personal data in light of modern digital legislation.</w:t>
      </w:r>
    </w:p>
    <w:p w14:paraId="4B51C67E" w14:textId="25AE5884" w:rsidR="00C46237" w:rsidRPr="00E453AA" w:rsidRDefault="00C46237" w:rsidP="00295642">
      <w:pPr>
        <w:spacing w:line="240" w:lineRule="auto"/>
        <w:rPr>
          <w:rFonts w:asciiTheme="majorBidi" w:hAnsiTheme="majorBidi" w:cstheme="majorBidi"/>
        </w:rPr>
      </w:pPr>
      <w:r w:rsidRPr="00E453AA">
        <w:rPr>
          <w:rFonts w:asciiTheme="majorBidi" w:hAnsiTheme="majorBidi" w:cstheme="majorBidi"/>
        </w:rPr>
        <w:t>Mahmoud, S. A. (2024). Protection of digital personal data under the law (pp. 1439–1482).</w:t>
      </w:r>
    </w:p>
    <w:p w14:paraId="7BEE95AF" w14:textId="516EE0AE" w:rsidR="00C46237" w:rsidRPr="00E453AA" w:rsidRDefault="00C46237" w:rsidP="00295642">
      <w:pPr>
        <w:spacing w:line="240" w:lineRule="auto"/>
        <w:rPr>
          <w:rFonts w:asciiTheme="majorBidi" w:hAnsiTheme="majorBidi" w:cstheme="majorBidi"/>
          <w:rtl/>
        </w:rPr>
      </w:pPr>
      <w:r w:rsidRPr="00E453AA">
        <w:rPr>
          <w:rFonts w:asciiTheme="majorBidi" w:hAnsiTheme="majorBidi" w:cstheme="majorBidi"/>
          <w:lang w:val="es-AR"/>
        </w:rPr>
        <w:t xml:space="preserve">Obeid, M. I., et al. </w:t>
      </w:r>
      <w:r w:rsidRPr="00E453AA">
        <w:rPr>
          <w:rFonts w:asciiTheme="majorBidi" w:hAnsiTheme="majorBidi" w:cstheme="majorBidi"/>
        </w:rPr>
        <w:t>(2025). Legal protection of personal data: A comparative study (pp. 10–25).</w:t>
      </w:r>
    </w:p>
    <w:p w14:paraId="2D54A71F" w14:textId="73E038C3" w:rsidR="005F61AA" w:rsidRPr="00E453AA" w:rsidRDefault="005F61AA" w:rsidP="00295642">
      <w:pPr>
        <w:jc w:val="both"/>
        <w:rPr>
          <w:rFonts w:asciiTheme="majorBidi" w:hAnsiTheme="majorBidi" w:cstheme="majorBidi"/>
        </w:rPr>
      </w:pPr>
      <w:r w:rsidRPr="00E453AA">
        <w:rPr>
          <w:rFonts w:asciiTheme="majorBidi" w:hAnsiTheme="majorBidi" w:cstheme="majorBidi"/>
        </w:rPr>
        <w:t xml:space="preserve">OECD. (2020). </w:t>
      </w:r>
      <w:r w:rsidRPr="00E453AA">
        <w:rPr>
          <w:rFonts w:asciiTheme="majorBidi" w:hAnsiTheme="majorBidi" w:cstheme="majorBidi"/>
          <w:i/>
          <w:iCs/>
        </w:rPr>
        <w:t>Digital Government Index: 2019 Results</w:t>
      </w:r>
      <w:r w:rsidRPr="00E453AA">
        <w:rPr>
          <w:rFonts w:asciiTheme="majorBidi" w:hAnsiTheme="majorBidi" w:cstheme="majorBidi"/>
        </w:rPr>
        <w:t>. OECD Publishing.</w:t>
      </w:r>
    </w:p>
    <w:p w14:paraId="239C23A9"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OECD. (2021). </w:t>
      </w:r>
      <w:r w:rsidRPr="00E453AA">
        <w:rPr>
          <w:rFonts w:asciiTheme="majorBidi" w:hAnsiTheme="majorBidi" w:cstheme="majorBidi"/>
          <w:i/>
          <w:iCs/>
        </w:rPr>
        <w:t>The OECD Digital Government Policy Framework: Six dimensions of a digital government</w:t>
      </w:r>
      <w:r w:rsidRPr="00E453AA">
        <w:rPr>
          <w:rFonts w:asciiTheme="majorBidi" w:hAnsiTheme="majorBidi" w:cstheme="majorBidi"/>
        </w:rPr>
        <w:t>. OECD Publishing.</w:t>
      </w:r>
    </w:p>
    <w:p w14:paraId="3810C43D"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OECD. (2024). </w:t>
      </w:r>
      <w:r w:rsidRPr="00E453AA">
        <w:rPr>
          <w:rFonts w:asciiTheme="majorBidi" w:hAnsiTheme="majorBidi" w:cstheme="majorBidi"/>
          <w:i/>
          <w:iCs/>
        </w:rPr>
        <w:t>OECD Survey on Drivers of Trust in Public Institutions – 2024 Results: Building Trust in a Complex Policy Environment</w:t>
      </w:r>
      <w:r w:rsidRPr="00E453AA">
        <w:rPr>
          <w:rFonts w:asciiTheme="majorBidi" w:hAnsiTheme="majorBidi" w:cstheme="majorBidi"/>
        </w:rPr>
        <w:t>. OECD Publishing.</w:t>
      </w:r>
    </w:p>
    <w:p w14:paraId="76453AB0"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OECD. (2024). </w:t>
      </w:r>
      <w:r w:rsidRPr="00E453AA">
        <w:rPr>
          <w:rFonts w:asciiTheme="majorBidi" w:hAnsiTheme="majorBidi" w:cstheme="majorBidi"/>
          <w:i/>
          <w:iCs/>
        </w:rPr>
        <w:t>OECD Digital Government Index 2023: Results and Key Findings</w:t>
      </w:r>
      <w:r w:rsidRPr="00E453AA">
        <w:rPr>
          <w:rFonts w:asciiTheme="majorBidi" w:hAnsiTheme="majorBidi" w:cstheme="majorBidi"/>
        </w:rPr>
        <w:t>. OECD Publishing.</w:t>
      </w:r>
    </w:p>
    <w:p w14:paraId="58E96CAB" w14:textId="2E9834D0" w:rsidR="005F61AA" w:rsidRPr="00E453AA" w:rsidRDefault="005F61AA" w:rsidP="005F61AA">
      <w:pPr>
        <w:jc w:val="both"/>
        <w:rPr>
          <w:rFonts w:asciiTheme="majorBidi" w:hAnsiTheme="majorBidi" w:cstheme="majorBidi"/>
          <w:rtl/>
        </w:rPr>
      </w:pPr>
      <w:r w:rsidRPr="00E453AA">
        <w:rPr>
          <w:rFonts w:asciiTheme="majorBidi" w:hAnsiTheme="majorBidi" w:cstheme="majorBidi"/>
        </w:rPr>
        <w:t xml:space="preserve">Relly, J. E., &amp; Sabharwal, M. (2009). Perceptions of transparency of government policymaking: A cross-national study. </w:t>
      </w:r>
      <w:r w:rsidRPr="00E453AA">
        <w:rPr>
          <w:rFonts w:asciiTheme="majorBidi" w:hAnsiTheme="majorBidi" w:cstheme="majorBidi"/>
          <w:i/>
          <w:iCs/>
        </w:rPr>
        <w:t>Government Information Quarterly, 26</w:t>
      </w:r>
      <w:r w:rsidRPr="00E453AA">
        <w:rPr>
          <w:rFonts w:asciiTheme="majorBidi" w:hAnsiTheme="majorBidi" w:cstheme="majorBidi"/>
        </w:rPr>
        <w:t xml:space="preserve">(1), 148–157. </w:t>
      </w:r>
      <w:hyperlink r:id="rId15" w:history="1">
        <w:r w:rsidR="00C46237" w:rsidRPr="00E453AA">
          <w:rPr>
            <w:rStyle w:val="Hyperlink"/>
            <w:rFonts w:asciiTheme="majorBidi" w:hAnsiTheme="majorBidi" w:cstheme="majorBidi"/>
          </w:rPr>
          <w:t>https://doi.org/10.1016/j.giq.2008.04.002</w:t>
        </w:r>
      </w:hyperlink>
    </w:p>
    <w:p w14:paraId="7750DB9F" w14:textId="0739E8B7" w:rsidR="00C46237" w:rsidRPr="00E453AA" w:rsidRDefault="00C46237" w:rsidP="00295642">
      <w:pPr>
        <w:spacing w:line="240" w:lineRule="auto"/>
        <w:rPr>
          <w:rFonts w:asciiTheme="majorBidi" w:hAnsiTheme="majorBidi" w:cstheme="majorBidi"/>
        </w:rPr>
      </w:pPr>
      <w:r w:rsidRPr="00E453AA">
        <w:rPr>
          <w:rFonts w:asciiTheme="majorBidi" w:hAnsiTheme="majorBidi" w:cstheme="majorBidi"/>
        </w:rPr>
        <w:t>Salah El-Din, A. (2020). Personal data protection law (pp. 15–25).</w:t>
      </w:r>
    </w:p>
    <w:p w14:paraId="74064AC2" w14:textId="77777777" w:rsidR="00C46237" w:rsidRPr="00E453AA" w:rsidRDefault="00C46237" w:rsidP="00295642">
      <w:pPr>
        <w:jc w:val="both"/>
        <w:rPr>
          <w:rFonts w:asciiTheme="majorBidi" w:hAnsiTheme="majorBidi" w:cstheme="majorBidi"/>
        </w:rPr>
      </w:pPr>
      <w:r w:rsidRPr="00E453AA">
        <w:rPr>
          <w:rFonts w:asciiTheme="majorBidi" w:hAnsiTheme="majorBidi" w:cstheme="majorBidi"/>
        </w:rPr>
        <w:lastRenderedPageBreak/>
        <w:t>Shaaban, A.-H. O. (2025). The legal framework for personal data protection (pp. 91–122).</w:t>
      </w:r>
    </w:p>
    <w:p w14:paraId="2C5A0133" w14:textId="3B24A0CF" w:rsidR="00C46237" w:rsidRPr="00E453AA" w:rsidRDefault="005F61AA" w:rsidP="00295642">
      <w:pPr>
        <w:jc w:val="both"/>
        <w:rPr>
          <w:rFonts w:asciiTheme="majorBidi" w:hAnsiTheme="majorBidi" w:cstheme="majorBidi"/>
        </w:rPr>
      </w:pPr>
      <w:r w:rsidRPr="00E453AA">
        <w:rPr>
          <w:rFonts w:asciiTheme="majorBidi" w:hAnsiTheme="majorBidi" w:cstheme="majorBidi"/>
        </w:rPr>
        <w:t xml:space="preserve">Tolbert, C. J., &amp; Mossberger, K. (2006). The effects of e-government on trust and confidence in government. </w:t>
      </w:r>
      <w:r w:rsidRPr="00E453AA">
        <w:rPr>
          <w:rFonts w:asciiTheme="majorBidi" w:hAnsiTheme="majorBidi" w:cstheme="majorBidi"/>
          <w:i/>
          <w:iCs/>
        </w:rPr>
        <w:t>Public Administration Review, 66</w:t>
      </w:r>
      <w:r w:rsidRPr="00E453AA">
        <w:rPr>
          <w:rFonts w:asciiTheme="majorBidi" w:hAnsiTheme="majorBidi" w:cstheme="majorBidi"/>
        </w:rPr>
        <w:t xml:space="preserve">(3), 354–369. </w:t>
      </w:r>
      <w:hyperlink r:id="rId16" w:history="1">
        <w:r w:rsidR="00C46237" w:rsidRPr="00E453AA">
          <w:rPr>
            <w:rStyle w:val="Hyperlink"/>
            <w:rFonts w:asciiTheme="majorBidi" w:hAnsiTheme="majorBidi" w:cstheme="majorBidi"/>
          </w:rPr>
          <w:t>https://doi.org/10.1111/j.1540-6210.2006.00594.x</w:t>
        </w:r>
      </w:hyperlink>
    </w:p>
    <w:p w14:paraId="69314CDC"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Twizeyimana, J. D., &amp; Andersson, A. (2019). The public value of e-government: A literature review. </w:t>
      </w:r>
      <w:r w:rsidRPr="00E453AA">
        <w:rPr>
          <w:rFonts w:asciiTheme="majorBidi" w:hAnsiTheme="majorBidi" w:cstheme="majorBidi"/>
          <w:i/>
          <w:iCs/>
        </w:rPr>
        <w:t>Government Information Quarterly, 36</w:t>
      </w:r>
      <w:r w:rsidRPr="00E453AA">
        <w:rPr>
          <w:rFonts w:asciiTheme="majorBidi" w:hAnsiTheme="majorBidi" w:cstheme="majorBidi"/>
        </w:rPr>
        <w:t xml:space="preserve">(2), 167–178. </w:t>
      </w:r>
      <w:hyperlink r:id="rId17" w:history="1">
        <w:r w:rsidRPr="00E453AA">
          <w:rPr>
            <w:rStyle w:val="Hyperlink"/>
            <w:rFonts w:asciiTheme="majorBidi" w:hAnsiTheme="majorBidi" w:cstheme="majorBidi"/>
          </w:rPr>
          <w:t>https://doi.org/10.1016/j.giq.2019.01.001</w:t>
        </w:r>
      </w:hyperlink>
    </w:p>
    <w:p w14:paraId="235E8B49"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UAE Government. (2023). </w:t>
      </w:r>
      <w:r w:rsidRPr="00E453AA">
        <w:rPr>
          <w:rFonts w:asciiTheme="majorBidi" w:hAnsiTheme="majorBidi" w:cstheme="majorBidi"/>
          <w:i/>
          <w:iCs/>
        </w:rPr>
        <w:t>UAE Digital Government Strategy 2025</w:t>
      </w:r>
      <w:r w:rsidRPr="00E453AA">
        <w:rPr>
          <w:rFonts w:asciiTheme="majorBidi" w:hAnsiTheme="majorBidi" w:cstheme="majorBidi"/>
        </w:rPr>
        <w:t xml:space="preserve">. UAE Digital Government. </w:t>
      </w:r>
    </w:p>
    <w:p w14:paraId="7D12308E"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UAE Government. (2024). </w:t>
      </w:r>
      <w:r w:rsidRPr="00E453AA">
        <w:rPr>
          <w:rFonts w:asciiTheme="majorBidi" w:hAnsiTheme="majorBidi" w:cstheme="majorBidi"/>
          <w:i/>
          <w:iCs/>
        </w:rPr>
        <w:t>UAE Government Annual Report / Digital Government Initiatives</w:t>
      </w:r>
      <w:r w:rsidRPr="00E453AA">
        <w:rPr>
          <w:rFonts w:asciiTheme="majorBidi" w:hAnsiTheme="majorBidi" w:cstheme="majorBidi"/>
        </w:rPr>
        <w:t xml:space="preserve">. UAE Digital Government.United Nations. (2022). </w:t>
      </w:r>
      <w:r w:rsidRPr="00E453AA">
        <w:rPr>
          <w:rFonts w:asciiTheme="majorBidi" w:hAnsiTheme="majorBidi" w:cstheme="majorBidi"/>
          <w:i/>
          <w:iCs/>
        </w:rPr>
        <w:t>E-Government Survey 2022: The Future of Digital Government</w:t>
      </w:r>
      <w:r w:rsidRPr="00E453AA">
        <w:rPr>
          <w:rFonts w:asciiTheme="majorBidi" w:hAnsiTheme="majorBidi" w:cstheme="majorBidi"/>
        </w:rPr>
        <w:t>. United Nations Department of Economic and Social Affairs.</w:t>
      </w:r>
    </w:p>
    <w:p w14:paraId="3DDDAAE7"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United Nations. (2024). </w:t>
      </w:r>
      <w:r w:rsidRPr="00E453AA">
        <w:rPr>
          <w:rFonts w:asciiTheme="majorBidi" w:hAnsiTheme="majorBidi" w:cstheme="majorBidi"/>
          <w:i/>
          <w:iCs/>
        </w:rPr>
        <w:t>United Nations E-Government Survey 2024: Accelerating Digital Transformation for Sustainable Development</w:t>
      </w:r>
      <w:r w:rsidRPr="00E453AA">
        <w:rPr>
          <w:rFonts w:asciiTheme="majorBidi" w:hAnsiTheme="majorBidi" w:cstheme="majorBidi"/>
        </w:rPr>
        <w:t>. United Nations Department of Economic and Social Affairs.</w:t>
      </w:r>
    </w:p>
    <w:p w14:paraId="7BF2285F"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Van de Walle, S., &amp; Bouckaert, G. (2003). Public service performance and trust in government: The problem of causality. </w:t>
      </w:r>
      <w:r w:rsidRPr="00E453AA">
        <w:rPr>
          <w:rFonts w:asciiTheme="majorBidi" w:hAnsiTheme="majorBidi" w:cstheme="majorBidi"/>
          <w:i/>
          <w:iCs/>
        </w:rPr>
        <w:t>International Journal of Public Administration, 26</w:t>
      </w:r>
      <w:r w:rsidRPr="00E453AA">
        <w:rPr>
          <w:rFonts w:asciiTheme="majorBidi" w:hAnsiTheme="majorBidi" w:cstheme="majorBidi"/>
        </w:rPr>
        <w:t xml:space="preserve">(8–9), 891–913. </w:t>
      </w:r>
      <w:hyperlink r:id="rId18" w:tgtFrame="_new" w:history="1">
        <w:r w:rsidRPr="00E453AA">
          <w:rPr>
            <w:rStyle w:val="Hyperlink"/>
            <w:rFonts w:asciiTheme="majorBidi" w:hAnsiTheme="majorBidi" w:cstheme="majorBidi"/>
          </w:rPr>
          <w:t>https://doi.org/10.1081/PAD-120019352</w:t>
        </w:r>
      </w:hyperlink>
    </w:p>
    <w:p w14:paraId="1403B728"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Wang, Y., Hao, H., &amp; Platt, L. (2023). Examining risk and crisis communication during public health emergencies: Digital communication and public trust. </w:t>
      </w:r>
      <w:r w:rsidRPr="00E453AA">
        <w:rPr>
          <w:rFonts w:asciiTheme="majorBidi" w:hAnsiTheme="majorBidi" w:cstheme="majorBidi"/>
          <w:i/>
          <w:iCs/>
        </w:rPr>
        <w:t>Journal of Contingencies and Crisis Management.</w:t>
      </w:r>
    </w:p>
    <w:p w14:paraId="6D9629B5"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Wang, Z., Liu, H., Li, T., Zhou, L., &amp; Zhou, M. (2023). The impact of internet use on citizens’ trust in government: The mediating role of sense of security. </w:t>
      </w:r>
      <w:r w:rsidRPr="00E453AA">
        <w:rPr>
          <w:rFonts w:asciiTheme="majorBidi" w:hAnsiTheme="majorBidi" w:cstheme="majorBidi"/>
          <w:i/>
          <w:iCs/>
        </w:rPr>
        <w:t>Systems, 11</w:t>
      </w:r>
      <w:r w:rsidRPr="00E453AA">
        <w:rPr>
          <w:rFonts w:asciiTheme="majorBidi" w:hAnsiTheme="majorBidi" w:cstheme="majorBidi"/>
        </w:rPr>
        <w:t xml:space="preserve">(1), 47. </w:t>
      </w:r>
      <w:hyperlink r:id="rId19" w:tgtFrame="_new" w:history="1">
        <w:r w:rsidRPr="00E453AA">
          <w:rPr>
            <w:rStyle w:val="Hyperlink"/>
            <w:rFonts w:asciiTheme="majorBidi" w:hAnsiTheme="majorBidi" w:cstheme="majorBidi"/>
          </w:rPr>
          <w:t>https://doi.org/10.3390/systems11010047</w:t>
        </w:r>
      </w:hyperlink>
    </w:p>
    <w:p w14:paraId="34CAFD17" w14:textId="77777777" w:rsidR="005F61AA" w:rsidRPr="00E453AA" w:rsidRDefault="005F61AA" w:rsidP="005F61AA">
      <w:pPr>
        <w:jc w:val="both"/>
        <w:rPr>
          <w:rFonts w:asciiTheme="majorBidi" w:hAnsiTheme="majorBidi" w:cstheme="majorBidi"/>
        </w:rPr>
      </w:pPr>
      <w:r w:rsidRPr="00E453AA">
        <w:rPr>
          <w:rFonts w:asciiTheme="majorBidi" w:hAnsiTheme="majorBidi" w:cstheme="majorBidi"/>
        </w:rPr>
        <w:t xml:space="preserve">Wardle, C., &amp; Derakhshan, H. (2017). </w:t>
      </w:r>
      <w:r w:rsidRPr="00E453AA">
        <w:rPr>
          <w:rFonts w:asciiTheme="majorBidi" w:hAnsiTheme="majorBidi" w:cstheme="majorBidi"/>
          <w:i/>
          <w:iCs/>
        </w:rPr>
        <w:t>Information Disorder: Toward an Interdisciplinary Framework for Research and Policy Making</w:t>
      </w:r>
      <w:r w:rsidRPr="00E453AA">
        <w:rPr>
          <w:rFonts w:asciiTheme="majorBidi" w:hAnsiTheme="majorBidi" w:cstheme="majorBidi"/>
        </w:rPr>
        <w:t>. Council of Europe.</w:t>
      </w:r>
    </w:p>
    <w:p w14:paraId="6A5C2A67" w14:textId="77777777" w:rsidR="005F61AA" w:rsidRDefault="005F61AA" w:rsidP="005F61AA">
      <w:pPr>
        <w:jc w:val="both"/>
      </w:pPr>
    </w:p>
    <w:p w14:paraId="7CB68920" w14:textId="77777777" w:rsidR="00EA6293" w:rsidRDefault="00EA6293" w:rsidP="005F61AA">
      <w:pPr>
        <w:jc w:val="both"/>
      </w:pPr>
    </w:p>
    <w:p w14:paraId="77508862" w14:textId="77777777" w:rsidR="00EA6293" w:rsidRDefault="00EA6293" w:rsidP="005F61AA">
      <w:pPr>
        <w:jc w:val="both"/>
      </w:pPr>
    </w:p>
    <w:p w14:paraId="0A085774" w14:textId="77777777" w:rsidR="00C62E53" w:rsidRPr="00CA76ED" w:rsidRDefault="00C62E53">
      <w:pPr>
        <w:rPr>
          <w:rFonts w:asciiTheme="majorBidi" w:hAnsiTheme="majorBidi" w:cstheme="majorBidi"/>
        </w:rPr>
      </w:pPr>
    </w:p>
    <w:sectPr w:rsidR="00C62E53" w:rsidRPr="00CA76ED">
      <w:headerReference w:type="default" r:id="rId20"/>
      <w:footerReference w:type="defaul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964B" w14:textId="77777777" w:rsidR="000956CE" w:rsidRDefault="000956CE" w:rsidP="00D020E6">
      <w:pPr>
        <w:spacing w:after="0" w:line="240" w:lineRule="auto"/>
      </w:pPr>
      <w:r>
        <w:separator/>
      </w:r>
    </w:p>
  </w:endnote>
  <w:endnote w:type="continuationSeparator" w:id="0">
    <w:p w14:paraId="3BEDB4C8" w14:textId="77777777" w:rsidR="000956CE" w:rsidRDefault="000956CE" w:rsidP="00D020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5272909"/>
      <w:docPartObj>
        <w:docPartGallery w:val="Page Numbers (Bottom of Page)"/>
        <w:docPartUnique/>
      </w:docPartObj>
    </w:sdtPr>
    <w:sdtEndPr>
      <w:rPr>
        <w:noProof/>
      </w:rPr>
    </w:sdtEndPr>
    <w:sdtContent>
      <w:p w14:paraId="0F65BB29" w14:textId="54CA2888" w:rsidR="00D020E6" w:rsidRDefault="007350F2" w:rsidP="007350F2">
        <w:pPr>
          <w:pStyle w:val="Footer"/>
          <w:tabs>
            <w:tab w:val="left" w:pos="1140"/>
          </w:tabs>
        </w:pPr>
        <w:r>
          <w:tab/>
        </w:r>
        <w:r>
          <w:tab/>
        </w:r>
        <w:r w:rsidR="00D020E6">
          <w:fldChar w:fldCharType="begin"/>
        </w:r>
        <w:r w:rsidR="00D020E6">
          <w:instrText xml:space="preserve"> PAGE   \* MERGEFORMAT </w:instrText>
        </w:r>
        <w:r w:rsidR="00D020E6">
          <w:fldChar w:fldCharType="separate"/>
        </w:r>
        <w:r w:rsidR="00D020E6">
          <w:rPr>
            <w:noProof/>
          </w:rPr>
          <w:t>2</w:t>
        </w:r>
        <w:r w:rsidR="00D020E6">
          <w:rPr>
            <w:noProof/>
          </w:rPr>
          <w:fldChar w:fldCharType="end"/>
        </w:r>
      </w:p>
    </w:sdtContent>
  </w:sdt>
  <w:p w14:paraId="684589D7" w14:textId="77777777" w:rsidR="00D020E6" w:rsidRDefault="00D020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A4C26D" w14:textId="77777777" w:rsidR="000956CE" w:rsidRDefault="000956CE" w:rsidP="00D020E6">
      <w:pPr>
        <w:spacing w:after="0" w:line="240" w:lineRule="auto"/>
      </w:pPr>
      <w:r>
        <w:separator/>
      </w:r>
    </w:p>
  </w:footnote>
  <w:footnote w:type="continuationSeparator" w:id="0">
    <w:p w14:paraId="6D754F3F" w14:textId="77777777" w:rsidR="000956CE" w:rsidRDefault="000956CE" w:rsidP="00D020E6">
      <w:pPr>
        <w:spacing w:after="0" w:line="240" w:lineRule="auto"/>
      </w:pPr>
      <w:r>
        <w:continuationSeparator/>
      </w:r>
    </w:p>
  </w:footnote>
  <w:footnote w:id="1">
    <w:p w14:paraId="4425FC8A" w14:textId="57E40575" w:rsidR="00C934E5" w:rsidRDefault="00C934E5" w:rsidP="00C934E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900201"/>
      <w:docPartObj>
        <w:docPartGallery w:val="Page Numbers (Top of Page)"/>
        <w:docPartUnique/>
      </w:docPartObj>
    </w:sdtPr>
    <w:sdtEndPr>
      <w:rPr>
        <w:noProof/>
      </w:rPr>
    </w:sdtEndPr>
    <w:sdtContent>
      <w:p w14:paraId="4EA7E52A" w14:textId="4F0D4A8A" w:rsidR="00E4663E" w:rsidRDefault="00E4663E">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CB2638B" w14:textId="77777777" w:rsidR="00E4663E" w:rsidRDefault="00E466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C2BF0"/>
    <w:multiLevelType w:val="multilevel"/>
    <w:tmpl w:val="812E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F43C53"/>
    <w:multiLevelType w:val="multilevel"/>
    <w:tmpl w:val="EC46D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C329A4"/>
    <w:multiLevelType w:val="multilevel"/>
    <w:tmpl w:val="4AD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4936A1"/>
    <w:multiLevelType w:val="multilevel"/>
    <w:tmpl w:val="0C14E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7F2C67"/>
    <w:multiLevelType w:val="multilevel"/>
    <w:tmpl w:val="58422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2B44D7"/>
    <w:multiLevelType w:val="multilevel"/>
    <w:tmpl w:val="4120B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4D5584"/>
    <w:multiLevelType w:val="multilevel"/>
    <w:tmpl w:val="E09A0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C60CE0"/>
    <w:multiLevelType w:val="multilevel"/>
    <w:tmpl w:val="316EC3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386728"/>
    <w:multiLevelType w:val="multilevel"/>
    <w:tmpl w:val="8D4C1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3D64FD"/>
    <w:multiLevelType w:val="multilevel"/>
    <w:tmpl w:val="06FC6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462D4A"/>
    <w:multiLevelType w:val="multilevel"/>
    <w:tmpl w:val="64B4B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177D89"/>
    <w:multiLevelType w:val="multilevel"/>
    <w:tmpl w:val="7DA6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68E3ABE"/>
    <w:multiLevelType w:val="multilevel"/>
    <w:tmpl w:val="A188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E366A2"/>
    <w:multiLevelType w:val="multilevel"/>
    <w:tmpl w:val="3934E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D05CF9"/>
    <w:multiLevelType w:val="multilevel"/>
    <w:tmpl w:val="30F0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2D080D"/>
    <w:multiLevelType w:val="multilevel"/>
    <w:tmpl w:val="0C463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8531C7"/>
    <w:multiLevelType w:val="multilevel"/>
    <w:tmpl w:val="BB9CF0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736837"/>
    <w:multiLevelType w:val="multilevel"/>
    <w:tmpl w:val="BCCA1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53F4AF3"/>
    <w:multiLevelType w:val="hybridMultilevel"/>
    <w:tmpl w:val="CC2A20B6"/>
    <w:lvl w:ilvl="0" w:tplc="C4543B7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85803222">
    <w:abstractNumId w:val="12"/>
  </w:num>
  <w:num w:numId="2" w16cid:durableId="2078747044">
    <w:abstractNumId w:val="16"/>
  </w:num>
  <w:num w:numId="3" w16cid:durableId="1125543428">
    <w:abstractNumId w:val="5"/>
  </w:num>
  <w:num w:numId="4" w16cid:durableId="1060132562">
    <w:abstractNumId w:val="10"/>
  </w:num>
  <w:num w:numId="5" w16cid:durableId="863597640">
    <w:abstractNumId w:val="3"/>
  </w:num>
  <w:num w:numId="6" w16cid:durableId="946081850">
    <w:abstractNumId w:val="13"/>
  </w:num>
  <w:num w:numId="7" w16cid:durableId="1586260160">
    <w:abstractNumId w:val="7"/>
  </w:num>
  <w:num w:numId="8" w16cid:durableId="778598864">
    <w:abstractNumId w:val="18"/>
  </w:num>
  <w:num w:numId="9" w16cid:durableId="1434469796">
    <w:abstractNumId w:val="6"/>
  </w:num>
  <w:num w:numId="10" w16cid:durableId="1893883506">
    <w:abstractNumId w:val="15"/>
  </w:num>
  <w:num w:numId="11" w16cid:durableId="1196387575">
    <w:abstractNumId w:val="1"/>
  </w:num>
  <w:num w:numId="12" w16cid:durableId="526256253">
    <w:abstractNumId w:val="0"/>
  </w:num>
  <w:num w:numId="13" w16cid:durableId="1230111824">
    <w:abstractNumId w:val="4"/>
  </w:num>
  <w:num w:numId="14" w16cid:durableId="1031304133">
    <w:abstractNumId w:val="9"/>
  </w:num>
  <w:num w:numId="15" w16cid:durableId="786898626">
    <w:abstractNumId w:val="8"/>
  </w:num>
  <w:num w:numId="16" w16cid:durableId="1858471006">
    <w:abstractNumId w:val="17"/>
  </w:num>
  <w:num w:numId="17" w16cid:durableId="512258368">
    <w:abstractNumId w:val="14"/>
  </w:num>
  <w:num w:numId="18" w16cid:durableId="1247692426">
    <w:abstractNumId w:val="11"/>
  </w:num>
  <w:num w:numId="19" w16cid:durableId="4380698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CB4"/>
    <w:rsid w:val="00072B3F"/>
    <w:rsid w:val="00074521"/>
    <w:rsid w:val="000956CE"/>
    <w:rsid w:val="000E0C11"/>
    <w:rsid w:val="000E1D58"/>
    <w:rsid w:val="00101AEE"/>
    <w:rsid w:val="00126CB4"/>
    <w:rsid w:val="00233BB5"/>
    <w:rsid w:val="00281A16"/>
    <w:rsid w:val="00295642"/>
    <w:rsid w:val="002C60D8"/>
    <w:rsid w:val="00313F53"/>
    <w:rsid w:val="00337BAB"/>
    <w:rsid w:val="003B13C8"/>
    <w:rsid w:val="003C2118"/>
    <w:rsid w:val="00420A62"/>
    <w:rsid w:val="00426AB8"/>
    <w:rsid w:val="00476F3A"/>
    <w:rsid w:val="00567B4F"/>
    <w:rsid w:val="00594E45"/>
    <w:rsid w:val="005D67D4"/>
    <w:rsid w:val="005F61AA"/>
    <w:rsid w:val="0062003F"/>
    <w:rsid w:val="0067505C"/>
    <w:rsid w:val="006769C7"/>
    <w:rsid w:val="006B0FEE"/>
    <w:rsid w:val="006C62F6"/>
    <w:rsid w:val="006F7063"/>
    <w:rsid w:val="007350F2"/>
    <w:rsid w:val="007366A8"/>
    <w:rsid w:val="00790D36"/>
    <w:rsid w:val="007E058B"/>
    <w:rsid w:val="007E512B"/>
    <w:rsid w:val="0087122C"/>
    <w:rsid w:val="008D6B3A"/>
    <w:rsid w:val="008F1230"/>
    <w:rsid w:val="0096025A"/>
    <w:rsid w:val="00991E7D"/>
    <w:rsid w:val="009E6E0A"/>
    <w:rsid w:val="00A4209C"/>
    <w:rsid w:val="00A53A37"/>
    <w:rsid w:val="00AE4EC6"/>
    <w:rsid w:val="00AE7E54"/>
    <w:rsid w:val="00B34A58"/>
    <w:rsid w:val="00B411DF"/>
    <w:rsid w:val="00B60B86"/>
    <w:rsid w:val="00BD5701"/>
    <w:rsid w:val="00C46237"/>
    <w:rsid w:val="00C55D26"/>
    <w:rsid w:val="00C57BA0"/>
    <w:rsid w:val="00C62E53"/>
    <w:rsid w:val="00C934E5"/>
    <w:rsid w:val="00CA76ED"/>
    <w:rsid w:val="00CD680B"/>
    <w:rsid w:val="00D020E6"/>
    <w:rsid w:val="00DA414A"/>
    <w:rsid w:val="00DB218F"/>
    <w:rsid w:val="00E0064B"/>
    <w:rsid w:val="00E453AA"/>
    <w:rsid w:val="00E4663E"/>
    <w:rsid w:val="00E75AB2"/>
    <w:rsid w:val="00E956BA"/>
    <w:rsid w:val="00EA6293"/>
    <w:rsid w:val="00EB0EFF"/>
    <w:rsid w:val="00EE1B5B"/>
    <w:rsid w:val="00EF560D"/>
    <w:rsid w:val="00F06F8C"/>
    <w:rsid w:val="00F11288"/>
    <w:rsid w:val="00FA3FE5"/>
    <w:rsid w:val="00FA7EEC"/>
    <w:rsid w:val="00FB2E18"/>
    <w:rsid w:val="00FF33EA"/>
    <w:rsid w:val="00FF6A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5312"/>
  <w15:chartTrackingRefBased/>
  <w15:docId w15:val="{F014C88D-358B-43B5-9EA9-6619231A8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6C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6C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26C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6C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6C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6C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6C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6C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6C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6C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6C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26C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6C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6C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6C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6C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6C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6CB4"/>
    <w:rPr>
      <w:rFonts w:eastAsiaTheme="majorEastAsia" w:cstheme="majorBidi"/>
      <w:color w:val="272727" w:themeColor="text1" w:themeTint="D8"/>
    </w:rPr>
  </w:style>
  <w:style w:type="paragraph" w:styleId="Title">
    <w:name w:val="Title"/>
    <w:basedOn w:val="Normal"/>
    <w:next w:val="Normal"/>
    <w:link w:val="TitleChar"/>
    <w:uiPriority w:val="10"/>
    <w:qFormat/>
    <w:rsid w:val="00126C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6C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6C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6C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6CB4"/>
    <w:pPr>
      <w:spacing w:before="160"/>
      <w:jc w:val="center"/>
    </w:pPr>
    <w:rPr>
      <w:i/>
      <w:iCs/>
      <w:color w:val="404040" w:themeColor="text1" w:themeTint="BF"/>
    </w:rPr>
  </w:style>
  <w:style w:type="character" w:customStyle="1" w:styleId="QuoteChar">
    <w:name w:val="Quote Char"/>
    <w:basedOn w:val="DefaultParagraphFont"/>
    <w:link w:val="Quote"/>
    <w:uiPriority w:val="29"/>
    <w:rsid w:val="00126CB4"/>
    <w:rPr>
      <w:i/>
      <w:iCs/>
      <w:color w:val="404040" w:themeColor="text1" w:themeTint="BF"/>
    </w:rPr>
  </w:style>
  <w:style w:type="paragraph" w:styleId="ListParagraph">
    <w:name w:val="List Paragraph"/>
    <w:basedOn w:val="Normal"/>
    <w:uiPriority w:val="34"/>
    <w:qFormat/>
    <w:rsid w:val="00126CB4"/>
    <w:pPr>
      <w:ind w:left="720"/>
      <w:contextualSpacing/>
    </w:pPr>
  </w:style>
  <w:style w:type="character" w:styleId="IntenseEmphasis">
    <w:name w:val="Intense Emphasis"/>
    <w:basedOn w:val="DefaultParagraphFont"/>
    <w:uiPriority w:val="21"/>
    <w:qFormat/>
    <w:rsid w:val="00126CB4"/>
    <w:rPr>
      <w:i/>
      <w:iCs/>
      <w:color w:val="0F4761" w:themeColor="accent1" w:themeShade="BF"/>
    </w:rPr>
  </w:style>
  <w:style w:type="paragraph" w:styleId="IntenseQuote">
    <w:name w:val="Intense Quote"/>
    <w:basedOn w:val="Normal"/>
    <w:next w:val="Normal"/>
    <w:link w:val="IntenseQuoteChar"/>
    <w:uiPriority w:val="30"/>
    <w:qFormat/>
    <w:rsid w:val="00126C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6CB4"/>
    <w:rPr>
      <w:i/>
      <w:iCs/>
      <w:color w:val="0F4761" w:themeColor="accent1" w:themeShade="BF"/>
    </w:rPr>
  </w:style>
  <w:style w:type="character" w:styleId="IntenseReference">
    <w:name w:val="Intense Reference"/>
    <w:basedOn w:val="DefaultParagraphFont"/>
    <w:uiPriority w:val="32"/>
    <w:qFormat/>
    <w:rsid w:val="00126CB4"/>
    <w:rPr>
      <w:b/>
      <w:bCs/>
      <w:smallCaps/>
      <w:color w:val="0F4761" w:themeColor="accent1" w:themeShade="BF"/>
      <w:spacing w:val="5"/>
    </w:rPr>
  </w:style>
  <w:style w:type="paragraph" w:styleId="Header">
    <w:name w:val="header"/>
    <w:basedOn w:val="Normal"/>
    <w:link w:val="HeaderChar"/>
    <w:uiPriority w:val="99"/>
    <w:unhideWhenUsed/>
    <w:rsid w:val="00D020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0E6"/>
  </w:style>
  <w:style w:type="paragraph" w:styleId="Footer">
    <w:name w:val="footer"/>
    <w:basedOn w:val="Normal"/>
    <w:link w:val="FooterChar"/>
    <w:uiPriority w:val="99"/>
    <w:unhideWhenUsed/>
    <w:rsid w:val="00D020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0E6"/>
  </w:style>
  <w:style w:type="paragraph" w:styleId="NormalWeb">
    <w:name w:val="Normal (Web)"/>
    <w:basedOn w:val="Normal"/>
    <w:uiPriority w:val="99"/>
    <w:unhideWhenUsed/>
    <w:rsid w:val="00D020E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020E6"/>
    <w:rPr>
      <w:b/>
      <w:bCs/>
    </w:rPr>
  </w:style>
  <w:style w:type="character" w:styleId="Hyperlink">
    <w:name w:val="Hyperlink"/>
    <w:basedOn w:val="DefaultParagraphFont"/>
    <w:uiPriority w:val="99"/>
    <w:unhideWhenUsed/>
    <w:rsid w:val="00D020E6"/>
    <w:rPr>
      <w:color w:val="467886" w:themeColor="hyperlink"/>
      <w:u w:val="single"/>
    </w:rPr>
  </w:style>
  <w:style w:type="character" w:styleId="UnresolvedMention">
    <w:name w:val="Unresolved Mention"/>
    <w:basedOn w:val="DefaultParagraphFont"/>
    <w:uiPriority w:val="99"/>
    <w:semiHidden/>
    <w:unhideWhenUsed/>
    <w:rsid w:val="00D020E6"/>
    <w:rPr>
      <w:color w:val="605E5C"/>
      <w:shd w:val="clear" w:color="auto" w:fill="E1DFDD"/>
    </w:rPr>
  </w:style>
  <w:style w:type="paragraph" w:styleId="FootnoteText">
    <w:name w:val="footnote text"/>
    <w:basedOn w:val="Normal"/>
    <w:link w:val="FootnoteTextChar"/>
    <w:uiPriority w:val="99"/>
    <w:unhideWhenUsed/>
    <w:rsid w:val="00EA6293"/>
    <w:pPr>
      <w:spacing w:after="0" w:line="240" w:lineRule="auto"/>
    </w:pPr>
    <w:rPr>
      <w:sz w:val="20"/>
      <w:szCs w:val="20"/>
    </w:rPr>
  </w:style>
  <w:style w:type="character" w:customStyle="1" w:styleId="FootnoteTextChar">
    <w:name w:val="Footnote Text Char"/>
    <w:basedOn w:val="DefaultParagraphFont"/>
    <w:link w:val="FootnoteText"/>
    <w:uiPriority w:val="99"/>
    <w:rsid w:val="00EA6293"/>
    <w:rPr>
      <w:sz w:val="20"/>
      <w:szCs w:val="20"/>
    </w:rPr>
  </w:style>
  <w:style w:type="character" w:styleId="FootnoteReference">
    <w:name w:val="footnote reference"/>
    <w:basedOn w:val="DefaultParagraphFont"/>
    <w:uiPriority w:val="99"/>
    <w:semiHidden/>
    <w:unhideWhenUsed/>
    <w:rsid w:val="00EA62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giq.2013.06.002" TargetMode="External"/><Relationship Id="rId13" Type="http://schemas.openxmlformats.org/officeDocument/2006/relationships/hyperlink" Target="https://doi.org/10.1016/j.giq.2015.07.001" TargetMode="External"/><Relationship Id="rId18" Type="http://schemas.openxmlformats.org/officeDocument/2006/relationships/hyperlink" Target="https://doi.org/10.1081/PAD-120019352"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doi.org/10.1111/puar.12047" TargetMode="External"/><Relationship Id="rId17" Type="http://schemas.openxmlformats.org/officeDocument/2006/relationships/hyperlink" Target="https://doi.org/10.1016/j.giq.2019.01.001" TargetMode="External"/><Relationship Id="rId2" Type="http://schemas.openxmlformats.org/officeDocument/2006/relationships/numbering" Target="numbering.xml"/><Relationship Id="rId16" Type="http://schemas.openxmlformats.org/officeDocument/2006/relationships/hyperlink" Target="https://doi.org/10.1111/j.1540-6210.2006.00594.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93/jopart/mus048" TargetMode="External"/><Relationship Id="rId5" Type="http://schemas.openxmlformats.org/officeDocument/2006/relationships/webSettings" Target="webSettings.xml"/><Relationship Id="rId15" Type="http://schemas.openxmlformats.org/officeDocument/2006/relationships/hyperlink" Target="https://doi.org/10.1016/j.giq.2008.04.002" TargetMode="External"/><Relationship Id="rId23" Type="http://schemas.openxmlformats.org/officeDocument/2006/relationships/theme" Target="theme/theme1.xml"/><Relationship Id="rId10" Type="http://schemas.openxmlformats.org/officeDocument/2006/relationships/hyperlink" Target="https://doi.org/10.1002/9781118541555.wbiepc190" TargetMode="External"/><Relationship Id="rId19" Type="http://schemas.openxmlformats.org/officeDocument/2006/relationships/hyperlink" Target="https://doi.org/10.3390/systems11010047" TargetMode="External"/><Relationship Id="rId4" Type="http://schemas.openxmlformats.org/officeDocument/2006/relationships/settings" Target="settings.xml"/><Relationship Id="rId9" Type="http://schemas.openxmlformats.org/officeDocument/2006/relationships/hyperlink" Target="https://doi.org/10.1016/j.giq.2011.04.004" TargetMode="External"/><Relationship Id="rId14" Type="http://schemas.openxmlformats.org/officeDocument/2006/relationships/hyperlink" Target="https://doi.org/10.1016/j.giq.2019.06.002"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DF63C-5356-4F75-90C7-84D7E03A4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14596</Words>
  <Characters>83199</Characters>
  <Application>Microsoft Office Word</Application>
  <DocSecurity>0</DocSecurity>
  <Lines>693</Lines>
  <Paragraphs>195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Wided Dafri</dc:creator>
  <cp:keywords/>
  <dc:description/>
  <cp:lastModifiedBy>H Y</cp:lastModifiedBy>
  <cp:revision>4</cp:revision>
  <dcterms:created xsi:type="dcterms:W3CDTF">2026-09-15T10:12:00Z</dcterms:created>
  <dcterms:modified xsi:type="dcterms:W3CDTF">2026-09-19T18:07:00Z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3d7eded-5fbb-4e74-baac-4decc5b8fd35_Enabled">
    <vt:lpwstr>true</vt:lpwstr>
  </property>
  <property fmtid="{D5CDD505-2E9C-101B-9397-08002B2CF9AE}" pid="3" name="MSIP_Label_d3d7eded-5fbb-4e74-baac-4decc5b8fd35_SetDate">
    <vt:lpwstr>2026-08-16T16:32:19Z</vt:lpwstr>
  </property>
  <property fmtid="{D5CDD505-2E9C-101B-9397-08002B2CF9AE}" pid="4" name="MSIP_Label_d3d7eded-5fbb-4e74-baac-4decc5b8fd35_Method">
    <vt:lpwstr>Standard</vt:lpwstr>
  </property>
  <property fmtid="{D5CDD505-2E9C-101B-9397-08002B2CF9AE}" pid="5" name="MSIP_Label_d3d7eded-5fbb-4e74-baac-4decc5b8fd35_Name">
    <vt:lpwstr>Liwa Label</vt:lpwstr>
  </property>
  <property fmtid="{D5CDD505-2E9C-101B-9397-08002B2CF9AE}" pid="6" name="MSIP_Label_d3d7eded-5fbb-4e74-baac-4decc5b8fd35_SiteId">
    <vt:lpwstr>83c04ed0-6d35-44e6-84ff-3ee7129a9c48</vt:lpwstr>
  </property>
  <property fmtid="{D5CDD505-2E9C-101B-9397-08002B2CF9AE}" pid="7" name="MSIP_Label_d3d7eded-5fbb-4e74-baac-4decc5b8fd35_ActionId">
    <vt:lpwstr>9f6428bb-4e19-4db0-a3eb-29788bf4fcc3</vt:lpwstr>
  </property>
  <property fmtid="{D5CDD505-2E9C-101B-9397-08002B2CF9AE}" pid="8" name="MSIP_Label_d3d7eded-5fbb-4e74-baac-4decc5b8fd35_ContentBits">
    <vt:lpwstr>0</vt:lpwstr>
  </property>
  <property fmtid="{D5CDD505-2E9C-101B-9397-08002B2CF9AE}" pid="9" name="MSIP_Label_d3d7eded-5fbb-4e74-baac-4decc5b8fd35_Tag">
    <vt:lpwstr>10, 3, 0, 1</vt:lpwstr>
  </property>
  <property fmtid="{D5CDD505-2E9C-101B-9397-08002B2CF9AE}" pid="10" name="GrammarlyDocumentId">
    <vt:lpwstr>d05cbb72-1c80-400e-a0b2-605dc736da90</vt:lpwstr>
  </property>
</Properties>
</file>