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61038792"/>
        <w:docPartObj>
          <w:docPartGallery w:val="Cover Pages"/>
          <w:docPartUnique/>
        </w:docPartObj>
      </w:sdtPr>
      <w:sdtContent>
        <w:p w14:paraId="73457080" w14:textId="6692C93B" w:rsidR="009864A3" w:rsidRDefault="009864A3">
          <w:r>
            <w:rPr>
              <w:noProof/>
            </w:rPr>
            <mc:AlternateContent>
              <mc:Choice Requires="wpg">
                <w:drawing>
                  <wp:anchor distT="0" distB="0" distL="114300" distR="114300" simplePos="0" relativeHeight="251662336" behindDoc="0" locked="0" layoutInCell="1" allowOverlap="1" wp14:anchorId="49F9E525" wp14:editId="12D8A605">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EC35C7B" id="Group 157"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156082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7" o:title="" recolor="t" rotate="t" type="frame"/>
                    </v:rect>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5BC23596" wp14:editId="212B324F">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61"/>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14:paraId="570A257C" w14:textId="3E592C7A" w:rsidR="009864A3" w:rsidRDefault="009864A3">
                                    <w:pPr>
                                      <w:pStyle w:val="NoSpacing"/>
                                      <w:jc w:val="right"/>
                                      <w:rPr>
                                        <w:color w:val="595959" w:themeColor="text1" w:themeTint="A6"/>
                                        <w:sz w:val="20"/>
                                        <w:szCs w:val="20"/>
                                      </w:rPr>
                                    </w:pPr>
                                    <w:r>
                                      <w:rPr>
                                        <w:color w:val="595959"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5BC23596" id="_x0000_t202" coordsize="21600,21600" o:spt="202" path="m,l,21600r21600,l21600,xe">
                    <v:stroke joinstyle="miter"/>
                    <v:path gradientshapeok="t" o:connecttype="rect"/>
                  </v:shapetype>
                  <v:shape id="Text Box 161" o:spid="_x0000_s1026"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" filled="f" stroked="f" strokeweight=".5pt">
                    <v:textbox style="mso-fit-shape-to-text:t" inset="126pt,0,54pt,0">
                      <w:txbxContent>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14:paraId="570A257C" w14:textId="3E592C7A" w:rsidR="009864A3" w:rsidRDefault="009864A3">
                              <w:pPr>
                                <w:pStyle w:val="NoSpacing"/>
                                <w:jc w:val="right"/>
                                <w:rPr>
                                  <w:color w:val="595959" w:themeColor="text1" w:themeTint="A6"/>
                                  <w:sz w:val="20"/>
                                  <w:szCs w:val="20"/>
                                </w:rPr>
                              </w:pPr>
                              <w:r>
                                <w:rPr>
                                  <w:color w:val="595959" w:themeColor="text1" w:themeTint="A6"/>
                                  <w:sz w:val="20"/>
                                  <w:szCs w:val="20"/>
                                </w:rPr>
                                <w:t xml:space="preserve">     </w:t>
                              </w:r>
                            </w:p>
                          </w:sdtContent>
                        </w:sdt>
                      </w:txbxContent>
                    </v:textbox>
                    <w10:wrap type="square" anchorx="page" anchory="page"/>
                  </v:shape>
                </w:pict>
              </mc:Fallback>
            </mc:AlternateContent>
          </w:r>
        </w:p>
        <w:p w14:paraId="1960DE9D" w14:textId="283ED7FE" w:rsidR="009864A3" w:rsidRDefault="009864A3">
          <w:r>
            <w:rPr>
              <w:noProof/>
            </w:rPr>
            <mc:AlternateContent>
              <mc:Choice Requires="wps">
                <w:drawing>
                  <wp:anchor distT="0" distB="0" distL="114300" distR="114300" simplePos="0" relativeHeight="251659264" behindDoc="0" locked="0" layoutInCell="1" allowOverlap="1" wp14:anchorId="2F0ED804" wp14:editId="70F2F170">
                    <wp:simplePos x="0" y="0"/>
                    <wp:positionH relativeFrom="page">
                      <wp:align>left</wp:align>
                    </wp:positionH>
                    <wp:positionV relativeFrom="page">
                      <wp:posOffset>3070860</wp:posOffset>
                    </wp:positionV>
                    <wp:extent cx="6385560" cy="36385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638556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48C7AB" w14:textId="77777777" w:rsidR="009864A3" w:rsidRPr="009864A3" w:rsidRDefault="009864A3" w:rsidP="009864A3">
                                <w:pPr>
                                  <w:jc w:val="center"/>
                                  <w:rPr>
                                    <w:color w:val="156082" w:themeColor="accent1"/>
                                  </w:rPr>
                                </w:pPr>
                              </w:p>
                              <w:p w14:paraId="5C20B539" w14:textId="29FC605A" w:rsidR="009864A3" w:rsidRPr="009864A3" w:rsidRDefault="009864A3" w:rsidP="009864A3">
                                <w:pPr>
                                  <w:jc w:val="center"/>
                                  <w:rPr>
                                    <w:b/>
                                    <w:bCs/>
                                    <w:color w:val="156082" w:themeColor="accent1"/>
                                  </w:rPr>
                                </w:pPr>
                                <w:r>
                                  <w:rPr>
                                    <w:b/>
                                    <w:bCs/>
                                    <w:color w:val="156082" w:themeColor="accent1"/>
                                  </w:rPr>
                                  <w:t>Introduction</w:t>
                                </w:r>
                              </w:p>
                              <w:p w14:paraId="28BFF2FC" w14:textId="77777777" w:rsidR="009864A3" w:rsidRPr="009864A3" w:rsidRDefault="009864A3" w:rsidP="009864A3">
                                <w:pPr>
                                  <w:jc w:val="center"/>
                                  <w:rPr>
                                    <w:color w:val="156082" w:themeColor="accent1"/>
                                  </w:rPr>
                                </w:pPr>
                              </w:p>
                              <w:p w14:paraId="17EE7C4A" w14:textId="26C9FDBE" w:rsidR="009864A3" w:rsidRDefault="009864A3" w:rsidP="009864A3">
                                <w:pPr>
                                  <w:jc w:val="center"/>
                                  <w:rPr>
                                    <w:color w:val="156082" w:themeColor="accent1"/>
                                  </w:rPr>
                                </w:pPr>
                                <w:r w:rsidRPr="009864A3">
                                  <w:rPr>
                                    <w:color w:val="156082" w:themeColor="accent1"/>
                                  </w:rPr>
                                  <w:t>Understanding Transit Propensity in Miami-Dade County: An Analysis of Socioeconomic, Demographic, and Built Environment Factors Influencing Public Transit Us</w:t>
                                </w:r>
                                <w:r>
                                  <w:rPr>
                                    <w:color w:val="156082" w:themeColor="accent1"/>
                                  </w:rPr>
                                  <w:t>e</w:t>
                                </w:r>
                              </w:p>
                              <w:p w14:paraId="7147AFC4" w14:textId="77777777" w:rsidR="009864A3" w:rsidRDefault="009864A3" w:rsidP="009864A3">
                                <w:pPr>
                                  <w:jc w:val="center"/>
                                  <w:rPr>
                                    <w:color w:val="156082" w:themeColor="accent1"/>
                                  </w:rPr>
                                </w:pPr>
                              </w:p>
                              <w:p w14:paraId="3322D409" w14:textId="77777777" w:rsidR="009864A3" w:rsidRPr="009864A3" w:rsidRDefault="009864A3" w:rsidP="009864A3">
                                <w:pPr>
                                  <w:jc w:val="center"/>
                                  <w:rPr>
                                    <w:color w:val="156082" w:themeColor="accent1"/>
                                    <w:sz w:val="64"/>
                                    <w:szCs w:val="64"/>
                                  </w:rPr>
                                </w:pPr>
                              </w:p>
                              <w:p w14:paraId="5A2D3D1A" w14:textId="77777777" w:rsidR="009864A3" w:rsidRPr="009864A3" w:rsidRDefault="009864A3" w:rsidP="009864A3">
                                <w:pPr>
                                  <w:rPr>
                                    <w:color w:val="156082" w:themeColor="accent1"/>
                                    <w:sz w:val="64"/>
                                    <w:szCs w:val="64"/>
                                  </w:rPr>
                                </w:pPr>
                              </w:p>
                              <w:p w14:paraId="148DF480" w14:textId="77777777" w:rsidR="009864A3" w:rsidRPr="009864A3" w:rsidRDefault="009864A3" w:rsidP="009864A3">
                                <w:pPr>
                                  <w:rPr>
                                    <w:color w:val="156082" w:themeColor="accent1"/>
                                    <w:sz w:val="64"/>
                                    <w:szCs w:val="64"/>
                                  </w:rPr>
                                </w:pPr>
                              </w:p>
                              <w:p w14:paraId="24E9951D" w14:textId="77777777" w:rsidR="009864A3" w:rsidRPr="009864A3" w:rsidRDefault="009864A3" w:rsidP="009864A3">
                                <w:pPr>
                                  <w:rPr>
                                    <w:color w:val="156082" w:themeColor="accent1"/>
                                    <w:sz w:val="64"/>
                                    <w:szCs w:val="64"/>
                                  </w:rPr>
                                </w:pPr>
                              </w:p>
                              <w:p w14:paraId="300A3F5F" w14:textId="77777777" w:rsidR="009864A3" w:rsidRPr="009864A3" w:rsidRDefault="009864A3" w:rsidP="009864A3">
                                <w:pPr>
                                  <w:rPr>
                                    <w:color w:val="156082" w:themeColor="accent1"/>
                                    <w:sz w:val="64"/>
                                    <w:szCs w:val="64"/>
                                  </w:rPr>
                                </w:pPr>
                              </w:p>
                              <w:p w14:paraId="142DDE14" w14:textId="77777777" w:rsidR="009864A3" w:rsidRPr="009864A3" w:rsidRDefault="009864A3" w:rsidP="009864A3">
                                <w:pPr>
                                  <w:rPr>
                                    <w:color w:val="156082" w:themeColor="accent1"/>
                                    <w:sz w:val="64"/>
                                    <w:szCs w:val="64"/>
                                  </w:rPr>
                                </w:pPr>
                              </w:p>
                              <w:p w14:paraId="3EAD7271" w14:textId="77777777" w:rsidR="009864A3" w:rsidRPr="009864A3" w:rsidRDefault="009864A3" w:rsidP="009864A3">
                                <w:pPr>
                                  <w:rPr>
                                    <w:color w:val="156082" w:themeColor="accent1"/>
                                    <w:sz w:val="64"/>
                                    <w:szCs w:val="64"/>
                                  </w:rPr>
                                </w:pPr>
                              </w:p>
                              <w:p w14:paraId="1F0C3657" w14:textId="77777777" w:rsidR="009864A3" w:rsidRPr="009864A3" w:rsidRDefault="009864A3" w:rsidP="009864A3">
                                <w:pPr>
                                  <w:rPr>
                                    <w:color w:val="156082" w:themeColor="accent1"/>
                                    <w:sz w:val="64"/>
                                    <w:szCs w:val="64"/>
                                  </w:rPr>
                                </w:pPr>
                              </w:p>
                              <w:p w14:paraId="328D608D" w14:textId="77777777" w:rsidR="009864A3" w:rsidRPr="009864A3" w:rsidRDefault="009864A3" w:rsidP="009864A3">
                                <w:pPr>
                                  <w:rPr>
                                    <w:color w:val="156082" w:themeColor="accent1"/>
                                    <w:sz w:val="64"/>
                                    <w:szCs w:val="64"/>
                                  </w:rPr>
                                </w:pPr>
                              </w:p>
                              <w:p w14:paraId="74BDDCDB" w14:textId="77777777" w:rsidR="009864A3" w:rsidRPr="009864A3" w:rsidRDefault="009864A3" w:rsidP="009864A3">
                                <w:pPr>
                                  <w:rPr>
                                    <w:color w:val="156082" w:themeColor="accent1"/>
                                    <w:sz w:val="64"/>
                                    <w:szCs w:val="64"/>
                                  </w:rPr>
                                </w:pPr>
                              </w:p>
                              <w:p w14:paraId="32CEC362" w14:textId="77777777" w:rsidR="009864A3" w:rsidRPr="009864A3" w:rsidRDefault="009864A3" w:rsidP="009864A3">
                                <w:pPr>
                                  <w:rPr>
                                    <w:color w:val="156082" w:themeColor="accent1"/>
                                    <w:sz w:val="64"/>
                                    <w:szCs w:val="64"/>
                                  </w:rPr>
                                </w:pPr>
                              </w:p>
                              <w:p w14:paraId="412A49F6" w14:textId="77777777" w:rsidR="009864A3" w:rsidRPr="009864A3" w:rsidRDefault="009864A3" w:rsidP="009864A3">
                                <w:pPr>
                                  <w:rPr>
                                    <w:color w:val="156082" w:themeColor="accent1"/>
                                    <w:sz w:val="64"/>
                                    <w:szCs w:val="64"/>
                                  </w:rPr>
                                </w:pPr>
                              </w:p>
                              <w:p w14:paraId="0E644786" w14:textId="77777777" w:rsidR="009864A3" w:rsidRPr="009864A3" w:rsidRDefault="009864A3" w:rsidP="009864A3">
                                <w:pPr>
                                  <w:rPr>
                                    <w:color w:val="156082" w:themeColor="accent1"/>
                                    <w:sz w:val="64"/>
                                    <w:szCs w:val="64"/>
                                  </w:rPr>
                                </w:pPr>
                              </w:p>
                              <w:p w14:paraId="38189B66" w14:textId="77777777" w:rsidR="009864A3" w:rsidRPr="009864A3" w:rsidRDefault="009864A3" w:rsidP="009864A3">
                                <w:pPr>
                                  <w:rPr>
                                    <w:color w:val="156082" w:themeColor="accent1"/>
                                    <w:sz w:val="64"/>
                                    <w:szCs w:val="64"/>
                                  </w:rPr>
                                </w:pPr>
                              </w:p>
                              <w:p w14:paraId="230E68FB" w14:textId="77777777" w:rsidR="009864A3" w:rsidRPr="009864A3" w:rsidRDefault="009864A3" w:rsidP="009864A3">
                                <w:pPr>
                                  <w:rPr>
                                    <w:color w:val="156082" w:themeColor="accent1"/>
                                    <w:sz w:val="64"/>
                                    <w:szCs w:val="64"/>
                                  </w:rPr>
                                </w:pPr>
                              </w:p>
                              <w:p w14:paraId="7ADE1F40" w14:textId="77777777" w:rsidR="009864A3" w:rsidRPr="009864A3" w:rsidRDefault="009864A3" w:rsidP="009864A3">
                                <w:pPr>
                                  <w:rPr>
                                    <w:color w:val="156082" w:themeColor="accent1"/>
                                    <w:sz w:val="64"/>
                                    <w:szCs w:val="64"/>
                                  </w:rPr>
                                </w:pPr>
                              </w:p>
                              <w:p w14:paraId="3661D1B0" w14:textId="77777777" w:rsidR="009864A3" w:rsidRPr="009864A3" w:rsidRDefault="009864A3" w:rsidP="009864A3">
                                <w:pPr>
                                  <w:rPr>
                                    <w:color w:val="156082" w:themeColor="accent1"/>
                                    <w:sz w:val="64"/>
                                    <w:szCs w:val="64"/>
                                  </w:rPr>
                                </w:pPr>
                                <w:r w:rsidRPr="009864A3">
                                  <w:rPr>
                                    <w:color w:val="156082" w:themeColor="accent1"/>
                                    <w:sz w:val="64"/>
                                    <w:szCs w:val="64"/>
                                  </w:rPr>
                                  <w:t>Prepared by: Jessica J. Lopez</w:t>
                                </w:r>
                              </w:p>
                              <w:p w14:paraId="61B61517" w14:textId="77777777" w:rsidR="009864A3" w:rsidRPr="009864A3" w:rsidRDefault="009864A3" w:rsidP="009864A3">
                                <w:pPr>
                                  <w:rPr>
                                    <w:color w:val="156082" w:themeColor="accent1"/>
                                    <w:sz w:val="64"/>
                                    <w:szCs w:val="64"/>
                                  </w:rPr>
                                </w:pPr>
                                <w:r w:rsidRPr="009864A3">
                                  <w:rPr>
                                    <w:color w:val="156082" w:themeColor="accent1"/>
                                    <w:sz w:val="64"/>
                                    <w:szCs w:val="64"/>
                                  </w:rPr>
                                  <w:t>Submission Date: September 3, 2026</w:t>
                                </w:r>
                              </w:p>
                              <w:p w14:paraId="2154107D" w14:textId="77777777" w:rsidR="009864A3" w:rsidRPr="009864A3" w:rsidRDefault="009864A3" w:rsidP="009864A3">
                                <w:pPr>
                                  <w:rPr>
                                    <w:color w:val="156082" w:themeColor="accent1"/>
                                    <w:sz w:val="64"/>
                                    <w:szCs w:val="64"/>
                                  </w:rPr>
                                </w:pPr>
                                <w:r w:rsidRPr="009864A3">
                                  <w:rPr>
                                    <w:color w:val="156082" w:themeColor="accent1"/>
                                    <w:sz w:val="64"/>
                                    <w:szCs w:val="64"/>
                                  </w:rPr>
                                  <w:t>Proposed Project Period: August 22, 2026 – December 11,2026</w:t>
                                </w:r>
                              </w:p>
                              <w:p w14:paraId="31094BED" w14:textId="77777777" w:rsidR="009864A3" w:rsidRPr="009864A3" w:rsidRDefault="009864A3" w:rsidP="009864A3">
                                <w:pPr>
                                  <w:rPr>
                                    <w:color w:val="156082" w:themeColor="accent1"/>
                                    <w:sz w:val="64"/>
                                    <w:szCs w:val="64"/>
                                  </w:rPr>
                                </w:pPr>
                                <w:r w:rsidRPr="009864A3">
                                  <w:rPr>
                                    <w:color w:val="156082" w:themeColor="accent1"/>
                                    <w:sz w:val="64"/>
                                    <w:szCs w:val="64"/>
                                  </w:rPr>
                                  <w:t>Expected Graduation: December 12, 2026</w:t>
                                </w:r>
                              </w:p>
                              <w:p w14:paraId="10696B4D" w14:textId="44DC497A" w:rsidR="009864A3" w:rsidRDefault="009864A3" w:rsidP="009864A3">
                                <w:pPr>
                                  <w:rPr>
                                    <w:color w:val="156082" w:themeColor="accent1"/>
                                    <w:sz w:val="64"/>
                                    <w:szCs w:val="64"/>
                                  </w:rPr>
                                </w:pPr>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37462F68" w14:textId="2A19A3E0" w:rsidR="009864A3" w:rsidRDefault="009864A3">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2F0ED804" id="_x0000_t202" coordsize="21600,21600" o:spt="202" path="m,l,21600r21600,l21600,xe">
                    <v:stroke joinstyle="miter"/>
                    <v:path gradientshapeok="t" o:connecttype="rect"/>
                  </v:shapetype>
                  <v:shape id="Text Box 163" o:spid="_x0000_s1027" type="#_x0000_t202" style="position:absolute;margin-left:0;margin-top:241.8pt;width:502.8pt;height:286.5pt;z-index:251659264;visibility:visible;mso-wrap-style:square;mso-width-percent:0;mso-height-percent:363;mso-wrap-distance-left:9pt;mso-wrap-distance-top:0;mso-wrap-distance-right:9pt;mso-wrap-distance-bottom:0;mso-position-horizontal:left;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" filled="f" stroked="f" strokeweight=".5pt">
                    <v:textbox inset="126pt,0,54pt,0">
                      <w:txbxContent>
                        <w:p w14:paraId="2D48C7AB" w14:textId="77777777" w:rsidR="009864A3" w:rsidRPr="009864A3" w:rsidRDefault="009864A3" w:rsidP="009864A3">
                          <w:pPr>
                            <w:jc w:val="center"/>
                            <w:rPr>
                              <w:color w:val="156082" w:themeColor="accent1"/>
                            </w:rPr>
                          </w:pPr>
                        </w:p>
                        <w:p w14:paraId="5C20B539" w14:textId="29FC605A" w:rsidR="009864A3" w:rsidRPr="009864A3" w:rsidRDefault="009864A3" w:rsidP="009864A3">
                          <w:pPr>
                            <w:jc w:val="center"/>
                            <w:rPr>
                              <w:b/>
                              <w:bCs/>
                              <w:color w:val="156082" w:themeColor="accent1"/>
                            </w:rPr>
                          </w:pPr>
                          <w:r>
                            <w:rPr>
                              <w:b/>
                              <w:bCs/>
                              <w:color w:val="156082" w:themeColor="accent1"/>
                            </w:rPr>
                            <w:t>Introduction</w:t>
                          </w:r>
                        </w:p>
                        <w:p w14:paraId="28BFF2FC" w14:textId="77777777" w:rsidR="009864A3" w:rsidRPr="009864A3" w:rsidRDefault="009864A3" w:rsidP="009864A3">
                          <w:pPr>
                            <w:jc w:val="center"/>
                            <w:rPr>
                              <w:color w:val="156082" w:themeColor="accent1"/>
                            </w:rPr>
                          </w:pPr>
                        </w:p>
                        <w:p w14:paraId="17EE7C4A" w14:textId="26C9FDBE" w:rsidR="009864A3" w:rsidRDefault="009864A3" w:rsidP="009864A3">
                          <w:pPr>
                            <w:jc w:val="center"/>
                            <w:rPr>
                              <w:color w:val="156082" w:themeColor="accent1"/>
                            </w:rPr>
                          </w:pPr>
                          <w:r w:rsidRPr="009864A3">
                            <w:rPr>
                              <w:color w:val="156082" w:themeColor="accent1"/>
                            </w:rPr>
                            <w:t>Understanding Transit Propensity in Miami-Dade County: An Analysis of Socioeconomic, Demographic, and Built Environment Factors Influencing Public Transit Us</w:t>
                          </w:r>
                          <w:r>
                            <w:rPr>
                              <w:color w:val="156082" w:themeColor="accent1"/>
                            </w:rPr>
                            <w:t>e</w:t>
                          </w:r>
                        </w:p>
                        <w:p w14:paraId="7147AFC4" w14:textId="77777777" w:rsidR="009864A3" w:rsidRDefault="009864A3" w:rsidP="009864A3">
                          <w:pPr>
                            <w:jc w:val="center"/>
                            <w:rPr>
                              <w:color w:val="156082" w:themeColor="accent1"/>
                            </w:rPr>
                          </w:pPr>
                        </w:p>
                        <w:p w14:paraId="3322D409" w14:textId="77777777" w:rsidR="009864A3" w:rsidRPr="009864A3" w:rsidRDefault="009864A3" w:rsidP="009864A3">
                          <w:pPr>
                            <w:jc w:val="center"/>
                            <w:rPr>
                              <w:color w:val="156082" w:themeColor="accent1"/>
                              <w:sz w:val="64"/>
                              <w:szCs w:val="64"/>
                            </w:rPr>
                          </w:pPr>
                        </w:p>
                        <w:p w14:paraId="5A2D3D1A" w14:textId="77777777" w:rsidR="009864A3" w:rsidRPr="009864A3" w:rsidRDefault="009864A3" w:rsidP="009864A3">
                          <w:pPr>
                            <w:rPr>
                              <w:color w:val="156082" w:themeColor="accent1"/>
                              <w:sz w:val="64"/>
                              <w:szCs w:val="64"/>
                            </w:rPr>
                          </w:pPr>
                        </w:p>
                        <w:p w14:paraId="148DF480" w14:textId="77777777" w:rsidR="009864A3" w:rsidRPr="009864A3" w:rsidRDefault="009864A3" w:rsidP="009864A3">
                          <w:pPr>
                            <w:rPr>
                              <w:color w:val="156082" w:themeColor="accent1"/>
                              <w:sz w:val="64"/>
                              <w:szCs w:val="64"/>
                            </w:rPr>
                          </w:pPr>
                        </w:p>
                        <w:p w14:paraId="24E9951D" w14:textId="77777777" w:rsidR="009864A3" w:rsidRPr="009864A3" w:rsidRDefault="009864A3" w:rsidP="009864A3">
                          <w:pPr>
                            <w:rPr>
                              <w:color w:val="156082" w:themeColor="accent1"/>
                              <w:sz w:val="64"/>
                              <w:szCs w:val="64"/>
                            </w:rPr>
                          </w:pPr>
                        </w:p>
                        <w:p w14:paraId="300A3F5F" w14:textId="77777777" w:rsidR="009864A3" w:rsidRPr="009864A3" w:rsidRDefault="009864A3" w:rsidP="009864A3">
                          <w:pPr>
                            <w:rPr>
                              <w:color w:val="156082" w:themeColor="accent1"/>
                              <w:sz w:val="64"/>
                              <w:szCs w:val="64"/>
                            </w:rPr>
                          </w:pPr>
                        </w:p>
                        <w:p w14:paraId="142DDE14" w14:textId="77777777" w:rsidR="009864A3" w:rsidRPr="009864A3" w:rsidRDefault="009864A3" w:rsidP="009864A3">
                          <w:pPr>
                            <w:rPr>
                              <w:color w:val="156082" w:themeColor="accent1"/>
                              <w:sz w:val="64"/>
                              <w:szCs w:val="64"/>
                            </w:rPr>
                          </w:pPr>
                        </w:p>
                        <w:p w14:paraId="3EAD7271" w14:textId="77777777" w:rsidR="009864A3" w:rsidRPr="009864A3" w:rsidRDefault="009864A3" w:rsidP="009864A3">
                          <w:pPr>
                            <w:rPr>
                              <w:color w:val="156082" w:themeColor="accent1"/>
                              <w:sz w:val="64"/>
                              <w:szCs w:val="64"/>
                            </w:rPr>
                          </w:pPr>
                        </w:p>
                        <w:p w14:paraId="1F0C3657" w14:textId="77777777" w:rsidR="009864A3" w:rsidRPr="009864A3" w:rsidRDefault="009864A3" w:rsidP="009864A3">
                          <w:pPr>
                            <w:rPr>
                              <w:color w:val="156082" w:themeColor="accent1"/>
                              <w:sz w:val="64"/>
                              <w:szCs w:val="64"/>
                            </w:rPr>
                          </w:pPr>
                        </w:p>
                        <w:p w14:paraId="328D608D" w14:textId="77777777" w:rsidR="009864A3" w:rsidRPr="009864A3" w:rsidRDefault="009864A3" w:rsidP="009864A3">
                          <w:pPr>
                            <w:rPr>
                              <w:color w:val="156082" w:themeColor="accent1"/>
                              <w:sz w:val="64"/>
                              <w:szCs w:val="64"/>
                            </w:rPr>
                          </w:pPr>
                        </w:p>
                        <w:p w14:paraId="74BDDCDB" w14:textId="77777777" w:rsidR="009864A3" w:rsidRPr="009864A3" w:rsidRDefault="009864A3" w:rsidP="009864A3">
                          <w:pPr>
                            <w:rPr>
                              <w:color w:val="156082" w:themeColor="accent1"/>
                              <w:sz w:val="64"/>
                              <w:szCs w:val="64"/>
                            </w:rPr>
                          </w:pPr>
                        </w:p>
                        <w:p w14:paraId="32CEC362" w14:textId="77777777" w:rsidR="009864A3" w:rsidRPr="009864A3" w:rsidRDefault="009864A3" w:rsidP="009864A3">
                          <w:pPr>
                            <w:rPr>
                              <w:color w:val="156082" w:themeColor="accent1"/>
                              <w:sz w:val="64"/>
                              <w:szCs w:val="64"/>
                            </w:rPr>
                          </w:pPr>
                        </w:p>
                        <w:p w14:paraId="412A49F6" w14:textId="77777777" w:rsidR="009864A3" w:rsidRPr="009864A3" w:rsidRDefault="009864A3" w:rsidP="009864A3">
                          <w:pPr>
                            <w:rPr>
                              <w:color w:val="156082" w:themeColor="accent1"/>
                              <w:sz w:val="64"/>
                              <w:szCs w:val="64"/>
                            </w:rPr>
                          </w:pPr>
                        </w:p>
                        <w:p w14:paraId="0E644786" w14:textId="77777777" w:rsidR="009864A3" w:rsidRPr="009864A3" w:rsidRDefault="009864A3" w:rsidP="009864A3">
                          <w:pPr>
                            <w:rPr>
                              <w:color w:val="156082" w:themeColor="accent1"/>
                              <w:sz w:val="64"/>
                              <w:szCs w:val="64"/>
                            </w:rPr>
                          </w:pPr>
                        </w:p>
                        <w:p w14:paraId="38189B66" w14:textId="77777777" w:rsidR="009864A3" w:rsidRPr="009864A3" w:rsidRDefault="009864A3" w:rsidP="009864A3">
                          <w:pPr>
                            <w:rPr>
                              <w:color w:val="156082" w:themeColor="accent1"/>
                              <w:sz w:val="64"/>
                              <w:szCs w:val="64"/>
                            </w:rPr>
                          </w:pPr>
                        </w:p>
                        <w:p w14:paraId="230E68FB" w14:textId="77777777" w:rsidR="009864A3" w:rsidRPr="009864A3" w:rsidRDefault="009864A3" w:rsidP="009864A3">
                          <w:pPr>
                            <w:rPr>
                              <w:color w:val="156082" w:themeColor="accent1"/>
                              <w:sz w:val="64"/>
                              <w:szCs w:val="64"/>
                            </w:rPr>
                          </w:pPr>
                        </w:p>
                        <w:p w14:paraId="7ADE1F40" w14:textId="77777777" w:rsidR="009864A3" w:rsidRPr="009864A3" w:rsidRDefault="009864A3" w:rsidP="009864A3">
                          <w:pPr>
                            <w:rPr>
                              <w:color w:val="156082" w:themeColor="accent1"/>
                              <w:sz w:val="64"/>
                              <w:szCs w:val="64"/>
                            </w:rPr>
                          </w:pPr>
                        </w:p>
                        <w:p w14:paraId="3661D1B0" w14:textId="77777777" w:rsidR="009864A3" w:rsidRPr="009864A3" w:rsidRDefault="009864A3" w:rsidP="009864A3">
                          <w:pPr>
                            <w:rPr>
                              <w:color w:val="156082" w:themeColor="accent1"/>
                              <w:sz w:val="64"/>
                              <w:szCs w:val="64"/>
                            </w:rPr>
                          </w:pPr>
                          <w:r w:rsidRPr="009864A3">
                            <w:rPr>
                              <w:color w:val="156082" w:themeColor="accent1"/>
                              <w:sz w:val="64"/>
                              <w:szCs w:val="64"/>
                            </w:rPr>
                            <w:t>Prepared by: Jessica J. Lopez</w:t>
                          </w:r>
                        </w:p>
                        <w:p w14:paraId="61B61517" w14:textId="77777777" w:rsidR="009864A3" w:rsidRPr="009864A3" w:rsidRDefault="009864A3" w:rsidP="009864A3">
                          <w:pPr>
                            <w:rPr>
                              <w:color w:val="156082" w:themeColor="accent1"/>
                              <w:sz w:val="64"/>
                              <w:szCs w:val="64"/>
                            </w:rPr>
                          </w:pPr>
                          <w:r w:rsidRPr="009864A3">
                            <w:rPr>
                              <w:color w:val="156082" w:themeColor="accent1"/>
                              <w:sz w:val="64"/>
                              <w:szCs w:val="64"/>
                            </w:rPr>
                            <w:t>Submission Date: September 3, 2026</w:t>
                          </w:r>
                        </w:p>
                        <w:p w14:paraId="2154107D" w14:textId="77777777" w:rsidR="009864A3" w:rsidRPr="009864A3" w:rsidRDefault="009864A3" w:rsidP="009864A3">
                          <w:pPr>
                            <w:rPr>
                              <w:color w:val="156082" w:themeColor="accent1"/>
                              <w:sz w:val="64"/>
                              <w:szCs w:val="64"/>
                            </w:rPr>
                          </w:pPr>
                          <w:r w:rsidRPr="009864A3">
                            <w:rPr>
                              <w:color w:val="156082" w:themeColor="accent1"/>
                              <w:sz w:val="64"/>
                              <w:szCs w:val="64"/>
                            </w:rPr>
                            <w:t>Proposed Project Period: August 22, 2026 – December 11,2026</w:t>
                          </w:r>
                        </w:p>
                        <w:p w14:paraId="31094BED" w14:textId="77777777" w:rsidR="009864A3" w:rsidRPr="009864A3" w:rsidRDefault="009864A3" w:rsidP="009864A3">
                          <w:pPr>
                            <w:rPr>
                              <w:color w:val="156082" w:themeColor="accent1"/>
                              <w:sz w:val="64"/>
                              <w:szCs w:val="64"/>
                            </w:rPr>
                          </w:pPr>
                          <w:r w:rsidRPr="009864A3">
                            <w:rPr>
                              <w:color w:val="156082" w:themeColor="accent1"/>
                              <w:sz w:val="64"/>
                              <w:szCs w:val="64"/>
                            </w:rPr>
                            <w:t>Expected Graduation: December 12, 2026</w:t>
                          </w:r>
                        </w:p>
                        <w:p w14:paraId="10696B4D" w14:textId="44DC497A" w:rsidR="009864A3" w:rsidRDefault="009864A3" w:rsidP="009864A3">
                          <w:pPr>
                            <w:rPr>
                              <w:color w:val="156082" w:themeColor="accent1"/>
                              <w:sz w:val="64"/>
                              <w:szCs w:val="64"/>
                            </w:rPr>
                          </w:pPr>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37462F68" w14:textId="2A19A3E0" w:rsidR="009864A3" w:rsidRDefault="009864A3">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r>
            <w:br w:type="page"/>
          </w:r>
        </w:p>
      </w:sdtContent>
    </w:sdt>
    <w:p w14:paraId="1BD2128E" w14:textId="7848BBC7" w:rsidR="00D12330" w:rsidRPr="009864A3" w:rsidRDefault="00D12330" w:rsidP="00D12330">
      <w:r w:rsidRPr="009864A3">
        <w:lastRenderedPageBreak/>
        <w:t>Introduction</w:t>
      </w:r>
    </w:p>
    <w:p w14:paraId="49DACBF5" w14:textId="77777777" w:rsidR="009864A3" w:rsidRPr="009864A3" w:rsidRDefault="009864A3" w:rsidP="004B015C">
      <w:pPr>
        <w:spacing w:before="100" w:beforeAutospacing="1" w:after="100" w:afterAutospacing="1" w:line="360" w:lineRule="auto"/>
        <w:ind w:firstLine="720"/>
        <w:rPr>
          <w:rFonts w:eastAsia="Times New Roman" w:cs="Times New Roman"/>
          <w:kern w:val="0"/>
          <w14:ligatures w14:val="none"/>
        </w:rPr>
      </w:pPr>
      <w:r w:rsidRPr="009864A3">
        <w:rPr>
          <w:rFonts w:eastAsia="Times New Roman" w:cs="Times New Roman"/>
          <w:kern w:val="0"/>
          <w14:ligatures w14:val="none"/>
        </w:rPr>
        <w:t>Public transportation plays an important role in connecting residents to employment, education, healthcare, and other essential destinations while supporting broader goals related to mobility, accessibility, sustainability, and transportation equity. However, transit use is not distributed evenly across metropolitan areas. Even within communities served by the same regional transportation system, some areas experience substantially greater levels of transit use than others. These differences raise an important transportation planning question: what characteristics make residents of some communities more likely to use public transportation than residents of others?</w:t>
      </w:r>
    </w:p>
    <w:p w14:paraId="69CF5755" w14:textId="41E82121" w:rsidR="009864A3" w:rsidRPr="009864A3" w:rsidRDefault="009864A3" w:rsidP="004B015C">
      <w:pPr>
        <w:spacing w:before="100" w:beforeAutospacing="1" w:after="100" w:afterAutospacing="1" w:line="360" w:lineRule="auto"/>
        <w:ind w:firstLine="720"/>
        <w:rPr>
          <w:rFonts w:eastAsia="Times New Roman" w:cs="Times New Roman"/>
          <w:kern w:val="0"/>
          <w14:ligatures w14:val="none"/>
        </w:rPr>
      </w:pPr>
      <w:r w:rsidRPr="009864A3">
        <w:rPr>
          <w:rFonts w:eastAsia="Times New Roman" w:cs="Times New Roman"/>
          <w:kern w:val="0"/>
          <w14:ligatures w14:val="none"/>
        </w:rPr>
        <w:t>This research examines transit propensity in Miami-Dade County, Florida, with a focus on the socioeconomic, demographic, and built</w:t>
      </w:r>
      <w:r w:rsidR="004B015C">
        <w:rPr>
          <w:rFonts w:eastAsia="Times New Roman" w:cs="Times New Roman"/>
          <w:kern w:val="0"/>
          <w14:ligatures w14:val="none"/>
        </w:rPr>
        <w:t xml:space="preserve"> </w:t>
      </w:r>
      <w:r w:rsidRPr="009864A3">
        <w:rPr>
          <w:rFonts w:eastAsia="Times New Roman" w:cs="Times New Roman"/>
          <w:kern w:val="0"/>
          <w14:ligatures w14:val="none"/>
        </w:rPr>
        <w:t>environment characteristics associated with variations in transit use. For this study, transit propensity refers to the likelihood or tendency of individuals or populations to use public transportation based on characteristics that may influence travel behavior. These characteristics may include household income, vehicle availability, employment status, population and residential density, land-use patterns, and access to transit services.</w:t>
      </w:r>
    </w:p>
    <w:p w14:paraId="52565635" w14:textId="77777777" w:rsidR="009864A3" w:rsidRPr="009864A3" w:rsidRDefault="009864A3" w:rsidP="004B015C">
      <w:pPr>
        <w:spacing w:before="100" w:beforeAutospacing="1" w:after="100" w:afterAutospacing="1" w:line="360" w:lineRule="auto"/>
        <w:rPr>
          <w:rFonts w:eastAsia="Times New Roman" w:cs="Times New Roman"/>
          <w:kern w:val="0"/>
          <w14:ligatures w14:val="none"/>
        </w:rPr>
      </w:pPr>
      <w:r w:rsidRPr="009864A3">
        <w:rPr>
          <w:rFonts w:eastAsia="Times New Roman" w:cs="Times New Roman"/>
          <w:kern w:val="0"/>
          <w14:ligatures w14:val="none"/>
        </w:rPr>
        <w:t>The primary research question guiding this study is:</w:t>
      </w:r>
    </w:p>
    <w:p w14:paraId="55361288" w14:textId="77777777" w:rsidR="009864A3" w:rsidRPr="009864A3" w:rsidRDefault="009864A3" w:rsidP="004B015C">
      <w:pPr>
        <w:spacing w:before="100" w:beforeAutospacing="1" w:after="100" w:afterAutospacing="1" w:line="360" w:lineRule="auto"/>
        <w:rPr>
          <w:rFonts w:eastAsia="Times New Roman" w:cs="Times New Roman"/>
          <w:b/>
          <w:bCs/>
          <w:i/>
          <w:iCs/>
          <w:kern w:val="0"/>
          <w14:ligatures w14:val="none"/>
        </w:rPr>
      </w:pPr>
      <w:r w:rsidRPr="009864A3">
        <w:rPr>
          <w:rFonts w:eastAsia="Times New Roman" w:cs="Times New Roman"/>
          <w:b/>
          <w:bCs/>
          <w:i/>
          <w:iCs/>
          <w:kern w:val="0"/>
          <w14:ligatures w14:val="none"/>
        </w:rPr>
        <w:t>What socioeconomic, demographic, and built-environment factors are most strongly associated with transit propensity among residents of Miami-Dade County?</w:t>
      </w:r>
    </w:p>
    <w:p w14:paraId="1671DF19" w14:textId="77777777" w:rsidR="009864A3" w:rsidRPr="009864A3" w:rsidRDefault="009864A3" w:rsidP="004B015C">
      <w:pPr>
        <w:spacing w:before="100" w:beforeAutospacing="1" w:after="100" w:afterAutospacing="1" w:line="360" w:lineRule="auto"/>
        <w:ind w:firstLine="720"/>
        <w:rPr>
          <w:rFonts w:eastAsia="Times New Roman" w:cs="Times New Roman"/>
          <w:kern w:val="0"/>
          <w14:ligatures w14:val="none"/>
        </w:rPr>
      </w:pPr>
      <w:r w:rsidRPr="009864A3">
        <w:rPr>
          <w:rFonts w:eastAsia="Times New Roman" w:cs="Times New Roman"/>
          <w:kern w:val="0"/>
          <w14:ligatures w14:val="none"/>
        </w:rPr>
        <w:t>The purpose of the research is to identify and evaluate relationships between these factors and measures of transit use across Miami-Dade County. Rather than examining transit ridership solely as a function of service availability, the study considers how characteristics of residents and neighborhoods may interact with the physical environment and transportation system. In doing so, the research seeks to develop a more comprehensive understanding of why transit use varies geographically throughout the county.</w:t>
      </w:r>
    </w:p>
    <w:p w14:paraId="298886F1" w14:textId="77777777" w:rsidR="009864A3" w:rsidRPr="009864A3" w:rsidRDefault="009864A3" w:rsidP="004B015C">
      <w:pPr>
        <w:spacing w:before="100" w:beforeAutospacing="1" w:after="100" w:afterAutospacing="1" w:line="360" w:lineRule="auto"/>
        <w:outlineLvl w:val="1"/>
        <w:rPr>
          <w:rFonts w:eastAsia="Times New Roman" w:cs="Times New Roman"/>
          <w:kern w:val="0"/>
          <w14:ligatures w14:val="none"/>
        </w:rPr>
      </w:pPr>
      <w:r w:rsidRPr="009864A3">
        <w:rPr>
          <w:rFonts w:eastAsia="Times New Roman" w:cs="Times New Roman"/>
          <w:kern w:val="0"/>
          <w14:ligatures w14:val="none"/>
        </w:rPr>
        <w:lastRenderedPageBreak/>
        <w:t>Rationale for the Study</w:t>
      </w:r>
    </w:p>
    <w:p w14:paraId="75ADA29D" w14:textId="77777777" w:rsidR="009864A3" w:rsidRPr="009864A3" w:rsidRDefault="009864A3" w:rsidP="004B015C">
      <w:pPr>
        <w:spacing w:before="100" w:beforeAutospacing="1" w:after="100" w:afterAutospacing="1" w:line="360" w:lineRule="auto"/>
        <w:ind w:firstLine="720"/>
        <w:rPr>
          <w:rFonts w:eastAsia="Times New Roman" w:cs="Times New Roman"/>
          <w:kern w:val="0"/>
          <w14:ligatures w14:val="none"/>
        </w:rPr>
      </w:pPr>
      <w:r w:rsidRPr="009864A3">
        <w:rPr>
          <w:rFonts w:eastAsia="Times New Roman" w:cs="Times New Roman"/>
          <w:kern w:val="0"/>
          <w14:ligatures w14:val="none"/>
        </w:rPr>
        <w:t>Understanding transit propensity is important because travel behavior is influenced by multiple interconnected factors. Previous research has demonstrated relationships between public transportation use and socioeconomic characteristics such as household income, vehicle ownership, employment, and demographic composition. The literature also emphasizes the importance of built-environment characteristics, including population density, land-use patterns, pedestrian accessibility, proximity to employment and activity centers, and access to transit services. These findings suggest that transit use cannot be fully understood by examining a single factor independently. Instead, socioeconomic conditions, demographic characteristics, the built environment, and transportation accessibility should be considered together when evaluating differences in transit use.</w:t>
      </w:r>
    </w:p>
    <w:p w14:paraId="214463CA" w14:textId="2BF26EC6" w:rsidR="009864A3" w:rsidRPr="009864A3" w:rsidRDefault="009864A3" w:rsidP="004B015C">
      <w:pPr>
        <w:spacing w:before="100" w:beforeAutospacing="1" w:after="100" w:afterAutospacing="1" w:line="360" w:lineRule="auto"/>
        <w:ind w:firstLine="720"/>
        <w:rPr>
          <w:rFonts w:eastAsia="Times New Roman" w:cs="Times New Roman"/>
          <w:kern w:val="0"/>
          <w14:ligatures w14:val="none"/>
        </w:rPr>
      </w:pPr>
      <w:r w:rsidRPr="009864A3">
        <w:rPr>
          <w:rFonts w:eastAsia="Times New Roman" w:cs="Times New Roman"/>
          <w:kern w:val="0"/>
          <w14:ligatures w14:val="none"/>
        </w:rPr>
        <w:t xml:space="preserve">Identifying these relationships has practical significance for transportation planning. Transit agencies and metropolitan planning organizations must make decisions regarding where to prioritize service improvements, infrastructure investments, accessibility enhancements, and other mobility strategies. A clearer understanding of transit propensity can help planners identify communities where existing socioeconomic and physical conditions are associated with greater transit use or potential demand. It can also help distinguish between areas where transit use is more strongly associated with socioeconomic and demographic characteristics and areas where </w:t>
      </w:r>
      <w:r w:rsidR="00A85D71" w:rsidRPr="009864A3">
        <w:rPr>
          <w:rFonts w:eastAsia="Times New Roman" w:cs="Times New Roman"/>
          <w:kern w:val="0"/>
          <w14:ligatures w14:val="none"/>
        </w:rPr>
        <w:t>built environment</w:t>
      </w:r>
      <w:r w:rsidRPr="009864A3">
        <w:rPr>
          <w:rFonts w:eastAsia="Times New Roman" w:cs="Times New Roman"/>
          <w:kern w:val="0"/>
          <w14:ligatures w14:val="none"/>
        </w:rPr>
        <w:t xml:space="preserve"> or accessibility characteristics have stronger statistical relationships with transit use.</w:t>
      </w:r>
    </w:p>
    <w:p w14:paraId="57B4EE82" w14:textId="53909849" w:rsidR="009864A3" w:rsidRPr="009864A3" w:rsidRDefault="009864A3" w:rsidP="004B015C">
      <w:pPr>
        <w:spacing w:before="100" w:beforeAutospacing="1" w:after="100" w:afterAutospacing="1" w:line="360" w:lineRule="auto"/>
        <w:ind w:firstLine="720"/>
        <w:rPr>
          <w:rFonts w:eastAsia="Times New Roman" w:cs="Times New Roman"/>
          <w:kern w:val="0"/>
          <w14:ligatures w14:val="none"/>
        </w:rPr>
      </w:pPr>
      <w:r w:rsidRPr="009864A3">
        <w:rPr>
          <w:rFonts w:eastAsia="Times New Roman" w:cs="Times New Roman"/>
          <w:kern w:val="0"/>
          <w14:ligatures w14:val="none"/>
        </w:rPr>
        <w:t>This information can support more data</w:t>
      </w:r>
      <w:r w:rsidR="00A85D71">
        <w:rPr>
          <w:rFonts w:eastAsia="Times New Roman" w:cs="Times New Roman"/>
          <w:kern w:val="0"/>
          <w14:ligatures w14:val="none"/>
        </w:rPr>
        <w:t xml:space="preserve"> </w:t>
      </w:r>
      <w:r w:rsidRPr="009864A3">
        <w:rPr>
          <w:rFonts w:eastAsia="Times New Roman" w:cs="Times New Roman"/>
          <w:kern w:val="0"/>
          <w14:ligatures w14:val="none"/>
        </w:rPr>
        <w:t xml:space="preserve">driven transportation planning and contribute to broader discussions regarding mobility, accessibility, and transportation equity. Understanding the geographic distribution of transit propensity is particularly relevant in a region such as Miami-Dade County, where communities vary considerably in density, development patterns, household characteristics, vehicle availability, and access to transportation services. Identifying these differences may provide planners with </w:t>
      </w:r>
      <w:r w:rsidRPr="009864A3">
        <w:rPr>
          <w:rFonts w:eastAsia="Times New Roman" w:cs="Times New Roman"/>
          <w:kern w:val="0"/>
          <w14:ligatures w14:val="none"/>
        </w:rPr>
        <w:lastRenderedPageBreak/>
        <w:t>additional evidence for understanding where transit needs and opportunities exist and how transportation investments can respond to different community conditions.</w:t>
      </w:r>
    </w:p>
    <w:p w14:paraId="532EDEEC" w14:textId="77777777" w:rsidR="009864A3" w:rsidRPr="009864A3" w:rsidRDefault="009864A3" w:rsidP="004B015C">
      <w:pPr>
        <w:spacing w:before="100" w:beforeAutospacing="1" w:after="100" w:afterAutospacing="1" w:line="360" w:lineRule="auto"/>
        <w:outlineLvl w:val="1"/>
        <w:rPr>
          <w:rFonts w:eastAsia="Times New Roman" w:cs="Times New Roman"/>
          <w:kern w:val="0"/>
          <w14:ligatures w14:val="none"/>
        </w:rPr>
      </w:pPr>
      <w:r w:rsidRPr="009864A3">
        <w:rPr>
          <w:rFonts w:eastAsia="Times New Roman" w:cs="Times New Roman"/>
          <w:kern w:val="0"/>
          <w14:ligatures w14:val="none"/>
        </w:rPr>
        <w:t>Study Area</w:t>
      </w:r>
    </w:p>
    <w:p w14:paraId="482ADA93" w14:textId="77777777" w:rsidR="009864A3" w:rsidRPr="009864A3" w:rsidRDefault="009864A3" w:rsidP="004B015C">
      <w:pPr>
        <w:spacing w:before="100" w:beforeAutospacing="1" w:after="100" w:afterAutospacing="1" w:line="360" w:lineRule="auto"/>
        <w:ind w:firstLine="720"/>
        <w:rPr>
          <w:rFonts w:eastAsia="Times New Roman" w:cs="Times New Roman"/>
          <w:kern w:val="0"/>
          <w14:ligatures w14:val="none"/>
        </w:rPr>
      </w:pPr>
      <w:r w:rsidRPr="009864A3">
        <w:rPr>
          <w:rFonts w:eastAsia="Times New Roman" w:cs="Times New Roman"/>
          <w:kern w:val="0"/>
          <w14:ligatures w14:val="none"/>
        </w:rPr>
        <w:t>The geographic focus of this research is Miami-Dade County, Florida, a large and diverse metropolitan county in South Florida. The county includes a wide range of urban environments, from the highly developed urban core of Downtown Miami and surrounding neighborhoods to established municipalities and lower-density suburban communities. These areas differ substantially in population density, household income, vehicle availability, employment patterns, land use, and access to public transportation. This variation makes Miami-Dade County an appropriate setting for examining how socioeconomic, demographic, and built-environment characteristics are associated with transit use.</w:t>
      </w:r>
    </w:p>
    <w:p w14:paraId="2F102740" w14:textId="77777777" w:rsidR="009864A3" w:rsidRPr="009864A3" w:rsidRDefault="009864A3" w:rsidP="004B015C">
      <w:pPr>
        <w:spacing w:before="100" w:beforeAutospacing="1" w:after="100" w:afterAutospacing="1" w:line="360" w:lineRule="auto"/>
        <w:ind w:firstLine="720"/>
        <w:rPr>
          <w:rFonts w:eastAsia="Times New Roman" w:cs="Times New Roman"/>
          <w:kern w:val="0"/>
          <w14:ligatures w14:val="none"/>
        </w:rPr>
      </w:pPr>
      <w:r w:rsidRPr="009864A3">
        <w:rPr>
          <w:rFonts w:eastAsia="Times New Roman" w:cs="Times New Roman"/>
          <w:kern w:val="0"/>
          <w14:ligatures w14:val="none"/>
        </w:rPr>
        <w:t>Miami-Dade County is served by a multimodal transportation network that includes local and regional bus services, Metrorail, Metromover, and connections to regional commuter rail services. Despite the availability of these transportation options, automobile travel remains an important component of mobility throughout the county, while the level of transit use differs considerably among communities. Some neighborhoods contain dense development, relatively high levels of transit accessibility, and populations that regularly depend on public transportation, while other areas are characterized by lower densities, greater automobile availability, and more limited transit use. These contrasting conditions create an opportunity to examine transit propensity within a single metropolitan region containing substantial socioeconomic, demographic, and built-environment diversity.</w:t>
      </w:r>
    </w:p>
    <w:p w14:paraId="19BE80AB" w14:textId="77777777" w:rsidR="009864A3" w:rsidRPr="009864A3" w:rsidRDefault="009864A3" w:rsidP="004B015C">
      <w:pPr>
        <w:spacing w:before="100" w:beforeAutospacing="1" w:after="100" w:afterAutospacing="1" w:line="360" w:lineRule="auto"/>
        <w:ind w:firstLine="720"/>
        <w:rPr>
          <w:rFonts w:eastAsia="Times New Roman" w:cs="Times New Roman"/>
          <w:kern w:val="0"/>
          <w14:ligatures w14:val="none"/>
        </w:rPr>
      </w:pPr>
      <w:r w:rsidRPr="009864A3">
        <w:rPr>
          <w:rFonts w:eastAsia="Times New Roman" w:cs="Times New Roman"/>
          <w:kern w:val="0"/>
          <w14:ligatures w14:val="none"/>
        </w:rPr>
        <w:t>To investigate these relationships, the study will use a quantitative correlational research design and draw from secondary data sources, including the U.S. Census Bureau's American Community Survey (ACS), transportation and transit datasets, and GIS-based land-use and accessibility information. Socioeconomic, demographic, and built-</w:t>
      </w:r>
      <w:r w:rsidRPr="009864A3">
        <w:rPr>
          <w:rFonts w:eastAsia="Times New Roman" w:cs="Times New Roman"/>
          <w:kern w:val="0"/>
          <w14:ligatures w14:val="none"/>
        </w:rPr>
        <w:lastRenderedPageBreak/>
        <w:t>environment indicators will be analyzed alongside measures of transit use. Descriptive statistics, correlation analysis, and multiple regression will be used to identify patterns and determine which characteristics demonstrate the strongest statistical associations with transit propensity. Because the study is correlational, the results will identify relationships among variables rather than establish direct causal effects.</w:t>
      </w:r>
    </w:p>
    <w:p w14:paraId="3C5ADF5C" w14:textId="77777777" w:rsidR="009864A3" w:rsidRPr="009864A3" w:rsidRDefault="009864A3" w:rsidP="004B015C">
      <w:pPr>
        <w:spacing w:before="100" w:beforeAutospacing="1" w:after="100" w:afterAutospacing="1" w:line="360" w:lineRule="auto"/>
        <w:ind w:firstLine="720"/>
        <w:rPr>
          <w:rFonts w:eastAsia="Times New Roman" w:cs="Times New Roman"/>
          <w:kern w:val="0"/>
          <w14:ligatures w14:val="none"/>
        </w:rPr>
      </w:pPr>
      <w:r w:rsidRPr="009864A3">
        <w:rPr>
          <w:rFonts w:eastAsia="Times New Roman" w:cs="Times New Roman"/>
          <w:kern w:val="0"/>
          <w14:ligatures w14:val="none"/>
        </w:rPr>
        <w:t>Ultimately, this research seeks to provide a clearer understanding of where transit propensity is greatest within Miami-Dade County and which socioeconomic, demographic, and built-environment factors are most strongly associated with it. By examining these relationships together, the study can provide a more detailed picture of how community characteristics correspond with differences in public transportation use. The findings may help transportation planners better understand variations in transit use and provide additional evidence to support future decisions related to transit service planning, infrastructure investment, accessibility, and equitable mobility throughout Miami-Dade County.</w:t>
      </w:r>
    </w:p>
    <w:p w14:paraId="1A17870B" w14:textId="10BDA9A7" w:rsidR="00B122D2" w:rsidRPr="009864A3" w:rsidRDefault="00B122D2" w:rsidP="00D12330"/>
    <w:sectPr w:rsidR="00B122D2" w:rsidRPr="009864A3" w:rsidSect="009864A3">
      <w:head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E7F14" w14:textId="77777777" w:rsidR="00316D86" w:rsidRDefault="00316D86" w:rsidP="009864A3">
      <w:pPr>
        <w:spacing w:after="0" w:line="240" w:lineRule="auto"/>
      </w:pPr>
      <w:r>
        <w:separator/>
      </w:r>
    </w:p>
  </w:endnote>
  <w:endnote w:type="continuationSeparator" w:id="0">
    <w:p w14:paraId="4BBE0511" w14:textId="77777777" w:rsidR="00316D86" w:rsidRDefault="00316D86" w:rsidP="00986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4A2DA" w14:textId="77777777" w:rsidR="00316D86" w:rsidRDefault="00316D86" w:rsidP="009864A3">
      <w:pPr>
        <w:spacing w:after="0" w:line="240" w:lineRule="auto"/>
      </w:pPr>
      <w:r>
        <w:separator/>
      </w:r>
    </w:p>
  </w:footnote>
  <w:footnote w:type="continuationSeparator" w:id="0">
    <w:p w14:paraId="5991627D" w14:textId="77777777" w:rsidR="00316D86" w:rsidRDefault="00316D86" w:rsidP="009864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182DB" w14:textId="77777777" w:rsidR="009864A3" w:rsidRDefault="009864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330"/>
    <w:rsid w:val="002D1051"/>
    <w:rsid w:val="00304DBE"/>
    <w:rsid w:val="00316D86"/>
    <w:rsid w:val="004B015C"/>
    <w:rsid w:val="00916E2C"/>
    <w:rsid w:val="009864A3"/>
    <w:rsid w:val="00A408C0"/>
    <w:rsid w:val="00A85D71"/>
    <w:rsid w:val="00B122D2"/>
    <w:rsid w:val="00C91FF6"/>
    <w:rsid w:val="00C92AC5"/>
    <w:rsid w:val="00CF40E6"/>
    <w:rsid w:val="00D12330"/>
    <w:rsid w:val="00DA1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DDFC0"/>
  <w15:chartTrackingRefBased/>
  <w15:docId w15:val="{78427F9D-9C64-4078-8BC0-467D0B652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3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2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2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2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2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2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3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2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2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2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2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2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330"/>
    <w:rPr>
      <w:rFonts w:eastAsiaTheme="majorEastAsia" w:cstheme="majorBidi"/>
      <w:color w:val="272727" w:themeColor="text1" w:themeTint="D8"/>
    </w:rPr>
  </w:style>
  <w:style w:type="paragraph" w:styleId="Title">
    <w:name w:val="Title"/>
    <w:basedOn w:val="Normal"/>
    <w:next w:val="Normal"/>
    <w:link w:val="TitleChar"/>
    <w:uiPriority w:val="10"/>
    <w:qFormat/>
    <w:rsid w:val="00D12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330"/>
    <w:pPr>
      <w:spacing w:before="160"/>
      <w:jc w:val="center"/>
    </w:pPr>
    <w:rPr>
      <w:i/>
      <w:iCs/>
      <w:color w:val="404040" w:themeColor="text1" w:themeTint="BF"/>
    </w:rPr>
  </w:style>
  <w:style w:type="character" w:customStyle="1" w:styleId="QuoteChar">
    <w:name w:val="Quote Char"/>
    <w:basedOn w:val="DefaultParagraphFont"/>
    <w:link w:val="Quote"/>
    <w:uiPriority w:val="29"/>
    <w:rsid w:val="00D12330"/>
    <w:rPr>
      <w:i/>
      <w:iCs/>
      <w:color w:val="404040" w:themeColor="text1" w:themeTint="BF"/>
    </w:rPr>
  </w:style>
  <w:style w:type="paragraph" w:styleId="ListParagraph">
    <w:name w:val="List Paragraph"/>
    <w:basedOn w:val="Normal"/>
    <w:uiPriority w:val="34"/>
    <w:qFormat/>
    <w:rsid w:val="00D12330"/>
    <w:pPr>
      <w:ind w:left="720"/>
      <w:contextualSpacing/>
    </w:pPr>
  </w:style>
  <w:style w:type="character" w:styleId="IntenseEmphasis">
    <w:name w:val="Intense Emphasis"/>
    <w:basedOn w:val="DefaultParagraphFont"/>
    <w:uiPriority w:val="21"/>
    <w:qFormat/>
    <w:rsid w:val="00D12330"/>
    <w:rPr>
      <w:i/>
      <w:iCs/>
      <w:color w:val="0F4761" w:themeColor="accent1" w:themeShade="BF"/>
    </w:rPr>
  </w:style>
  <w:style w:type="paragraph" w:styleId="IntenseQuote">
    <w:name w:val="Intense Quote"/>
    <w:basedOn w:val="Normal"/>
    <w:next w:val="Normal"/>
    <w:link w:val="IntenseQuoteChar"/>
    <w:uiPriority w:val="30"/>
    <w:qFormat/>
    <w:rsid w:val="00D12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2330"/>
    <w:rPr>
      <w:i/>
      <w:iCs/>
      <w:color w:val="0F4761" w:themeColor="accent1" w:themeShade="BF"/>
    </w:rPr>
  </w:style>
  <w:style w:type="character" w:styleId="IntenseReference">
    <w:name w:val="Intense Reference"/>
    <w:basedOn w:val="DefaultParagraphFont"/>
    <w:uiPriority w:val="32"/>
    <w:qFormat/>
    <w:rsid w:val="00D12330"/>
    <w:rPr>
      <w:b/>
      <w:bCs/>
      <w:smallCaps/>
      <w:color w:val="0F4761" w:themeColor="accent1" w:themeShade="BF"/>
      <w:spacing w:val="5"/>
    </w:rPr>
  </w:style>
  <w:style w:type="paragraph" w:styleId="Header">
    <w:name w:val="header"/>
    <w:basedOn w:val="Normal"/>
    <w:link w:val="HeaderChar"/>
    <w:uiPriority w:val="99"/>
    <w:unhideWhenUsed/>
    <w:rsid w:val="00986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4A3"/>
  </w:style>
  <w:style w:type="paragraph" w:styleId="Footer">
    <w:name w:val="footer"/>
    <w:basedOn w:val="Normal"/>
    <w:link w:val="FooterChar"/>
    <w:uiPriority w:val="99"/>
    <w:unhideWhenUsed/>
    <w:rsid w:val="00986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4A3"/>
  </w:style>
  <w:style w:type="paragraph" w:styleId="NoSpacing">
    <w:name w:val="No Spacing"/>
    <w:link w:val="NoSpacingChar"/>
    <w:uiPriority w:val="1"/>
    <w:qFormat/>
    <w:rsid w:val="009864A3"/>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9864A3"/>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1098</Words>
  <Characters>6262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Lopez, Jessica (TPO)</cp:lastModifiedBy>
  <cp:revision>4</cp:revision>
  <dcterms:created xsi:type="dcterms:W3CDTF">2026-09-15T01:10:00Z</dcterms:created>
  <dcterms:modified xsi:type="dcterms:W3CDTF">2026-09-24T22:51:00Z</dcterms:modified>
</cp:coreProperties>
</file>