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840CD" w14:textId="64E56956" w:rsidR="00DA7583" w:rsidRDefault="00DA7583" w:rsidP="00DA7583">
      <w:pPr>
        <w:jc w:val="center"/>
        <w:rPr>
          <w:rFonts w:asciiTheme="majorBidi" w:hAnsiTheme="majorBidi" w:cstheme="majorBidi"/>
          <w:b/>
          <w:bCs/>
          <w:color w:val="0D0D0D" w:themeColor="text1" w:themeTint="F2"/>
          <w:sz w:val="44"/>
          <w:szCs w:val="44"/>
        </w:rPr>
      </w:pPr>
      <w:r>
        <w:rPr>
          <w:rFonts w:asciiTheme="majorBidi" w:hAnsiTheme="majorBidi" w:cstheme="majorBidi"/>
          <w:b/>
          <w:bCs/>
          <w:color w:val="0D0D0D" w:themeColor="text1" w:themeTint="F2"/>
          <w:sz w:val="44"/>
          <w:szCs w:val="44"/>
        </w:rPr>
        <w:t>Legal Basis of Trademark Protection between Priority of Use &amp; Privilege of R</w:t>
      </w:r>
      <w:r w:rsidRPr="00F619A9">
        <w:rPr>
          <w:rFonts w:asciiTheme="majorBidi" w:hAnsiTheme="majorBidi" w:cstheme="majorBidi"/>
          <w:b/>
          <w:bCs/>
          <w:color w:val="0D0D0D" w:themeColor="text1" w:themeTint="F2"/>
          <w:sz w:val="44"/>
          <w:szCs w:val="44"/>
        </w:rPr>
        <w:t>egi</w:t>
      </w:r>
      <w:r>
        <w:rPr>
          <w:rFonts w:asciiTheme="majorBidi" w:hAnsiTheme="majorBidi" w:cstheme="majorBidi"/>
          <w:b/>
          <w:bCs/>
          <w:color w:val="0D0D0D" w:themeColor="text1" w:themeTint="F2"/>
          <w:sz w:val="44"/>
          <w:szCs w:val="44"/>
        </w:rPr>
        <w:t xml:space="preserve">stration: A Comparative Study regarding </w:t>
      </w:r>
    </w:p>
    <w:p w14:paraId="301F7605" w14:textId="77777777" w:rsidR="006B2A58" w:rsidRDefault="006B2A58" w:rsidP="006B2A58">
      <w:pPr>
        <w:tabs>
          <w:tab w:val="decimal" w:pos="8280"/>
        </w:tabs>
        <w:jc w:val="both"/>
        <w:rPr>
          <w:b/>
          <w:sz w:val="40"/>
        </w:rPr>
      </w:pPr>
    </w:p>
    <w:p w14:paraId="76A3BE7A" w14:textId="77777777" w:rsidR="007B01B1" w:rsidRDefault="007B01B1" w:rsidP="006B2A58">
      <w:pPr>
        <w:tabs>
          <w:tab w:val="decimal" w:pos="8280"/>
        </w:tabs>
        <w:jc w:val="both"/>
        <w:rPr>
          <w:b/>
          <w:sz w:val="40"/>
        </w:rPr>
      </w:pPr>
    </w:p>
    <w:p w14:paraId="41FF6D64" w14:textId="77777777" w:rsidR="006B2A58" w:rsidRPr="006B2A58" w:rsidRDefault="006B2A58" w:rsidP="006B2A58">
      <w:pPr>
        <w:tabs>
          <w:tab w:val="decimal" w:pos="8280"/>
        </w:tabs>
        <w:jc w:val="both"/>
        <w:rPr>
          <w:b/>
          <w:bCs/>
          <w:sz w:val="32"/>
          <w:szCs w:val="32"/>
        </w:rPr>
      </w:pPr>
      <w:r w:rsidRPr="006B2A58">
        <w:rPr>
          <w:b/>
          <w:bCs/>
          <w:sz w:val="32"/>
          <w:szCs w:val="32"/>
        </w:rPr>
        <w:t>Abstract</w:t>
      </w:r>
    </w:p>
    <w:p w14:paraId="7F146B6B" w14:textId="77777777" w:rsidR="006B2A58" w:rsidRDefault="006B2A58" w:rsidP="006B2A58">
      <w:pPr>
        <w:tabs>
          <w:tab w:val="decimal" w:pos="8280"/>
        </w:tabs>
        <w:jc w:val="both"/>
        <w:rPr>
          <w:bCs/>
          <w:sz w:val="28"/>
          <w:szCs w:val="28"/>
        </w:rPr>
      </w:pPr>
    </w:p>
    <w:p w14:paraId="50334D5A" w14:textId="1E81BA62" w:rsidR="00953F1F" w:rsidRPr="00B87630" w:rsidRDefault="00A07AC3" w:rsidP="00B87630">
      <w:pPr>
        <w:ind w:firstLine="540"/>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The</w:t>
      </w:r>
      <w:r w:rsidRPr="00114B39">
        <w:rPr>
          <w:rFonts w:asciiTheme="majorBidi" w:hAnsiTheme="majorBidi" w:cstheme="majorBidi"/>
          <w:color w:val="0D0D0D" w:themeColor="text1" w:themeTint="F2"/>
          <w:sz w:val="28"/>
          <w:szCs w:val="28"/>
        </w:rPr>
        <w:t xml:space="preserve"> </w:t>
      </w:r>
      <w:r>
        <w:rPr>
          <w:rFonts w:asciiTheme="majorBidi" w:hAnsiTheme="majorBidi" w:cstheme="majorBidi"/>
          <w:color w:val="0D0D0D" w:themeColor="text1" w:themeTint="F2"/>
          <w:sz w:val="28"/>
          <w:szCs w:val="28"/>
        </w:rPr>
        <w:t>current study aims</w:t>
      </w:r>
      <w:r w:rsidRPr="00114B39">
        <w:rPr>
          <w:rFonts w:asciiTheme="majorBidi" w:hAnsiTheme="majorBidi" w:cstheme="majorBidi"/>
          <w:color w:val="0D0D0D" w:themeColor="text1" w:themeTint="F2"/>
          <w:sz w:val="28"/>
          <w:szCs w:val="28"/>
        </w:rPr>
        <w:t xml:space="preserve"> to </w:t>
      </w:r>
      <w:r>
        <w:rPr>
          <w:rFonts w:asciiTheme="majorBidi" w:hAnsiTheme="majorBidi" w:cstheme="majorBidi"/>
          <w:color w:val="0D0D0D" w:themeColor="text1" w:themeTint="F2"/>
          <w:sz w:val="28"/>
          <w:szCs w:val="28"/>
        </w:rPr>
        <w:t xml:space="preserve">analyze the legal basis of trademark protection in light of </w:t>
      </w:r>
      <w:r w:rsidR="00703B90">
        <w:rPr>
          <w:rFonts w:asciiTheme="majorBidi" w:hAnsiTheme="majorBidi" w:cstheme="majorBidi"/>
          <w:color w:val="0D0D0D" w:themeColor="text1" w:themeTint="F2"/>
          <w:sz w:val="28"/>
          <w:szCs w:val="28"/>
        </w:rPr>
        <w:t xml:space="preserve">the conflict between the priority of use and the privilege of registration, clarify the legal nature of each aspect, and determine the extent to which actual use and official registration affect the establishment of the right to </w:t>
      </w:r>
      <w:r w:rsidRPr="00114B39">
        <w:rPr>
          <w:rFonts w:asciiTheme="majorBidi" w:hAnsiTheme="majorBidi" w:cstheme="majorBidi"/>
          <w:color w:val="0D0D0D" w:themeColor="text1" w:themeTint="F2"/>
          <w:sz w:val="28"/>
          <w:szCs w:val="28"/>
        </w:rPr>
        <w:t>trademark</w:t>
      </w:r>
      <w:r>
        <w:rPr>
          <w:rFonts w:asciiTheme="majorBidi" w:hAnsiTheme="majorBidi" w:cstheme="majorBidi"/>
          <w:color w:val="0D0D0D" w:themeColor="text1" w:themeTint="F2"/>
          <w:sz w:val="28"/>
          <w:szCs w:val="28"/>
        </w:rPr>
        <w:t xml:space="preserve"> ownership</w:t>
      </w:r>
      <w:r w:rsidRPr="00114B39">
        <w:rPr>
          <w:rFonts w:asciiTheme="majorBidi" w:hAnsiTheme="majorBidi" w:cstheme="majorBidi"/>
          <w:color w:val="0D0D0D" w:themeColor="text1" w:themeTint="F2"/>
          <w:sz w:val="28"/>
          <w:szCs w:val="28"/>
        </w:rPr>
        <w:t xml:space="preserve">. </w:t>
      </w:r>
      <w:r>
        <w:rPr>
          <w:rFonts w:asciiTheme="majorBidi" w:hAnsiTheme="majorBidi" w:cstheme="majorBidi"/>
          <w:color w:val="0D0D0D" w:themeColor="text1" w:themeTint="F2"/>
          <w:sz w:val="28"/>
          <w:szCs w:val="28"/>
        </w:rPr>
        <w:t xml:space="preserve">Besides, </w:t>
      </w:r>
      <w:r w:rsidRPr="00114B39">
        <w:rPr>
          <w:rFonts w:asciiTheme="majorBidi" w:hAnsiTheme="majorBidi" w:cstheme="majorBidi"/>
          <w:color w:val="0D0D0D" w:themeColor="text1" w:themeTint="F2"/>
          <w:sz w:val="28"/>
          <w:szCs w:val="28"/>
        </w:rPr>
        <w:t>the position of UAE l</w:t>
      </w:r>
      <w:r>
        <w:rPr>
          <w:rFonts w:asciiTheme="majorBidi" w:hAnsiTheme="majorBidi" w:cstheme="majorBidi"/>
          <w:color w:val="0D0D0D" w:themeColor="text1" w:themeTint="F2"/>
          <w:sz w:val="28"/>
          <w:szCs w:val="28"/>
        </w:rPr>
        <w:t xml:space="preserve">egislation has been carefully reviewed, as </w:t>
      </w:r>
      <w:r w:rsidR="00703B90">
        <w:rPr>
          <w:rFonts w:asciiTheme="majorBidi" w:hAnsiTheme="majorBidi" w:cstheme="majorBidi"/>
          <w:color w:val="0D0D0D" w:themeColor="text1" w:themeTint="F2"/>
          <w:sz w:val="28"/>
          <w:szCs w:val="28"/>
        </w:rPr>
        <w:t>has the judiciary's role in favoring one of the two bases, while also contributing to achieving</w:t>
      </w:r>
      <w:r w:rsidRPr="00114B39">
        <w:rPr>
          <w:rFonts w:asciiTheme="majorBidi" w:hAnsiTheme="majorBidi" w:cstheme="majorBidi"/>
          <w:color w:val="0D0D0D" w:themeColor="text1" w:themeTint="F2"/>
          <w:sz w:val="28"/>
          <w:szCs w:val="28"/>
        </w:rPr>
        <w:t xml:space="preserve"> a balance between protecting acquired rights and ensuring the stability of commercial transactions.</w:t>
      </w:r>
      <w:r w:rsidR="00B87630">
        <w:rPr>
          <w:rFonts w:asciiTheme="majorBidi" w:hAnsiTheme="majorBidi" w:cstheme="majorBidi"/>
          <w:color w:val="0D0D0D" w:themeColor="text1" w:themeTint="F2"/>
          <w:sz w:val="28"/>
          <w:szCs w:val="28"/>
        </w:rPr>
        <w:t xml:space="preserve"> </w:t>
      </w:r>
      <w:r>
        <w:rPr>
          <w:rFonts w:asciiTheme="majorBidi" w:hAnsiTheme="majorBidi" w:cstheme="majorBidi"/>
          <w:color w:val="0D0D0D" w:themeColor="text1" w:themeTint="F2"/>
          <w:sz w:val="28"/>
          <w:szCs w:val="28"/>
        </w:rPr>
        <w:t>It is worth noting that t</w:t>
      </w:r>
      <w:r w:rsidRPr="00114B39">
        <w:rPr>
          <w:rFonts w:asciiTheme="majorBidi" w:hAnsiTheme="majorBidi" w:cstheme="majorBidi"/>
          <w:color w:val="0D0D0D" w:themeColor="text1" w:themeTint="F2"/>
          <w:sz w:val="28"/>
          <w:szCs w:val="28"/>
        </w:rPr>
        <w:t xml:space="preserve">he study </w:t>
      </w:r>
      <w:r w:rsidR="00703B90">
        <w:rPr>
          <w:rFonts w:asciiTheme="majorBidi" w:hAnsiTheme="majorBidi" w:cstheme="majorBidi"/>
          <w:color w:val="0D0D0D" w:themeColor="text1" w:themeTint="F2"/>
          <w:sz w:val="28"/>
          <w:szCs w:val="28"/>
        </w:rPr>
        <w:t>adopts an analytical inductive approach within a theoretical legal framework to analyze the legislative texts that regulate trademark protection, foremost among them the UAE Federal Decree-Law No. 36 of 2021, and to analyze judicial and jurisprudential rulings carefully</w:t>
      </w:r>
      <w:r>
        <w:rPr>
          <w:rFonts w:asciiTheme="majorBidi" w:hAnsiTheme="majorBidi" w:cstheme="majorBidi"/>
          <w:color w:val="0D0D0D" w:themeColor="text1" w:themeTint="F2"/>
          <w:sz w:val="28"/>
          <w:szCs w:val="28"/>
        </w:rPr>
        <w:t xml:space="preserve">. A </w:t>
      </w:r>
      <w:r w:rsidRPr="00114B39">
        <w:rPr>
          <w:rFonts w:asciiTheme="majorBidi" w:hAnsiTheme="majorBidi" w:cstheme="majorBidi"/>
          <w:color w:val="0D0D0D" w:themeColor="text1" w:themeTint="F2"/>
          <w:sz w:val="28"/>
          <w:szCs w:val="28"/>
        </w:rPr>
        <w:t>comparative method</w:t>
      </w:r>
      <w:r>
        <w:rPr>
          <w:rFonts w:asciiTheme="majorBidi" w:hAnsiTheme="majorBidi" w:cstheme="majorBidi"/>
          <w:color w:val="0D0D0D" w:themeColor="text1" w:themeTint="F2"/>
          <w:sz w:val="28"/>
          <w:szCs w:val="28"/>
        </w:rPr>
        <w:t xml:space="preserve"> has also been utilized</w:t>
      </w:r>
      <w:r w:rsidRPr="00114B39">
        <w:rPr>
          <w:rFonts w:asciiTheme="majorBidi" w:hAnsiTheme="majorBidi" w:cstheme="majorBidi"/>
          <w:color w:val="0D0D0D" w:themeColor="text1" w:themeTint="F2"/>
          <w:sz w:val="28"/>
          <w:szCs w:val="28"/>
        </w:rPr>
        <w:t xml:space="preserve"> to support the analysis and clarify modern legal trends in organizing the relationship between use and registration.</w:t>
      </w:r>
      <w:r w:rsidR="00B87630">
        <w:rPr>
          <w:rFonts w:asciiTheme="majorBidi" w:hAnsiTheme="majorBidi" w:cstheme="majorBidi"/>
          <w:color w:val="0D0D0D" w:themeColor="text1" w:themeTint="F2"/>
          <w:sz w:val="28"/>
          <w:szCs w:val="28"/>
        </w:rPr>
        <w:t xml:space="preserve"> </w:t>
      </w:r>
      <w:r w:rsidRPr="00114B39">
        <w:rPr>
          <w:rFonts w:asciiTheme="majorBidi" w:hAnsiTheme="majorBidi" w:cstheme="majorBidi"/>
          <w:color w:val="0D0D0D" w:themeColor="text1" w:themeTint="F2"/>
          <w:sz w:val="28"/>
          <w:szCs w:val="28"/>
        </w:rPr>
        <w:t xml:space="preserve">The study </w:t>
      </w:r>
      <w:r>
        <w:rPr>
          <w:rFonts w:asciiTheme="majorBidi" w:hAnsiTheme="majorBidi" w:cstheme="majorBidi"/>
          <w:color w:val="0D0D0D" w:themeColor="text1" w:themeTint="F2"/>
          <w:sz w:val="28"/>
          <w:szCs w:val="28"/>
        </w:rPr>
        <w:t xml:space="preserve">has </w:t>
      </w:r>
      <w:r w:rsidR="00703B90">
        <w:rPr>
          <w:rFonts w:asciiTheme="majorBidi" w:hAnsiTheme="majorBidi" w:cstheme="majorBidi"/>
          <w:color w:val="0D0D0D" w:themeColor="text1" w:themeTint="F2"/>
          <w:sz w:val="28"/>
          <w:szCs w:val="28"/>
        </w:rPr>
        <w:t>identified a set of important findings, most notably the adoption of a mixed legal system that</w:t>
      </w:r>
      <w:r>
        <w:rPr>
          <w:rFonts w:asciiTheme="majorBidi" w:hAnsiTheme="majorBidi" w:cstheme="majorBidi"/>
          <w:color w:val="0D0D0D" w:themeColor="text1" w:themeTint="F2"/>
          <w:sz w:val="28"/>
          <w:szCs w:val="28"/>
        </w:rPr>
        <w:t xml:space="preserve"> combines </w:t>
      </w:r>
      <w:r w:rsidRPr="00114B39">
        <w:rPr>
          <w:rFonts w:asciiTheme="majorBidi" w:hAnsiTheme="majorBidi" w:cstheme="majorBidi"/>
          <w:color w:val="0D0D0D" w:themeColor="text1" w:themeTint="F2"/>
          <w:sz w:val="28"/>
          <w:szCs w:val="28"/>
        </w:rPr>
        <w:t xml:space="preserve">the priority of use and the privilege of </w:t>
      </w:r>
      <w:r>
        <w:rPr>
          <w:rFonts w:asciiTheme="majorBidi" w:hAnsiTheme="majorBidi" w:cstheme="majorBidi"/>
          <w:color w:val="0D0D0D" w:themeColor="text1" w:themeTint="F2"/>
          <w:sz w:val="28"/>
          <w:szCs w:val="28"/>
        </w:rPr>
        <w:t>registration, where the latter</w:t>
      </w:r>
      <w:r w:rsidRPr="00114B39">
        <w:rPr>
          <w:rFonts w:asciiTheme="majorBidi" w:hAnsiTheme="majorBidi" w:cstheme="majorBidi"/>
          <w:color w:val="0D0D0D" w:themeColor="text1" w:themeTint="F2"/>
          <w:sz w:val="28"/>
          <w:szCs w:val="28"/>
        </w:rPr>
        <w:t xml:space="preserve"> grants a strong legal presumption of ownership</w:t>
      </w:r>
      <w:r w:rsidR="00703B90">
        <w:rPr>
          <w:rFonts w:asciiTheme="majorBidi" w:hAnsiTheme="majorBidi" w:cstheme="majorBidi"/>
          <w:color w:val="0D0D0D" w:themeColor="text1" w:themeTint="F2"/>
          <w:sz w:val="28"/>
          <w:szCs w:val="28"/>
        </w:rPr>
        <w:t>. However,</w:t>
      </w:r>
      <w:r w:rsidRPr="00114B39">
        <w:rPr>
          <w:rFonts w:asciiTheme="majorBidi" w:hAnsiTheme="majorBidi" w:cstheme="majorBidi"/>
          <w:color w:val="0D0D0D" w:themeColor="text1" w:themeTint="F2"/>
          <w:sz w:val="28"/>
          <w:szCs w:val="28"/>
        </w:rPr>
        <w:t xml:space="preserve"> it is not absolute and can be refuted by proving the priority of actual and serious use of the trademark. </w:t>
      </w:r>
      <w:r>
        <w:rPr>
          <w:rFonts w:asciiTheme="majorBidi" w:hAnsiTheme="majorBidi" w:cstheme="majorBidi"/>
          <w:color w:val="0D0D0D" w:themeColor="text1" w:themeTint="F2"/>
          <w:sz w:val="28"/>
          <w:szCs w:val="28"/>
        </w:rPr>
        <w:t xml:space="preserve">There is no doubt that </w:t>
      </w:r>
      <w:r w:rsidRPr="00114B39">
        <w:rPr>
          <w:rFonts w:asciiTheme="majorBidi" w:hAnsiTheme="majorBidi" w:cstheme="majorBidi"/>
          <w:color w:val="0D0D0D" w:themeColor="text1" w:themeTint="F2"/>
          <w:sz w:val="28"/>
          <w:szCs w:val="28"/>
        </w:rPr>
        <w:t xml:space="preserve">serious and continuous use constitutes an objective basis for </w:t>
      </w:r>
      <w:r>
        <w:rPr>
          <w:rFonts w:asciiTheme="majorBidi" w:hAnsiTheme="majorBidi" w:cstheme="majorBidi"/>
          <w:color w:val="0D0D0D" w:themeColor="text1" w:themeTint="F2"/>
          <w:sz w:val="28"/>
          <w:szCs w:val="28"/>
        </w:rPr>
        <w:t xml:space="preserve">confirming </w:t>
      </w:r>
      <w:r w:rsidRPr="00114B39">
        <w:rPr>
          <w:rFonts w:asciiTheme="majorBidi" w:hAnsiTheme="majorBidi" w:cstheme="majorBidi"/>
          <w:color w:val="0D0D0D" w:themeColor="text1" w:themeTint="F2"/>
          <w:sz w:val="28"/>
          <w:szCs w:val="28"/>
        </w:rPr>
        <w:t xml:space="preserve">the </w:t>
      </w:r>
      <w:r w:rsidR="00703B90">
        <w:rPr>
          <w:rFonts w:asciiTheme="majorBidi" w:hAnsiTheme="majorBidi" w:cstheme="majorBidi"/>
          <w:color w:val="0D0D0D" w:themeColor="text1" w:themeTint="F2"/>
          <w:sz w:val="28"/>
          <w:szCs w:val="28"/>
        </w:rPr>
        <w:t>trademark's right. At the same time,</w:t>
      </w:r>
      <w:r w:rsidRPr="00114B39">
        <w:rPr>
          <w:rFonts w:asciiTheme="majorBidi" w:hAnsiTheme="majorBidi" w:cstheme="majorBidi"/>
          <w:color w:val="0D0D0D" w:themeColor="text1" w:themeTint="F2"/>
          <w:sz w:val="28"/>
          <w:szCs w:val="28"/>
        </w:rPr>
        <w:t xml:space="preserve"> registration</w:t>
      </w:r>
      <w:r>
        <w:rPr>
          <w:rFonts w:asciiTheme="majorBidi" w:hAnsiTheme="majorBidi" w:cstheme="majorBidi"/>
          <w:color w:val="0D0D0D" w:themeColor="text1" w:themeTint="F2"/>
          <w:sz w:val="28"/>
          <w:szCs w:val="28"/>
        </w:rPr>
        <w:t xml:space="preserve"> </w:t>
      </w:r>
      <w:r w:rsidRPr="00114B39">
        <w:rPr>
          <w:rFonts w:asciiTheme="majorBidi" w:hAnsiTheme="majorBidi" w:cstheme="majorBidi"/>
          <w:color w:val="0D0D0D" w:themeColor="text1" w:themeTint="F2"/>
          <w:sz w:val="28"/>
          <w:szCs w:val="28"/>
        </w:rPr>
        <w:t xml:space="preserve">provides </w:t>
      </w:r>
      <w:r w:rsidR="00703B90">
        <w:rPr>
          <w:rFonts w:asciiTheme="majorBidi" w:hAnsiTheme="majorBidi" w:cstheme="majorBidi"/>
          <w:color w:val="0D0D0D" w:themeColor="text1" w:themeTint="F2"/>
          <w:sz w:val="28"/>
          <w:szCs w:val="28"/>
        </w:rPr>
        <w:t>effective procedural and legal protection that enhances</w:t>
      </w:r>
      <w:r w:rsidRPr="00114B39">
        <w:rPr>
          <w:rFonts w:asciiTheme="majorBidi" w:hAnsiTheme="majorBidi" w:cstheme="majorBidi"/>
          <w:color w:val="0D0D0D" w:themeColor="text1" w:themeTint="F2"/>
          <w:sz w:val="28"/>
          <w:szCs w:val="28"/>
        </w:rPr>
        <w:t xml:space="preserve"> the stability of commercial transactions. </w:t>
      </w:r>
      <w:r>
        <w:rPr>
          <w:rFonts w:asciiTheme="majorBidi" w:hAnsiTheme="majorBidi" w:cstheme="majorBidi"/>
          <w:color w:val="0D0D0D" w:themeColor="text1" w:themeTint="F2"/>
          <w:sz w:val="28"/>
          <w:szCs w:val="28"/>
        </w:rPr>
        <w:t xml:space="preserve">Our conclusions have </w:t>
      </w:r>
      <w:r w:rsidRPr="00114B39">
        <w:rPr>
          <w:rFonts w:asciiTheme="majorBidi" w:hAnsiTheme="majorBidi" w:cstheme="majorBidi"/>
          <w:color w:val="0D0D0D" w:themeColor="text1" w:themeTint="F2"/>
          <w:sz w:val="28"/>
          <w:szCs w:val="28"/>
        </w:rPr>
        <w:t xml:space="preserve">confirmed the pivotal role of the judiciary in consolidating the principle of priority of use as a fundamental criterion for proving ownership, </w:t>
      </w:r>
      <w:r w:rsidR="00703B90">
        <w:rPr>
          <w:rFonts w:asciiTheme="majorBidi" w:hAnsiTheme="majorBidi" w:cstheme="majorBidi"/>
          <w:color w:val="0D0D0D" w:themeColor="text1" w:themeTint="F2"/>
          <w:sz w:val="28"/>
          <w:szCs w:val="28"/>
        </w:rPr>
        <w:t>and in imposing</w:t>
      </w:r>
      <w:r w:rsidRPr="00114B39">
        <w:rPr>
          <w:rFonts w:asciiTheme="majorBidi" w:hAnsiTheme="majorBidi" w:cstheme="majorBidi"/>
          <w:color w:val="0D0D0D" w:themeColor="text1" w:themeTint="F2"/>
          <w:sz w:val="28"/>
          <w:szCs w:val="28"/>
        </w:rPr>
        <w:t xml:space="preserve"> time limits on invoking this right to achieve legal security.</w:t>
      </w:r>
      <w:r w:rsidR="00B87630">
        <w:rPr>
          <w:rFonts w:asciiTheme="majorBidi" w:hAnsiTheme="majorBidi" w:cstheme="majorBidi"/>
          <w:color w:val="0D0D0D" w:themeColor="text1" w:themeTint="F2"/>
          <w:sz w:val="28"/>
          <w:szCs w:val="28"/>
        </w:rPr>
        <w:t xml:space="preserve"> </w:t>
      </w:r>
      <w:r w:rsidR="00953F1F" w:rsidRPr="00953F1F">
        <w:rPr>
          <w:bCs/>
          <w:sz w:val="28"/>
          <w:szCs w:val="28"/>
        </w:rPr>
        <w:t>In light of these results, the study has recommended the necessity of explicitly stipulating in the legislation the protection of the priority of use as an independent legal principle, setting a clear legislative definition of the concept of bad faith in trademark registration, developing rules for proving use to facilitate dispute resolution, enhancing civil protection for unregistered marks, in addition to developing administrative examination mechanisms for trademarks before registration, and encouraging business owners to register their marks as soon as possible to provide effective legal protection and avoid future disputes.</w:t>
      </w:r>
    </w:p>
    <w:p w14:paraId="5B2B627D" w14:textId="77777777" w:rsidR="00953F1F" w:rsidRDefault="00953F1F" w:rsidP="00953F1F">
      <w:pPr>
        <w:tabs>
          <w:tab w:val="decimal" w:pos="8280"/>
        </w:tabs>
        <w:spacing w:line="276" w:lineRule="auto"/>
        <w:jc w:val="both"/>
        <w:rPr>
          <w:bCs/>
          <w:sz w:val="28"/>
          <w:szCs w:val="28"/>
        </w:rPr>
      </w:pPr>
    </w:p>
    <w:p w14:paraId="2A6E4BB9" w14:textId="77777777" w:rsidR="00953F1F" w:rsidRDefault="00953F1F" w:rsidP="00953F1F">
      <w:pPr>
        <w:tabs>
          <w:tab w:val="decimal" w:pos="8280"/>
        </w:tabs>
        <w:spacing w:line="276" w:lineRule="auto"/>
        <w:jc w:val="both"/>
        <w:rPr>
          <w:bCs/>
          <w:sz w:val="28"/>
          <w:szCs w:val="28"/>
        </w:rPr>
      </w:pPr>
      <w:r w:rsidRPr="003A4BC3">
        <w:rPr>
          <w:b/>
          <w:sz w:val="32"/>
          <w:szCs w:val="32"/>
        </w:rPr>
        <w:t>Keywords</w:t>
      </w:r>
      <w:r w:rsidRPr="00953F1F">
        <w:rPr>
          <w:bCs/>
          <w:sz w:val="28"/>
          <w:szCs w:val="28"/>
        </w:rPr>
        <w:t>: Trademark, Trademark Protection, Intellectual Property, Legal Registration, UAE Law.</w:t>
      </w:r>
    </w:p>
    <w:p w14:paraId="645BCAC7" w14:textId="77777777" w:rsidR="00953F1F" w:rsidRPr="00953F1F" w:rsidRDefault="00953F1F" w:rsidP="00953F1F">
      <w:pPr>
        <w:tabs>
          <w:tab w:val="decimal" w:pos="8280"/>
        </w:tabs>
        <w:spacing w:line="276" w:lineRule="auto"/>
        <w:ind w:firstLine="540"/>
        <w:jc w:val="both"/>
        <w:rPr>
          <w:bCs/>
          <w:sz w:val="28"/>
          <w:szCs w:val="28"/>
        </w:rPr>
      </w:pPr>
    </w:p>
    <w:p w14:paraId="307F1494" w14:textId="77777777" w:rsidR="00953F1F" w:rsidRPr="003A4BC3" w:rsidRDefault="00953F1F" w:rsidP="00953F1F">
      <w:pPr>
        <w:tabs>
          <w:tab w:val="decimal" w:pos="8280"/>
        </w:tabs>
        <w:spacing w:line="276" w:lineRule="auto"/>
        <w:jc w:val="both"/>
        <w:rPr>
          <w:b/>
          <w:bCs/>
          <w:sz w:val="32"/>
          <w:szCs w:val="32"/>
        </w:rPr>
      </w:pPr>
      <w:r w:rsidRPr="003A4BC3">
        <w:rPr>
          <w:b/>
          <w:bCs/>
          <w:sz w:val="32"/>
          <w:szCs w:val="32"/>
        </w:rPr>
        <w:lastRenderedPageBreak/>
        <w:t>Introduction</w:t>
      </w:r>
    </w:p>
    <w:p w14:paraId="164534E7" w14:textId="25079F2C" w:rsidR="00953F1F" w:rsidRPr="00953F1F" w:rsidRDefault="00703B90" w:rsidP="00D039EE">
      <w:pPr>
        <w:tabs>
          <w:tab w:val="decimal" w:pos="8280"/>
        </w:tabs>
        <w:spacing w:line="276" w:lineRule="auto"/>
        <w:ind w:firstLine="720"/>
        <w:jc w:val="both"/>
        <w:rPr>
          <w:bCs/>
          <w:sz w:val="28"/>
          <w:szCs w:val="28"/>
        </w:rPr>
      </w:pPr>
      <w:r>
        <w:rPr>
          <w:bCs/>
          <w:sz w:val="28"/>
          <w:szCs w:val="28"/>
        </w:rPr>
        <w:t xml:space="preserve">A trademark can be defined as the primary communication tool between a product and its consumer, as it conveys origin, quality, and assurance, making its legal protection indispensable to ensure fair competition in </w:t>
      </w:r>
      <w:r w:rsidR="00953F1F" w:rsidRPr="00953F1F">
        <w:rPr>
          <w:bCs/>
          <w:sz w:val="28"/>
          <w:szCs w:val="28"/>
        </w:rPr>
        <w:t>markets. Legally, a trademark is any sign that takes a distinctive form, whether names, words, symbols, or images, capable of distinguishing the products or services offered by a natural or legal person from other similar goods and services</w:t>
      </w:r>
      <w:r w:rsidR="003E026D">
        <w:rPr>
          <w:bCs/>
          <w:sz w:val="28"/>
          <w:szCs w:val="28"/>
        </w:rPr>
        <w:t xml:space="preserve"> </w:t>
      </w:r>
      <w:r w:rsidR="003E026D" w:rsidRPr="003E026D">
        <w:rPr>
          <w:bCs/>
          <w:sz w:val="28"/>
          <w:szCs w:val="28"/>
        </w:rPr>
        <w:t xml:space="preserve"> (Al-Najjar, Mohammed, 2025)</w:t>
      </w:r>
      <w:r w:rsidR="00953F1F" w:rsidRPr="00953F1F">
        <w:rPr>
          <w:bCs/>
          <w:sz w:val="28"/>
          <w:szCs w:val="28"/>
        </w:rPr>
        <w:t xml:space="preserve">. The philosophy underlying trademark protection historically can be divided into two doctrines: </w:t>
      </w:r>
    </w:p>
    <w:p w14:paraId="780B522A" w14:textId="58CE792B" w:rsidR="001C4843" w:rsidRDefault="00953F1F" w:rsidP="001C4843">
      <w:pPr>
        <w:pStyle w:val="ListParagraph"/>
        <w:numPr>
          <w:ilvl w:val="0"/>
          <w:numId w:val="28"/>
        </w:numPr>
        <w:tabs>
          <w:tab w:val="decimal" w:pos="8280"/>
        </w:tabs>
        <w:spacing w:line="276" w:lineRule="auto"/>
        <w:jc w:val="both"/>
        <w:rPr>
          <w:bCs/>
          <w:sz w:val="28"/>
          <w:szCs w:val="28"/>
        </w:rPr>
      </w:pPr>
      <w:r w:rsidRPr="001C4843">
        <w:rPr>
          <w:bCs/>
          <w:sz w:val="28"/>
          <w:szCs w:val="28"/>
        </w:rPr>
        <w:t xml:space="preserve">The right to the mark is the result of exerted effort and work; and </w:t>
      </w:r>
    </w:p>
    <w:p w14:paraId="655C03B3" w14:textId="7FEA8A71" w:rsidR="001C4843" w:rsidRDefault="001C4843" w:rsidP="001C4843">
      <w:pPr>
        <w:pStyle w:val="ListParagraph"/>
        <w:numPr>
          <w:ilvl w:val="0"/>
          <w:numId w:val="28"/>
        </w:numPr>
        <w:tabs>
          <w:tab w:val="decimal" w:pos="8280"/>
        </w:tabs>
        <w:spacing w:line="276" w:lineRule="auto"/>
        <w:jc w:val="both"/>
        <w:rPr>
          <w:bCs/>
          <w:sz w:val="28"/>
          <w:szCs w:val="28"/>
        </w:rPr>
      </w:pPr>
      <w:r>
        <w:rPr>
          <w:bCs/>
          <w:sz w:val="28"/>
          <w:szCs w:val="28"/>
        </w:rPr>
        <w:t xml:space="preserve">Such </w:t>
      </w:r>
      <w:r w:rsidR="00703B90">
        <w:rPr>
          <w:bCs/>
          <w:sz w:val="28"/>
          <w:szCs w:val="28"/>
        </w:rPr>
        <w:t xml:space="preserve">a </w:t>
      </w:r>
      <w:r>
        <w:rPr>
          <w:bCs/>
          <w:sz w:val="28"/>
          <w:szCs w:val="28"/>
        </w:rPr>
        <w:t>right</w:t>
      </w:r>
      <w:r w:rsidR="00953F1F" w:rsidRPr="001C4843">
        <w:rPr>
          <w:bCs/>
          <w:sz w:val="28"/>
          <w:szCs w:val="28"/>
        </w:rPr>
        <w:t xml:space="preserve"> requires an official registration system to ensure publicity and legal stability. </w:t>
      </w:r>
    </w:p>
    <w:p w14:paraId="1606E031" w14:textId="77777777" w:rsidR="001C4843" w:rsidRPr="00D50F33" w:rsidRDefault="001C4843" w:rsidP="001C4843">
      <w:pPr>
        <w:pStyle w:val="ListParagraph"/>
        <w:tabs>
          <w:tab w:val="decimal" w:pos="8280"/>
        </w:tabs>
        <w:spacing w:line="276" w:lineRule="auto"/>
        <w:jc w:val="both"/>
        <w:rPr>
          <w:bCs/>
          <w:sz w:val="16"/>
          <w:szCs w:val="16"/>
        </w:rPr>
      </w:pPr>
    </w:p>
    <w:p w14:paraId="20D37C70" w14:textId="114B6075" w:rsidR="001C4843" w:rsidRDefault="00CA1C05" w:rsidP="00D039EE">
      <w:pPr>
        <w:tabs>
          <w:tab w:val="decimal" w:pos="8280"/>
        </w:tabs>
        <w:spacing w:line="276" w:lineRule="auto"/>
        <w:ind w:firstLine="720"/>
        <w:jc w:val="both"/>
        <w:rPr>
          <w:bCs/>
          <w:sz w:val="28"/>
          <w:szCs w:val="28"/>
        </w:rPr>
      </w:pPr>
      <w:r>
        <w:rPr>
          <w:bCs/>
          <w:sz w:val="28"/>
          <w:szCs w:val="28"/>
        </w:rPr>
        <w:t>Remarkably, the Federal Decree-Law No. 36 of 2021 has placed the UAE among the global leaders in</w:t>
      </w:r>
      <w:r w:rsidR="001C4843" w:rsidRPr="001C4843">
        <w:rPr>
          <w:bCs/>
          <w:sz w:val="28"/>
          <w:szCs w:val="28"/>
        </w:rPr>
        <w:t xml:space="preserve"> intellectual property, providing comprehensive protection for trademarks o</w:t>
      </w:r>
      <w:r w:rsidR="0061716A">
        <w:rPr>
          <w:bCs/>
          <w:sz w:val="28"/>
          <w:szCs w:val="28"/>
        </w:rPr>
        <w:t>f all kinds, including famous, collective</w:t>
      </w:r>
      <w:r w:rsidR="001C4843" w:rsidRPr="001C4843">
        <w:rPr>
          <w:bCs/>
          <w:sz w:val="28"/>
          <w:szCs w:val="28"/>
        </w:rPr>
        <w:t>, and certificatio</w:t>
      </w:r>
      <w:r w:rsidR="0061716A">
        <w:rPr>
          <w:bCs/>
          <w:sz w:val="28"/>
          <w:szCs w:val="28"/>
        </w:rPr>
        <w:t>n marks. In parallel, Egyptian L</w:t>
      </w:r>
      <w:r w:rsidR="001C4843" w:rsidRPr="001C4843">
        <w:rPr>
          <w:bCs/>
          <w:sz w:val="28"/>
          <w:szCs w:val="28"/>
        </w:rPr>
        <w:t xml:space="preserve">aw offers a rich experience through </w:t>
      </w:r>
      <w:r>
        <w:rPr>
          <w:bCs/>
          <w:sz w:val="28"/>
          <w:szCs w:val="28"/>
        </w:rPr>
        <w:t xml:space="preserve">the Intellectual Property Rights Protection Law No. 82 of 2002, which sets out precise controls for balancing </w:t>
      </w:r>
      <w:r w:rsidR="001C4843" w:rsidRPr="001C4843">
        <w:rPr>
          <w:bCs/>
          <w:sz w:val="28"/>
          <w:szCs w:val="28"/>
        </w:rPr>
        <w:t xml:space="preserve">use and registration, supported by a long judicial legacy of Supreme Court rulings that </w:t>
      </w:r>
      <w:r w:rsidR="0061716A">
        <w:rPr>
          <w:bCs/>
          <w:sz w:val="28"/>
          <w:szCs w:val="28"/>
        </w:rPr>
        <w:t xml:space="preserve">have </w:t>
      </w:r>
      <w:r w:rsidR="001C4843" w:rsidRPr="001C4843">
        <w:rPr>
          <w:bCs/>
          <w:sz w:val="28"/>
          <w:szCs w:val="28"/>
        </w:rPr>
        <w:t>established fundamental principles in this regard</w:t>
      </w:r>
      <w:r w:rsidR="00C076A2" w:rsidRPr="00C076A2">
        <w:rPr>
          <w:bCs/>
          <w:sz w:val="28"/>
          <w:szCs w:val="28"/>
        </w:rPr>
        <w:t xml:space="preserve"> (Mohamed, Khalid Mamdouh Ibrahim, 2020)</w:t>
      </w:r>
      <w:r w:rsidR="0061716A">
        <w:rPr>
          <w:bCs/>
          <w:sz w:val="28"/>
          <w:szCs w:val="28"/>
        </w:rPr>
        <w:t xml:space="preserve">. </w:t>
      </w:r>
      <w:r w:rsidR="009B64FA">
        <w:rPr>
          <w:bCs/>
          <w:sz w:val="28"/>
          <w:szCs w:val="28"/>
        </w:rPr>
        <w:t>However, research on</w:t>
      </w:r>
      <w:r w:rsidR="001C4843" w:rsidRPr="001C4843">
        <w:rPr>
          <w:bCs/>
          <w:sz w:val="28"/>
          <w:szCs w:val="28"/>
        </w:rPr>
        <w:t xml:space="preserve"> the legal basis of protection requires </w:t>
      </w:r>
      <w:r w:rsidR="009B64FA">
        <w:rPr>
          <w:bCs/>
          <w:sz w:val="28"/>
          <w:szCs w:val="28"/>
        </w:rPr>
        <w:t xml:space="preserve">careful </w:t>
      </w:r>
      <w:r>
        <w:rPr>
          <w:bCs/>
          <w:sz w:val="28"/>
          <w:szCs w:val="28"/>
        </w:rPr>
        <w:t>examination of</w:t>
      </w:r>
      <w:r w:rsidR="009B64FA">
        <w:rPr>
          <w:bCs/>
          <w:sz w:val="28"/>
          <w:szCs w:val="28"/>
        </w:rPr>
        <w:t xml:space="preserve"> the relationship between physical reality and registration</w:t>
      </w:r>
      <w:r w:rsidR="001C4843" w:rsidRPr="001C4843">
        <w:rPr>
          <w:bCs/>
          <w:sz w:val="28"/>
          <w:szCs w:val="28"/>
        </w:rPr>
        <w:t xml:space="preserve">, which </w:t>
      </w:r>
      <w:r w:rsidR="009B64FA">
        <w:rPr>
          <w:bCs/>
          <w:sz w:val="28"/>
          <w:szCs w:val="28"/>
        </w:rPr>
        <w:t xml:space="preserve">undoubtedly </w:t>
      </w:r>
      <w:r w:rsidR="001C4843" w:rsidRPr="001C4843">
        <w:rPr>
          <w:bCs/>
          <w:sz w:val="28"/>
          <w:szCs w:val="28"/>
        </w:rPr>
        <w:t>forms the core of legal disputes revolving around ownership rights when use conflicts with registration.</w:t>
      </w:r>
    </w:p>
    <w:p w14:paraId="6C5996D9" w14:textId="37D7EA12" w:rsidR="00A86341" w:rsidRDefault="00A86341" w:rsidP="00A86341">
      <w:pPr>
        <w:tabs>
          <w:tab w:val="decimal" w:pos="8280"/>
        </w:tabs>
        <w:spacing w:line="276" w:lineRule="auto"/>
        <w:ind w:firstLine="540"/>
        <w:jc w:val="both"/>
        <w:rPr>
          <w:bCs/>
          <w:sz w:val="28"/>
          <w:szCs w:val="28"/>
        </w:rPr>
      </w:pPr>
      <w:r w:rsidRPr="00A86341">
        <w:rPr>
          <w:bCs/>
          <w:sz w:val="28"/>
          <w:szCs w:val="28"/>
        </w:rPr>
        <w:t>The research problem</w:t>
      </w:r>
      <w:r w:rsidR="00CA1C05">
        <w:rPr>
          <w:bCs/>
          <w:sz w:val="28"/>
          <w:szCs w:val="28"/>
        </w:rPr>
        <w:t>, however,</w:t>
      </w:r>
      <w:r>
        <w:rPr>
          <w:bCs/>
          <w:sz w:val="28"/>
          <w:szCs w:val="28"/>
        </w:rPr>
        <w:t xml:space="preserve"> </w:t>
      </w:r>
      <w:r w:rsidRPr="00A86341">
        <w:rPr>
          <w:bCs/>
          <w:sz w:val="28"/>
          <w:szCs w:val="28"/>
        </w:rPr>
        <w:t xml:space="preserve">arises from the potential conflict </w:t>
      </w:r>
      <w:r w:rsidR="00CA1C05">
        <w:rPr>
          <w:bCs/>
          <w:sz w:val="28"/>
          <w:szCs w:val="28"/>
        </w:rPr>
        <w:t xml:space="preserve">between those who initiate the actual use of a trademark in the market without registering it, and those who rush to register the same or a similar mark with official authorities </w:t>
      </w:r>
      <w:r w:rsidR="003A56DA" w:rsidRPr="003A56DA">
        <w:rPr>
          <w:bCs/>
          <w:sz w:val="28"/>
          <w:szCs w:val="28"/>
        </w:rPr>
        <w:t>(Al-Najjar, Mohammed, 2025)</w:t>
      </w:r>
      <w:r w:rsidRPr="00A86341">
        <w:rPr>
          <w:bCs/>
          <w:sz w:val="28"/>
          <w:szCs w:val="28"/>
        </w:rPr>
        <w:t>. This problem is embodied</w:t>
      </w:r>
      <w:r>
        <w:rPr>
          <w:bCs/>
          <w:sz w:val="28"/>
          <w:szCs w:val="28"/>
        </w:rPr>
        <w:t xml:space="preserve"> in several key legal questions.</w:t>
      </w:r>
      <w:r w:rsidR="00C076A2">
        <w:rPr>
          <w:bCs/>
          <w:sz w:val="28"/>
          <w:szCs w:val="28"/>
        </w:rPr>
        <w:t xml:space="preserve"> </w:t>
      </w:r>
      <w:r>
        <w:rPr>
          <w:bCs/>
          <w:sz w:val="28"/>
          <w:szCs w:val="28"/>
        </w:rPr>
        <w:t>These questions can be summarized as follows</w:t>
      </w:r>
      <w:r w:rsidR="00CA1C05">
        <w:rPr>
          <w:bCs/>
          <w:sz w:val="28"/>
          <w:szCs w:val="28"/>
        </w:rPr>
        <w:t>.</w:t>
      </w:r>
      <w:r w:rsidRPr="00A86341">
        <w:rPr>
          <w:bCs/>
          <w:sz w:val="28"/>
          <w:szCs w:val="28"/>
        </w:rPr>
        <w:t xml:space="preserve"> </w:t>
      </w:r>
    </w:p>
    <w:p w14:paraId="43FCEB95" w14:textId="1A13AB59" w:rsidR="00B5197C" w:rsidRDefault="00B5197C" w:rsidP="00B5197C">
      <w:pPr>
        <w:pStyle w:val="ListParagraph"/>
        <w:numPr>
          <w:ilvl w:val="0"/>
          <w:numId w:val="30"/>
        </w:numPr>
        <w:tabs>
          <w:tab w:val="decimal" w:pos="8280"/>
        </w:tabs>
        <w:spacing w:line="276" w:lineRule="auto"/>
        <w:ind w:left="450"/>
        <w:jc w:val="both"/>
        <w:rPr>
          <w:bCs/>
          <w:sz w:val="28"/>
          <w:szCs w:val="28"/>
        </w:rPr>
      </w:pPr>
      <w:r>
        <w:rPr>
          <w:bCs/>
          <w:sz w:val="28"/>
          <w:szCs w:val="28"/>
        </w:rPr>
        <w:t>How do we consider</w:t>
      </w:r>
      <w:r w:rsidR="00A86341" w:rsidRPr="00B5197C">
        <w:rPr>
          <w:bCs/>
          <w:sz w:val="28"/>
          <w:szCs w:val="28"/>
        </w:rPr>
        <w:t xml:space="preserve"> </w:t>
      </w:r>
      <w:r>
        <w:rPr>
          <w:bCs/>
          <w:sz w:val="28"/>
          <w:szCs w:val="28"/>
        </w:rPr>
        <w:t xml:space="preserve">the trademark </w:t>
      </w:r>
      <w:r w:rsidR="00A86341" w:rsidRPr="00B5197C">
        <w:rPr>
          <w:bCs/>
          <w:sz w:val="28"/>
          <w:szCs w:val="28"/>
        </w:rPr>
        <w:t>reg</w:t>
      </w:r>
      <w:r>
        <w:rPr>
          <w:bCs/>
          <w:sz w:val="28"/>
          <w:szCs w:val="28"/>
        </w:rPr>
        <w:t xml:space="preserve">istration? </w:t>
      </w:r>
      <w:r w:rsidR="00CA1C05">
        <w:rPr>
          <w:bCs/>
          <w:sz w:val="28"/>
          <w:szCs w:val="28"/>
        </w:rPr>
        <w:t>Is</w:t>
      </w:r>
      <w:r>
        <w:rPr>
          <w:bCs/>
          <w:sz w:val="28"/>
          <w:szCs w:val="28"/>
        </w:rPr>
        <w:t xml:space="preserve"> it </w:t>
      </w:r>
      <w:r w:rsidR="00A86341" w:rsidRPr="00B5197C">
        <w:rPr>
          <w:bCs/>
          <w:sz w:val="28"/>
          <w:szCs w:val="28"/>
        </w:rPr>
        <w:t>a "constitu</w:t>
      </w:r>
      <w:r>
        <w:rPr>
          <w:bCs/>
          <w:sz w:val="28"/>
          <w:szCs w:val="28"/>
        </w:rPr>
        <w:t>tive" procedure for the trademark</w:t>
      </w:r>
      <w:r w:rsidR="00A86341" w:rsidRPr="00B5197C">
        <w:rPr>
          <w:bCs/>
          <w:sz w:val="28"/>
          <w:szCs w:val="28"/>
        </w:rPr>
        <w:t xml:space="preserve"> ownership, or is it merely a "declarative" procedure and a legal presumption that can be rebutted? </w:t>
      </w:r>
    </w:p>
    <w:p w14:paraId="58E68A6B" w14:textId="1269DBF0" w:rsidR="00B5197C" w:rsidRDefault="00B5197C" w:rsidP="00B5197C">
      <w:pPr>
        <w:pStyle w:val="ListParagraph"/>
        <w:numPr>
          <w:ilvl w:val="0"/>
          <w:numId w:val="30"/>
        </w:numPr>
        <w:tabs>
          <w:tab w:val="decimal" w:pos="8280"/>
        </w:tabs>
        <w:spacing w:line="276" w:lineRule="auto"/>
        <w:ind w:left="450"/>
        <w:jc w:val="both"/>
        <w:rPr>
          <w:bCs/>
          <w:sz w:val="28"/>
          <w:szCs w:val="28"/>
        </w:rPr>
      </w:pPr>
      <w:r>
        <w:rPr>
          <w:bCs/>
          <w:sz w:val="28"/>
          <w:szCs w:val="28"/>
        </w:rPr>
        <w:t>W</w:t>
      </w:r>
      <w:r w:rsidR="00A86341" w:rsidRPr="00B5197C">
        <w:rPr>
          <w:bCs/>
          <w:sz w:val="28"/>
          <w:szCs w:val="28"/>
        </w:rPr>
        <w:t>hat is the temporal and substantive scope in which the law allows the prior user to assert their right against the registered owner?</w:t>
      </w:r>
    </w:p>
    <w:p w14:paraId="1F591C2A" w14:textId="77777777" w:rsidR="008C4543" w:rsidRDefault="00B5197C" w:rsidP="00B5197C">
      <w:pPr>
        <w:pStyle w:val="ListParagraph"/>
        <w:numPr>
          <w:ilvl w:val="0"/>
          <w:numId w:val="30"/>
        </w:numPr>
        <w:tabs>
          <w:tab w:val="decimal" w:pos="8280"/>
        </w:tabs>
        <w:spacing w:line="276" w:lineRule="auto"/>
        <w:ind w:left="450"/>
        <w:jc w:val="both"/>
        <w:rPr>
          <w:bCs/>
          <w:sz w:val="28"/>
          <w:szCs w:val="28"/>
        </w:rPr>
      </w:pPr>
      <w:r>
        <w:rPr>
          <w:bCs/>
          <w:sz w:val="28"/>
          <w:szCs w:val="28"/>
        </w:rPr>
        <w:t>H</w:t>
      </w:r>
      <w:r w:rsidR="00A86341" w:rsidRPr="00B5197C">
        <w:rPr>
          <w:bCs/>
          <w:sz w:val="28"/>
          <w:szCs w:val="28"/>
        </w:rPr>
        <w:t xml:space="preserve">ow does the law deal with cases of "bad faith" in registration, where a person registers a mark fully aware that it is owned by another abroad or used locally? </w:t>
      </w:r>
    </w:p>
    <w:p w14:paraId="389A4350" w14:textId="77777777" w:rsidR="00A86341" w:rsidRDefault="008C4543" w:rsidP="00B5197C">
      <w:pPr>
        <w:pStyle w:val="ListParagraph"/>
        <w:numPr>
          <w:ilvl w:val="0"/>
          <w:numId w:val="30"/>
        </w:numPr>
        <w:tabs>
          <w:tab w:val="decimal" w:pos="8280"/>
        </w:tabs>
        <w:spacing w:line="276" w:lineRule="auto"/>
        <w:ind w:left="450"/>
        <w:jc w:val="both"/>
        <w:rPr>
          <w:bCs/>
          <w:sz w:val="28"/>
          <w:szCs w:val="28"/>
        </w:rPr>
      </w:pPr>
      <w:r>
        <w:rPr>
          <w:bCs/>
          <w:sz w:val="28"/>
          <w:szCs w:val="28"/>
        </w:rPr>
        <w:t>W</w:t>
      </w:r>
      <w:r w:rsidR="00A86341" w:rsidRPr="00B5197C">
        <w:rPr>
          <w:bCs/>
          <w:sz w:val="28"/>
          <w:szCs w:val="28"/>
        </w:rPr>
        <w:t>hat are the judicial standards that resolve the dispute when both parties present ownership evidence equally, and how is the balance struck between the stability of transactions arising from registration and the protection of acquired rights arising from use?</w:t>
      </w:r>
    </w:p>
    <w:p w14:paraId="1115158E" w14:textId="520A3A9A" w:rsidR="00D039EE" w:rsidRDefault="008C4543" w:rsidP="00D039EE">
      <w:pPr>
        <w:ind w:firstLine="720"/>
        <w:jc w:val="both"/>
        <w:rPr>
          <w:rFonts w:asciiTheme="majorBidi" w:hAnsiTheme="majorBidi" w:cstheme="majorBidi"/>
          <w:color w:val="0D0D0D" w:themeColor="text1" w:themeTint="F2"/>
          <w:sz w:val="28"/>
          <w:szCs w:val="28"/>
        </w:rPr>
      </w:pPr>
      <w:r w:rsidRPr="008C4543">
        <w:rPr>
          <w:rFonts w:asciiTheme="majorBidi" w:hAnsiTheme="majorBidi" w:cstheme="majorBidi"/>
          <w:color w:val="0D0D0D" w:themeColor="text1" w:themeTint="F2"/>
          <w:sz w:val="28"/>
          <w:szCs w:val="28"/>
        </w:rPr>
        <w:lastRenderedPageBreak/>
        <w:t xml:space="preserve">The </w:t>
      </w:r>
      <w:r w:rsidR="00D039EE">
        <w:rPr>
          <w:rFonts w:asciiTheme="majorBidi" w:hAnsiTheme="majorBidi" w:cstheme="majorBidi"/>
          <w:color w:val="0D0D0D" w:themeColor="text1" w:themeTint="F2"/>
          <w:sz w:val="28"/>
          <w:szCs w:val="28"/>
        </w:rPr>
        <w:t xml:space="preserve">current </w:t>
      </w:r>
      <w:r w:rsidRPr="008C4543">
        <w:rPr>
          <w:rFonts w:asciiTheme="majorBidi" w:hAnsiTheme="majorBidi" w:cstheme="majorBidi"/>
          <w:color w:val="0D0D0D" w:themeColor="text1" w:themeTint="F2"/>
          <w:sz w:val="28"/>
          <w:szCs w:val="28"/>
        </w:rPr>
        <w:t xml:space="preserve">research </w:t>
      </w:r>
      <w:r>
        <w:rPr>
          <w:rFonts w:asciiTheme="majorBidi" w:hAnsiTheme="majorBidi" w:cstheme="majorBidi"/>
          <w:color w:val="0D0D0D" w:themeColor="text1" w:themeTint="F2"/>
          <w:sz w:val="28"/>
          <w:szCs w:val="28"/>
        </w:rPr>
        <w:t>seek</w:t>
      </w:r>
      <w:r w:rsidR="00D039EE">
        <w:rPr>
          <w:rFonts w:asciiTheme="majorBidi" w:hAnsiTheme="majorBidi" w:cstheme="majorBidi"/>
          <w:color w:val="0D0D0D" w:themeColor="text1" w:themeTint="F2"/>
          <w:sz w:val="28"/>
          <w:szCs w:val="28"/>
        </w:rPr>
        <w:t>s</w:t>
      </w:r>
      <w:r>
        <w:rPr>
          <w:rFonts w:asciiTheme="majorBidi" w:hAnsiTheme="majorBidi" w:cstheme="majorBidi"/>
          <w:color w:val="0D0D0D" w:themeColor="text1" w:themeTint="F2"/>
          <w:sz w:val="28"/>
          <w:szCs w:val="28"/>
        </w:rPr>
        <w:t xml:space="preserve"> to </w:t>
      </w:r>
      <w:r w:rsidRPr="008C4543">
        <w:rPr>
          <w:rFonts w:asciiTheme="majorBidi" w:hAnsiTheme="majorBidi" w:cstheme="majorBidi"/>
          <w:color w:val="0D0D0D" w:themeColor="text1" w:themeTint="F2"/>
          <w:sz w:val="28"/>
          <w:szCs w:val="28"/>
        </w:rPr>
        <w:t>provide a comprehensive analytical and comparative vision of the legal system that protects trademarks,</w:t>
      </w:r>
      <w:r>
        <w:rPr>
          <w:rFonts w:asciiTheme="majorBidi" w:hAnsiTheme="majorBidi" w:cstheme="majorBidi"/>
          <w:color w:val="0D0D0D" w:themeColor="text1" w:themeTint="F2"/>
          <w:sz w:val="28"/>
          <w:szCs w:val="28"/>
        </w:rPr>
        <w:t xml:space="preserve"> through the achievement of certain o</w:t>
      </w:r>
      <w:r w:rsidRPr="008C4543">
        <w:rPr>
          <w:rFonts w:asciiTheme="majorBidi" w:hAnsiTheme="majorBidi" w:cstheme="majorBidi"/>
          <w:color w:val="0D0D0D" w:themeColor="text1" w:themeTint="F2"/>
          <w:sz w:val="28"/>
          <w:szCs w:val="28"/>
        </w:rPr>
        <w:t>bjectives</w:t>
      </w:r>
      <w:r w:rsidR="00CA1C05">
        <w:rPr>
          <w:rFonts w:asciiTheme="majorBidi" w:hAnsiTheme="majorBidi" w:cstheme="majorBidi"/>
          <w:color w:val="0D0D0D" w:themeColor="text1" w:themeTint="F2"/>
          <w:sz w:val="28"/>
          <w:szCs w:val="28"/>
        </w:rPr>
        <w:t>,</w:t>
      </w:r>
      <w:r>
        <w:rPr>
          <w:rFonts w:asciiTheme="majorBidi" w:hAnsiTheme="majorBidi" w:cstheme="majorBidi"/>
          <w:color w:val="0D0D0D" w:themeColor="text1" w:themeTint="F2"/>
          <w:sz w:val="28"/>
          <w:szCs w:val="28"/>
        </w:rPr>
        <w:t xml:space="preserve"> including</w:t>
      </w:r>
      <w:r w:rsidRPr="008C4543">
        <w:rPr>
          <w:rFonts w:asciiTheme="majorBidi" w:hAnsiTheme="majorBidi" w:cstheme="majorBidi"/>
          <w:color w:val="0D0D0D" w:themeColor="text1" w:themeTint="F2"/>
          <w:sz w:val="28"/>
          <w:szCs w:val="28"/>
        </w:rPr>
        <w:t xml:space="preserve">: </w:t>
      </w:r>
    </w:p>
    <w:p w14:paraId="70E8929E" w14:textId="77777777" w:rsidR="00D039EE" w:rsidRDefault="00D039EE" w:rsidP="00D039EE">
      <w:pPr>
        <w:pStyle w:val="ListParagraph"/>
        <w:numPr>
          <w:ilvl w:val="0"/>
          <w:numId w:val="31"/>
        </w:numPr>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E</w:t>
      </w:r>
      <w:r w:rsidR="008C4543" w:rsidRPr="00D039EE">
        <w:rPr>
          <w:rFonts w:asciiTheme="majorBidi" w:hAnsiTheme="majorBidi" w:cstheme="majorBidi"/>
          <w:color w:val="0D0D0D" w:themeColor="text1" w:themeTint="F2"/>
          <w:sz w:val="28"/>
          <w:szCs w:val="28"/>
        </w:rPr>
        <w:t xml:space="preserve">stablishing the legal concept of trademark ownership in the UAE and Egyptian legislation, and determining the legal nature of registration and use; analyzing the conditions </w:t>
      </w:r>
      <w:r w:rsidRPr="00D039EE">
        <w:rPr>
          <w:rFonts w:asciiTheme="majorBidi" w:hAnsiTheme="majorBidi" w:cstheme="majorBidi"/>
          <w:color w:val="0D0D0D" w:themeColor="text1" w:themeTint="F2"/>
          <w:sz w:val="28"/>
          <w:szCs w:val="28"/>
        </w:rPr>
        <w:t xml:space="preserve">required </w:t>
      </w:r>
      <w:r w:rsidR="008C4543" w:rsidRPr="00D039EE">
        <w:rPr>
          <w:rFonts w:asciiTheme="majorBidi" w:hAnsiTheme="majorBidi" w:cstheme="majorBidi"/>
          <w:color w:val="0D0D0D" w:themeColor="text1" w:themeTint="F2"/>
          <w:sz w:val="28"/>
          <w:szCs w:val="28"/>
        </w:rPr>
        <w:t xml:space="preserve">for acquiring the right to a trademark, with a focus on the role of good faith as a decisive criterion in </w:t>
      </w:r>
      <w:r w:rsidRPr="00D039EE">
        <w:rPr>
          <w:rFonts w:asciiTheme="majorBidi" w:hAnsiTheme="majorBidi" w:cstheme="majorBidi"/>
          <w:color w:val="0D0D0D" w:themeColor="text1" w:themeTint="F2"/>
          <w:sz w:val="28"/>
          <w:szCs w:val="28"/>
        </w:rPr>
        <w:t xml:space="preserve">the </w:t>
      </w:r>
      <w:r w:rsidR="008C4543" w:rsidRPr="00D039EE">
        <w:rPr>
          <w:rFonts w:asciiTheme="majorBidi" w:hAnsiTheme="majorBidi" w:cstheme="majorBidi"/>
          <w:color w:val="0D0D0D" w:themeColor="text1" w:themeTint="F2"/>
          <w:sz w:val="28"/>
          <w:szCs w:val="28"/>
        </w:rPr>
        <w:t xml:space="preserve">entitlement to protection; </w:t>
      </w:r>
    </w:p>
    <w:p w14:paraId="254DB3C8" w14:textId="77777777" w:rsidR="00D039EE" w:rsidRDefault="00D039EE" w:rsidP="00D039EE">
      <w:pPr>
        <w:pStyle w:val="ListParagraph"/>
        <w:numPr>
          <w:ilvl w:val="0"/>
          <w:numId w:val="31"/>
        </w:numPr>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S</w:t>
      </w:r>
      <w:r w:rsidR="008C4543" w:rsidRPr="00D039EE">
        <w:rPr>
          <w:rFonts w:asciiTheme="majorBidi" w:hAnsiTheme="majorBidi" w:cstheme="majorBidi"/>
          <w:color w:val="0D0D0D" w:themeColor="text1" w:themeTint="F2"/>
          <w:sz w:val="28"/>
          <w:szCs w:val="28"/>
        </w:rPr>
        <w:t xml:space="preserve">tudying the time periods and legal durations set by the legislator to fortify the registered mark, and the extent of the impact of continuous use on this immunity; </w:t>
      </w:r>
    </w:p>
    <w:p w14:paraId="30F6C737" w14:textId="77777777" w:rsidR="00D039EE" w:rsidRDefault="00D039EE" w:rsidP="00D039EE">
      <w:pPr>
        <w:pStyle w:val="ListParagraph"/>
        <w:numPr>
          <w:ilvl w:val="0"/>
          <w:numId w:val="31"/>
        </w:numPr>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R</w:t>
      </w:r>
      <w:r w:rsidR="008C4543" w:rsidRPr="00D039EE">
        <w:rPr>
          <w:rFonts w:asciiTheme="majorBidi" w:hAnsiTheme="majorBidi" w:cstheme="majorBidi"/>
          <w:color w:val="0D0D0D" w:themeColor="text1" w:themeTint="F2"/>
          <w:sz w:val="28"/>
          <w:szCs w:val="28"/>
        </w:rPr>
        <w:t xml:space="preserve">eviewing the special protection granted to famous marks, and how they deviate from the general rules of registration and territoriality; </w:t>
      </w:r>
    </w:p>
    <w:p w14:paraId="06454E5E" w14:textId="77777777" w:rsidR="008C4543" w:rsidRPr="00D039EE" w:rsidRDefault="00D039EE" w:rsidP="00D039EE">
      <w:pPr>
        <w:pStyle w:val="ListParagraph"/>
        <w:numPr>
          <w:ilvl w:val="0"/>
          <w:numId w:val="31"/>
        </w:numPr>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A</w:t>
      </w:r>
      <w:r w:rsidR="008C4543" w:rsidRPr="00D039EE">
        <w:rPr>
          <w:rFonts w:asciiTheme="majorBidi" w:hAnsiTheme="majorBidi" w:cstheme="majorBidi"/>
          <w:color w:val="0D0D0D" w:themeColor="text1" w:themeTint="F2"/>
          <w:sz w:val="28"/>
          <w:szCs w:val="28"/>
        </w:rPr>
        <w:t>nalyzing the judicial trends of the Courts of Cassation in Dubai and Egypt, to deduce the principles governing the preference between priority of use and the privilege of registration in practical reality.</w:t>
      </w:r>
    </w:p>
    <w:p w14:paraId="2BDC2745" w14:textId="77777777" w:rsidR="008C4543" w:rsidRPr="00A07AC3" w:rsidRDefault="008C4543" w:rsidP="008C4543">
      <w:pPr>
        <w:tabs>
          <w:tab w:val="decimal" w:pos="8280"/>
        </w:tabs>
        <w:spacing w:line="276" w:lineRule="auto"/>
        <w:ind w:left="90"/>
        <w:jc w:val="both"/>
        <w:rPr>
          <w:bCs/>
          <w:sz w:val="16"/>
          <w:szCs w:val="16"/>
        </w:rPr>
      </w:pPr>
    </w:p>
    <w:p w14:paraId="37DB419B" w14:textId="17394722" w:rsidR="00A07AC3" w:rsidRDefault="00D039EE" w:rsidP="00A07AC3">
      <w:pPr>
        <w:tabs>
          <w:tab w:val="decimal" w:pos="8280"/>
        </w:tabs>
        <w:spacing w:line="276" w:lineRule="auto"/>
        <w:ind w:left="90" w:firstLine="630"/>
        <w:jc w:val="both"/>
        <w:rPr>
          <w:bCs/>
          <w:sz w:val="28"/>
          <w:szCs w:val="28"/>
        </w:rPr>
      </w:pPr>
      <w:r w:rsidRPr="00D039EE">
        <w:rPr>
          <w:bCs/>
          <w:sz w:val="28"/>
          <w:szCs w:val="28"/>
        </w:rPr>
        <w:t xml:space="preserve">The </w:t>
      </w:r>
      <w:r w:rsidR="00A07AC3">
        <w:rPr>
          <w:bCs/>
          <w:sz w:val="28"/>
          <w:szCs w:val="28"/>
        </w:rPr>
        <w:t>research importance</w:t>
      </w:r>
      <w:r w:rsidRPr="00D039EE">
        <w:rPr>
          <w:bCs/>
          <w:sz w:val="28"/>
          <w:szCs w:val="28"/>
        </w:rPr>
        <w:t xml:space="preserve"> is manifested in addressing a subject that touches the core of economic activity under commercial globalization, </w:t>
      </w:r>
      <w:r w:rsidR="00CA1C05">
        <w:rPr>
          <w:bCs/>
          <w:sz w:val="28"/>
          <w:szCs w:val="28"/>
        </w:rPr>
        <w:t>as</w:t>
      </w:r>
      <w:r w:rsidR="00A07AC3">
        <w:rPr>
          <w:bCs/>
          <w:sz w:val="28"/>
          <w:szCs w:val="28"/>
        </w:rPr>
        <w:t xml:space="preserve"> demonstrated </w:t>
      </w:r>
      <w:r w:rsidRPr="00D039EE">
        <w:rPr>
          <w:bCs/>
          <w:sz w:val="28"/>
          <w:szCs w:val="28"/>
        </w:rPr>
        <w:t xml:space="preserve">in the following aspects: </w:t>
      </w:r>
    </w:p>
    <w:p w14:paraId="7170B258" w14:textId="77777777" w:rsidR="00A07AC3" w:rsidRDefault="00A07AC3" w:rsidP="00A07AC3">
      <w:pPr>
        <w:pStyle w:val="ListParagraph"/>
        <w:numPr>
          <w:ilvl w:val="0"/>
          <w:numId w:val="32"/>
        </w:numPr>
        <w:tabs>
          <w:tab w:val="decimal" w:pos="8280"/>
        </w:tabs>
        <w:spacing w:line="276" w:lineRule="auto"/>
        <w:jc w:val="both"/>
        <w:rPr>
          <w:bCs/>
          <w:sz w:val="28"/>
          <w:szCs w:val="28"/>
        </w:rPr>
      </w:pPr>
      <w:r>
        <w:rPr>
          <w:bCs/>
          <w:sz w:val="28"/>
          <w:szCs w:val="28"/>
        </w:rPr>
        <w:t>L</w:t>
      </w:r>
      <w:r w:rsidR="00D039EE" w:rsidRPr="00A07AC3">
        <w:rPr>
          <w:bCs/>
          <w:sz w:val="28"/>
          <w:szCs w:val="28"/>
        </w:rPr>
        <w:t xml:space="preserve">egislative importance by shedding light on Federal Decree-Law No. 36 of 2021 of the UAE, which represents the latest legislative response to international challenges in the field of industrial property; </w:t>
      </w:r>
    </w:p>
    <w:p w14:paraId="0B76CE69" w14:textId="77777777" w:rsidR="00A07AC3" w:rsidRDefault="00A07AC3" w:rsidP="00A07AC3">
      <w:pPr>
        <w:pStyle w:val="ListParagraph"/>
        <w:numPr>
          <w:ilvl w:val="0"/>
          <w:numId w:val="32"/>
        </w:numPr>
        <w:tabs>
          <w:tab w:val="decimal" w:pos="8280"/>
        </w:tabs>
        <w:spacing w:line="276" w:lineRule="auto"/>
        <w:jc w:val="both"/>
        <w:rPr>
          <w:bCs/>
          <w:sz w:val="28"/>
          <w:szCs w:val="28"/>
        </w:rPr>
      </w:pPr>
      <w:r>
        <w:rPr>
          <w:bCs/>
          <w:sz w:val="28"/>
          <w:szCs w:val="28"/>
        </w:rPr>
        <w:t>P</w:t>
      </w:r>
      <w:r w:rsidR="00D039EE" w:rsidRPr="00A07AC3">
        <w:rPr>
          <w:bCs/>
          <w:sz w:val="28"/>
          <w:szCs w:val="28"/>
        </w:rPr>
        <w:t>ractical importance for investment by assisting investors and company owners in understanding the legal risks resulting from neglecting registration, and clarifying legal means to recover stolen or bad-faith registered marks;</w:t>
      </w:r>
    </w:p>
    <w:p w14:paraId="67D94FF5" w14:textId="77777777" w:rsidR="00A07AC3" w:rsidRDefault="00A07AC3" w:rsidP="00A07AC3">
      <w:pPr>
        <w:pStyle w:val="ListParagraph"/>
        <w:numPr>
          <w:ilvl w:val="0"/>
          <w:numId w:val="32"/>
        </w:numPr>
        <w:tabs>
          <w:tab w:val="decimal" w:pos="8280"/>
        </w:tabs>
        <w:spacing w:line="276" w:lineRule="auto"/>
        <w:jc w:val="both"/>
        <w:rPr>
          <w:bCs/>
          <w:sz w:val="28"/>
          <w:szCs w:val="28"/>
        </w:rPr>
      </w:pPr>
      <w:r>
        <w:rPr>
          <w:bCs/>
          <w:sz w:val="28"/>
          <w:szCs w:val="28"/>
        </w:rPr>
        <w:t>J</w:t>
      </w:r>
      <w:r w:rsidR="00D039EE" w:rsidRPr="00A07AC3">
        <w:rPr>
          <w:bCs/>
          <w:sz w:val="28"/>
          <w:szCs w:val="28"/>
        </w:rPr>
        <w:t xml:space="preserve">udicial importance by providing a comparative reading of judicial rulings, which contributes to unifying the legal understanding among practitioners and lawyers on how to prove priority of use and refute the presumption of registration; </w:t>
      </w:r>
    </w:p>
    <w:p w14:paraId="16DD6497" w14:textId="0CD7B75F" w:rsidR="00D039EE" w:rsidRDefault="003A4BC3" w:rsidP="00A07AC3">
      <w:pPr>
        <w:pStyle w:val="ListParagraph"/>
        <w:numPr>
          <w:ilvl w:val="0"/>
          <w:numId w:val="32"/>
        </w:numPr>
        <w:tabs>
          <w:tab w:val="decimal" w:pos="8280"/>
        </w:tabs>
        <w:spacing w:line="276" w:lineRule="auto"/>
        <w:jc w:val="both"/>
        <w:rPr>
          <w:bCs/>
          <w:sz w:val="28"/>
          <w:szCs w:val="28"/>
        </w:rPr>
      </w:pPr>
      <w:r>
        <w:rPr>
          <w:bCs/>
          <w:sz w:val="28"/>
          <w:szCs w:val="28"/>
        </w:rPr>
        <w:t>C</w:t>
      </w:r>
      <w:r w:rsidR="00D039EE" w:rsidRPr="00A07AC3">
        <w:rPr>
          <w:bCs/>
          <w:sz w:val="28"/>
          <w:szCs w:val="28"/>
        </w:rPr>
        <w:t xml:space="preserve">onsumer protection by identifying the true owner of the mark to ensure </w:t>
      </w:r>
      <w:r w:rsidR="00CA1C05">
        <w:rPr>
          <w:bCs/>
          <w:sz w:val="28"/>
          <w:szCs w:val="28"/>
        </w:rPr>
        <w:t xml:space="preserve">the </w:t>
      </w:r>
      <w:r w:rsidR="00D039EE" w:rsidRPr="00A07AC3">
        <w:rPr>
          <w:bCs/>
          <w:sz w:val="28"/>
          <w:szCs w:val="28"/>
        </w:rPr>
        <w:t>prevention of deception and protect the public from counterfeit goods exploiting the fame of used trademarks.</w:t>
      </w:r>
    </w:p>
    <w:p w14:paraId="343D6A7D" w14:textId="77777777" w:rsidR="00CA1C05" w:rsidRPr="00A07AC3" w:rsidRDefault="00CA1C05" w:rsidP="00CA1C05">
      <w:pPr>
        <w:pStyle w:val="ListParagraph"/>
        <w:tabs>
          <w:tab w:val="decimal" w:pos="8280"/>
        </w:tabs>
        <w:spacing w:line="276" w:lineRule="auto"/>
        <w:ind w:left="810"/>
        <w:jc w:val="both"/>
        <w:rPr>
          <w:bCs/>
          <w:sz w:val="28"/>
          <w:szCs w:val="28"/>
        </w:rPr>
      </w:pPr>
    </w:p>
    <w:p w14:paraId="4668AEA0" w14:textId="77777777" w:rsidR="00D039EE" w:rsidRDefault="00D039EE" w:rsidP="008C4543">
      <w:pPr>
        <w:tabs>
          <w:tab w:val="decimal" w:pos="8280"/>
        </w:tabs>
        <w:spacing w:line="276" w:lineRule="auto"/>
        <w:ind w:left="90"/>
        <w:jc w:val="both"/>
        <w:rPr>
          <w:bCs/>
          <w:sz w:val="28"/>
          <w:szCs w:val="28"/>
        </w:rPr>
      </w:pPr>
    </w:p>
    <w:p w14:paraId="39000BB0" w14:textId="77777777" w:rsidR="003A4BC3" w:rsidRPr="003A4BC3" w:rsidRDefault="003A4BC3" w:rsidP="003A4BC3">
      <w:pPr>
        <w:tabs>
          <w:tab w:val="decimal" w:pos="8280"/>
        </w:tabs>
        <w:spacing w:line="276" w:lineRule="auto"/>
        <w:jc w:val="both"/>
        <w:rPr>
          <w:b/>
          <w:sz w:val="32"/>
          <w:szCs w:val="32"/>
        </w:rPr>
      </w:pPr>
      <w:r w:rsidRPr="003A4BC3">
        <w:rPr>
          <w:b/>
          <w:sz w:val="32"/>
          <w:szCs w:val="32"/>
        </w:rPr>
        <w:t>1. Previous Studies and Theoretical Framework</w:t>
      </w:r>
    </w:p>
    <w:p w14:paraId="51CD376D" w14:textId="77777777" w:rsidR="003A4BC3" w:rsidRDefault="003A4BC3" w:rsidP="003A4BC3">
      <w:pPr>
        <w:tabs>
          <w:tab w:val="decimal" w:pos="8280"/>
        </w:tabs>
        <w:spacing w:line="276" w:lineRule="auto"/>
        <w:ind w:left="90"/>
        <w:jc w:val="both"/>
        <w:rPr>
          <w:bCs/>
          <w:sz w:val="28"/>
          <w:szCs w:val="28"/>
        </w:rPr>
      </w:pPr>
    </w:p>
    <w:p w14:paraId="48D43E4B" w14:textId="1BB1E996" w:rsidR="003A4BC3" w:rsidRDefault="003A4BC3" w:rsidP="003A4BC3">
      <w:pPr>
        <w:tabs>
          <w:tab w:val="decimal" w:pos="8280"/>
        </w:tabs>
        <w:spacing w:line="276" w:lineRule="auto"/>
        <w:ind w:firstLine="540"/>
        <w:jc w:val="both"/>
        <w:rPr>
          <w:bCs/>
          <w:sz w:val="28"/>
          <w:szCs w:val="28"/>
        </w:rPr>
      </w:pPr>
      <w:r>
        <w:rPr>
          <w:rFonts w:asciiTheme="majorBidi" w:hAnsiTheme="majorBidi" w:cstheme="majorBidi"/>
          <w:bCs/>
          <w:sz w:val="28"/>
          <w:szCs w:val="28"/>
        </w:rPr>
        <w:t xml:space="preserve">In this part of the current research, we shall address </w:t>
      </w:r>
      <w:r w:rsidR="00CA1C05">
        <w:rPr>
          <w:rFonts w:asciiTheme="majorBidi" w:hAnsiTheme="majorBidi" w:cstheme="majorBidi"/>
          <w:bCs/>
          <w:sz w:val="28"/>
          <w:szCs w:val="28"/>
        </w:rPr>
        <w:t xml:space="preserve">previous studies that have focused on the conflict between the </w:t>
      </w:r>
      <w:r w:rsidRPr="003A4BC3">
        <w:rPr>
          <w:rFonts w:asciiTheme="majorBidi" w:hAnsiTheme="majorBidi" w:cstheme="majorBidi"/>
          <w:sz w:val="28"/>
          <w:szCs w:val="28"/>
        </w:rPr>
        <w:t>priority of use and the privilege of registration</w:t>
      </w:r>
      <w:r w:rsidR="00D50F33">
        <w:rPr>
          <w:rFonts w:asciiTheme="majorBidi" w:hAnsiTheme="majorBidi" w:cstheme="majorBidi"/>
          <w:sz w:val="28"/>
          <w:szCs w:val="28"/>
        </w:rPr>
        <w:t xml:space="preserve"> within a theoretical framework.</w:t>
      </w:r>
    </w:p>
    <w:p w14:paraId="11669A17" w14:textId="77777777" w:rsidR="003A4BC3" w:rsidRPr="00D50F33" w:rsidRDefault="003A4BC3" w:rsidP="003A4BC3">
      <w:pPr>
        <w:tabs>
          <w:tab w:val="decimal" w:pos="8280"/>
        </w:tabs>
        <w:spacing w:line="276" w:lineRule="auto"/>
        <w:ind w:left="90"/>
        <w:jc w:val="both"/>
        <w:rPr>
          <w:bCs/>
          <w:sz w:val="16"/>
          <w:szCs w:val="16"/>
        </w:rPr>
      </w:pPr>
    </w:p>
    <w:p w14:paraId="28322BD7" w14:textId="77777777" w:rsidR="003A4BC3" w:rsidRPr="00D50F33" w:rsidRDefault="00D50F33" w:rsidP="00D50F33">
      <w:pPr>
        <w:tabs>
          <w:tab w:val="decimal" w:pos="8280"/>
        </w:tabs>
        <w:spacing w:line="276" w:lineRule="auto"/>
        <w:jc w:val="both"/>
        <w:rPr>
          <w:b/>
          <w:sz w:val="32"/>
          <w:szCs w:val="32"/>
        </w:rPr>
      </w:pPr>
      <w:r w:rsidRPr="00D50F33">
        <w:rPr>
          <w:b/>
          <w:sz w:val="32"/>
          <w:szCs w:val="32"/>
        </w:rPr>
        <w:t xml:space="preserve">2.1 </w:t>
      </w:r>
      <w:r w:rsidR="003A4BC3" w:rsidRPr="00D50F33">
        <w:rPr>
          <w:b/>
          <w:sz w:val="32"/>
          <w:szCs w:val="32"/>
        </w:rPr>
        <w:t>Priority of Use in Legal Jurisprudence</w:t>
      </w:r>
    </w:p>
    <w:p w14:paraId="27C89586" w14:textId="77777777" w:rsidR="00D50F33" w:rsidRPr="00D50F33" w:rsidRDefault="00D50F33" w:rsidP="00D50F33">
      <w:pPr>
        <w:tabs>
          <w:tab w:val="decimal" w:pos="8280"/>
        </w:tabs>
        <w:spacing w:line="276" w:lineRule="auto"/>
        <w:jc w:val="both"/>
        <w:rPr>
          <w:bCs/>
          <w:sz w:val="16"/>
          <w:szCs w:val="16"/>
        </w:rPr>
      </w:pPr>
    </w:p>
    <w:p w14:paraId="551CF4EB" w14:textId="512B7D86" w:rsidR="003A4BC3" w:rsidRDefault="003A4BC3" w:rsidP="005E518F">
      <w:pPr>
        <w:tabs>
          <w:tab w:val="decimal" w:pos="8280"/>
        </w:tabs>
        <w:spacing w:line="276" w:lineRule="auto"/>
        <w:ind w:firstLine="540"/>
        <w:jc w:val="both"/>
        <w:rPr>
          <w:bCs/>
          <w:sz w:val="28"/>
          <w:szCs w:val="28"/>
        </w:rPr>
      </w:pPr>
      <w:r w:rsidRPr="003A4BC3">
        <w:rPr>
          <w:bCs/>
          <w:sz w:val="28"/>
          <w:szCs w:val="28"/>
        </w:rPr>
        <w:lastRenderedPageBreak/>
        <w:t xml:space="preserve">Priority of use </w:t>
      </w:r>
      <w:r w:rsidR="006A5AF5">
        <w:rPr>
          <w:bCs/>
          <w:sz w:val="28"/>
          <w:szCs w:val="28"/>
        </w:rPr>
        <w:t>focuses on the</w:t>
      </w:r>
      <w:r w:rsidRPr="003A4BC3">
        <w:rPr>
          <w:bCs/>
          <w:sz w:val="28"/>
          <w:szCs w:val="28"/>
        </w:rPr>
        <w:t xml:space="preserve"> industrial and commercial property rights</w:t>
      </w:r>
      <w:r w:rsidR="005E518F">
        <w:rPr>
          <w:bCs/>
          <w:sz w:val="28"/>
          <w:szCs w:val="28"/>
        </w:rPr>
        <w:t xml:space="preserve"> </w:t>
      </w:r>
      <w:r w:rsidR="00CA1C05">
        <w:rPr>
          <w:bCs/>
          <w:sz w:val="28"/>
          <w:szCs w:val="28"/>
        </w:rPr>
        <w:t>to exploit a specific trademark to distinguish products or services in a certain market, openly and continuously, which often leads to a strong association in the public mind between the trademark and the goods or services it</w:t>
      </w:r>
      <w:r w:rsidR="006A5AF5">
        <w:rPr>
          <w:bCs/>
          <w:sz w:val="28"/>
          <w:szCs w:val="28"/>
        </w:rPr>
        <w:t xml:space="preserve"> refers to</w:t>
      </w:r>
      <w:r w:rsidRPr="003A4BC3">
        <w:rPr>
          <w:bCs/>
          <w:sz w:val="28"/>
          <w:szCs w:val="28"/>
        </w:rPr>
        <w:t>. Jurists have provided several precise definitions to clarify the nature of this use, where the jurisprudential trademark is defined as any distinctive sign or indication placed by the merchant, manufacturer, or service provider on the products they sell or manufacture or the services they provide to distinguish them from other similar goods and services</w:t>
      </w:r>
      <w:r w:rsidR="00B10270">
        <w:rPr>
          <w:bCs/>
          <w:sz w:val="28"/>
          <w:szCs w:val="28"/>
        </w:rPr>
        <w:t xml:space="preserve"> </w:t>
      </w:r>
      <w:r w:rsidR="009412B0" w:rsidRPr="009412B0">
        <w:rPr>
          <w:bCs/>
          <w:sz w:val="28"/>
          <w:szCs w:val="28"/>
        </w:rPr>
        <w:t>(Mejanah, A, 2016)</w:t>
      </w:r>
      <w:r w:rsidR="005E518F">
        <w:rPr>
          <w:bCs/>
          <w:sz w:val="28"/>
          <w:szCs w:val="28"/>
        </w:rPr>
        <w:t xml:space="preserve">. </w:t>
      </w:r>
    </w:p>
    <w:p w14:paraId="52ECC0E6" w14:textId="20F560A5" w:rsidR="006749BB" w:rsidRPr="006749BB" w:rsidRDefault="006749BB" w:rsidP="006749BB">
      <w:pPr>
        <w:tabs>
          <w:tab w:val="decimal" w:pos="8280"/>
        </w:tabs>
        <w:spacing w:line="276" w:lineRule="auto"/>
        <w:ind w:firstLine="540"/>
        <w:jc w:val="both"/>
        <w:rPr>
          <w:bCs/>
          <w:sz w:val="28"/>
          <w:szCs w:val="28"/>
        </w:rPr>
      </w:pPr>
      <w:r>
        <w:rPr>
          <w:bCs/>
          <w:sz w:val="28"/>
          <w:szCs w:val="28"/>
        </w:rPr>
        <w:t>It should be noted that t</w:t>
      </w:r>
      <w:r w:rsidRPr="006749BB">
        <w:rPr>
          <w:bCs/>
          <w:sz w:val="28"/>
          <w:szCs w:val="28"/>
        </w:rPr>
        <w:t>he trademark performs a "dual function" of great importance;</w:t>
      </w:r>
      <w:r>
        <w:rPr>
          <w:rStyle w:val="FootnoteReference"/>
          <w:bCs/>
          <w:sz w:val="28"/>
          <w:szCs w:val="28"/>
        </w:rPr>
        <w:footnoteReference w:id="1"/>
      </w:r>
      <w:r>
        <w:rPr>
          <w:bCs/>
          <w:sz w:val="28"/>
          <w:szCs w:val="28"/>
        </w:rPr>
        <w:t xml:space="preserve"> </w:t>
      </w:r>
      <w:r w:rsidR="00B0229A">
        <w:rPr>
          <w:bCs/>
          <w:sz w:val="28"/>
          <w:szCs w:val="28"/>
        </w:rPr>
        <w:t>On</w:t>
      </w:r>
      <w:r w:rsidRPr="006749BB">
        <w:rPr>
          <w:bCs/>
          <w:sz w:val="28"/>
          <w:szCs w:val="28"/>
        </w:rPr>
        <w:t xml:space="preserve"> one hand, it represents an effective tool for the producer or merchant to monopolize the distinction of their products and create customer loyalty</w:t>
      </w:r>
      <w:r w:rsidR="00B0229A">
        <w:rPr>
          <w:bCs/>
          <w:sz w:val="28"/>
          <w:szCs w:val="28"/>
        </w:rPr>
        <w:t>. In contrast, on</w:t>
      </w:r>
      <w:r w:rsidRPr="006749BB">
        <w:rPr>
          <w:bCs/>
          <w:sz w:val="28"/>
          <w:szCs w:val="28"/>
        </w:rPr>
        <w:t xml:space="preserve"> the other hand, it serves as a consumer compass to recognize the goods and services they seek without falling into confusion or deception</w:t>
      </w:r>
      <w:r>
        <w:rPr>
          <w:bCs/>
          <w:sz w:val="28"/>
          <w:szCs w:val="28"/>
        </w:rPr>
        <w:t>.</w:t>
      </w:r>
      <w:r>
        <w:rPr>
          <w:rStyle w:val="FootnoteReference"/>
          <w:bCs/>
          <w:sz w:val="28"/>
          <w:szCs w:val="28"/>
        </w:rPr>
        <w:footnoteReference w:id="2"/>
      </w:r>
      <w:r>
        <w:rPr>
          <w:bCs/>
          <w:sz w:val="28"/>
          <w:szCs w:val="28"/>
        </w:rPr>
        <w:t xml:space="preserve"> </w:t>
      </w:r>
      <w:r w:rsidRPr="006749BB">
        <w:rPr>
          <w:bCs/>
          <w:sz w:val="28"/>
          <w:szCs w:val="28"/>
        </w:rPr>
        <w:t>Based on this concept, legal jurisprudence views "use" not merely as a transient physical act represented by printing a logo, but as a complex economic and legal fact aimed at creating an institutional identity for the product in the market</w:t>
      </w:r>
      <w:r w:rsidR="006C5163">
        <w:rPr>
          <w:bCs/>
          <w:sz w:val="28"/>
          <w:szCs w:val="28"/>
        </w:rPr>
        <w:t xml:space="preserve"> </w:t>
      </w:r>
      <w:r w:rsidR="006C5163" w:rsidRPr="006C5163">
        <w:rPr>
          <w:bCs/>
          <w:sz w:val="28"/>
          <w:szCs w:val="28"/>
        </w:rPr>
        <w:t xml:space="preserve">  (Al-Najjar, Mohammed, 2025)</w:t>
      </w:r>
      <w:r w:rsidRPr="006749BB">
        <w:rPr>
          <w:bCs/>
          <w:sz w:val="28"/>
          <w:szCs w:val="28"/>
        </w:rPr>
        <w:t>.</w:t>
      </w:r>
    </w:p>
    <w:p w14:paraId="5FB1161D" w14:textId="6A0A9290" w:rsidR="006749BB" w:rsidRPr="006749BB" w:rsidRDefault="006749BB" w:rsidP="00ED0C3B">
      <w:pPr>
        <w:tabs>
          <w:tab w:val="decimal" w:pos="8280"/>
        </w:tabs>
        <w:spacing w:line="276" w:lineRule="auto"/>
        <w:ind w:firstLine="540"/>
        <w:jc w:val="both"/>
        <w:rPr>
          <w:bCs/>
          <w:sz w:val="28"/>
          <w:szCs w:val="28"/>
        </w:rPr>
      </w:pPr>
      <w:r>
        <w:rPr>
          <w:bCs/>
          <w:sz w:val="28"/>
          <w:szCs w:val="28"/>
        </w:rPr>
        <w:t>As a matter of fact, p</w:t>
      </w:r>
      <w:r w:rsidRPr="006749BB">
        <w:rPr>
          <w:bCs/>
          <w:sz w:val="28"/>
          <w:szCs w:val="28"/>
        </w:rPr>
        <w:t>riority of use grants its holder a legal adva</w:t>
      </w:r>
      <w:r>
        <w:rPr>
          <w:bCs/>
          <w:sz w:val="28"/>
          <w:szCs w:val="28"/>
        </w:rPr>
        <w:t>ntage based on the</w:t>
      </w:r>
      <w:r w:rsidRPr="006749BB">
        <w:rPr>
          <w:bCs/>
          <w:sz w:val="28"/>
          <w:szCs w:val="28"/>
        </w:rPr>
        <w:t xml:space="preserve"> </w:t>
      </w:r>
      <w:r>
        <w:rPr>
          <w:bCs/>
          <w:sz w:val="28"/>
          <w:szCs w:val="28"/>
        </w:rPr>
        <w:t>protection of acquired rights.</w:t>
      </w:r>
      <w:r w:rsidRPr="006749BB">
        <w:rPr>
          <w:bCs/>
          <w:sz w:val="28"/>
          <w:szCs w:val="28"/>
        </w:rPr>
        <w:t xml:space="preserve"> This philosophy is rooted in the idea that human effort and financial investment in building a brand's reputation generate a natural right of ownership. It is </w:t>
      </w:r>
      <w:r w:rsidR="0008023E">
        <w:rPr>
          <w:bCs/>
          <w:sz w:val="28"/>
          <w:szCs w:val="28"/>
        </w:rPr>
        <w:t xml:space="preserve">somehow unfair </w:t>
      </w:r>
      <w:r w:rsidRPr="006749BB">
        <w:rPr>
          <w:bCs/>
          <w:sz w:val="28"/>
          <w:szCs w:val="28"/>
        </w:rPr>
        <w:t>and contrary to the rules of justice to deprive a trade</w:t>
      </w:r>
      <w:r w:rsidR="0008023E">
        <w:rPr>
          <w:bCs/>
          <w:sz w:val="28"/>
          <w:szCs w:val="28"/>
        </w:rPr>
        <w:t>r of a mark whose reputation has been</w:t>
      </w:r>
      <w:r w:rsidRPr="006749BB">
        <w:rPr>
          <w:bCs/>
          <w:sz w:val="28"/>
          <w:szCs w:val="28"/>
        </w:rPr>
        <w:t xml:space="preserve"> built </w:t>
      </w:r>
      <w:r w:rsidR="0008023E">
        <w:rPr>
          <w:bCs/>
          <w:sz w:val="28"/>
          <w:szCs w:val="28"/>
        </w:rPr>
        <w:t xml:space="preserve">on it, </w:t>
      </w:r>
      <w:r w:rsidRPr="006749BB">
        <w:rPr>
          <w:bCs/>
          <w:sz w:val="28"/>
          <w:szCs w:val="28"/>
        </w:rPr>
        <w:t>merely because another competitor, possibly acting in bad faith, preceded them to the registration offices to document it in their name</w:t>
      </w:r>
      <w:r w:rsidR="00706AC4">
        <w:rPr>
          <w:bCs/>
          <w:sz w:val="28"/>
          <w:szCs w:val="28"/>
        </w:rPr>
        <w:t xml:space="preserve"> </w:t>
      </w:r>
      <w:r w:rsidR="00706AC4" w:rsidRPr="00706AC4">
        <w:rPr>
          <w:bCs/>
          <w:sz w:val="28"/>
          <w:szCs w:val="28"/>
        </w:rPr>
        <w:t xml:space="preserve"> (Almajbari, H. F. M., 2024)</w:t>
      </w:r>
      <w:r w:rsidR="0008023E">
        <w:rPr>
          <w:bCs/>
          <w:sz w:val="28"/>
          <w:szCs w:val="28"/>
        </w:rPr>
        <w:t>.</w:t>
      </w:r>
      <w:r w:rsidRPr="006749BB">
        <w:rPr>
          <w:bCs/>
          <w:sz w:val="28"/>
          <w:szCs w:val="28"/>
        </w:rPr>
        <w:t xml:space="preserve"> Comparative jurisprudence has </w:t>
      </w:r>
      <w:r w:rsidR="0008023E">
        <w:rPr>
          <w:bCs/>
          <w:sz w:val="28"/>
          <w:szCs w:val="28"/>
        </w:rPr>
        <w:t xml:space="preserve">indeed </w:t>
      </w:r>
      <w:r w:rsidR="00ED0C3B">
        <w:rPr>
          <w:bCs/>
          <w:sz w:val="28"/>
          <w:szCs w:val="28"/>
        </w:rPr>
        <w:t>established this</w:t>
      </w:r>
      <w:r w:rsidRPr="006749BB">
        <w:rPr>
          <w:bCs/>
          <w:sz w:val="28"/>
          <w:szCs w:val="28"/>
        </w:rPr>
        <w:t xml:space="preserve"> prior</w:t>
      </w:r>
      <w:r w:rsidR="00ED0C3B">
        <w:rPr>
          <w:bCs/>
          <w:sz w:val="28"/>
          <w:szCs w:val="28"/>
        </w:rPr>
        <w:t>ity of</w:t>
      </w:r>
      <w:r w:rsidRPr="006749BB">
        <w:rPr>
          <w:bCs/>
          <w:sz w:val="28"/>
          <w:szCs w:val="28"/>
        </w:rPr>
        <w:t xml:space="preserve"> use, </w:t>
      </w:r>
      <w:r w:rsidR="00ED0C3B">
        <w:rPr>
          <w:bCs/>
          <w:sz w:val="28"/>
          <w:szCs w:val="28"/>
        </w:rPr>
        <w:t xml:space="preserve">provided that it should be </w:t>
      </w:r>
      <w:r w:rsidRPr="006749BB">
        <w:rPr>
          <w:bCs/>
          <w:sz w:val="28"/>
          <w:szCs w:val="28"/>
        </w:rPr>
        <w:t>apparent, public, commercial, free from fraud, and linked to the marketing of products or the genuine offering of services to the public, rather than mere internal use or symbolic use intended solely to circumvent protection conditions</w:t>
      </w:r>
      <w:r w:rsidR="000F1A8C">
        <w:rPr>
          <w:bCs/>
          <w:sz w:val="28"/>
          <w:szCs w:val="28"/>
        </w:rPr>
        <w:t xml:space="preserve"> </w:t>
      </w:r>
      <w:r w:rsidR="000F1A8C" w:rsidRPr="000F1A8C">
        <w:rPr>
          <w:bCs/>
          <w:sz w:val="28"/>
          <w:szCs w:val="28"/>
        </w:rPr>
        <w:t>(Muhaisen, S. Z. &amp; Abd, S. O, 2014)</w:t>
      </w:r>
      <w:r w:rsidR="00ED0C3B">
        <w:rPr>
          <w:bCs/>
          <w:sz w:val="28"/>
          <w:szCs w:val="28"/>
        </w:rPr>
        <w:t>.</w:t>
      </w:r>
    </w:p>
    <w:p w14:paraId="27AA3938" w14:textId="77777777" w:rsidR="005E518F" w:rsidRPr="006C7888" w:rsidRDefault="005E518F" w:rsidP="005E518F">
      <w:pPr>
        <w:tabs>
          <w:tab w:val="decimal" w:pos="8280"/>
        </w:tabs>
        <w:spacing w:line="276" w:lineRule="auto"/>
        <w:ind w:firstLine="540"/>
        <w:jc w:val="both"/>
        <w:rPr>
          <w:bCs/>
          <w:sz w:val="16"/>
          <w:szCs w:val="16"/>
        </w:rPr>
      </w:pPr>
    </w:p>
    <w:p w14:paraId="4861D549" w14:textId="77777777" w:rsidR="006C7888" w:rsidRPr="006C7888" w:rsidRDefault="006C7888" w:rsidP="006C7888">
      <w:pPr>
        <w:tabs>
          <w:tab w:val="decimal" w:pos="8280"/>
        </w:tabs>
        <w:spacing w:line="276" w:lineRule="auto"/>
        <w:jc w:val="both"/>
        <w:rPr>
          <w:b/>
          <w:sz w:val="32"/>
          <w:szCs w:val="32"/>
        </w:rPr>
      </w:pPr>
      <w:r w:rsidRPr="006C7888">
        <w:rPr>
          <w:b/>
          <w:sz w:val="32"/>
          <w:szCs w:val="32"/>
        </w:rPr>
        <w:t xml:space="preserve">2.2 Distinction between Priority of Use &amp; Registration  </w:t>
      </w:r>
    </w:p>
    <w:p w14:paraId="6C403758" w14:textId="77777777" w:rsidR="003A4BC3" w:rsidRPr="006C7888" w:rsidRDefault="003A4BC3" w:rsidP="006C7888">
      <w:pPr>
        <w:tabs>
          <w:tab w:val="decimal" w:pos="8280"/>
        </w:tabs>
        <w:spacing w:line="276" w:lineRule="auto"/>
        <w:jc w:val="both"/>
        <w:rPr>
          <w:bCs/>
          <w:sz w:val="16"/>
          <w:szCs w:val="16"/>
        </w:rPr>
      </w:pPr>
    </w:p>
    <w:p w14:paraId="76982566" w14:textId="77777777" w:rsidR="006C7888" w:rsidRPr="006C7888" w:rsidRDefault="007741FD" w:rsidP="007741FD">
      <w:pPr>
        <w:tabs>
          <w:tab w:val="decimal" w:pos="8280"/>
        </w:tabs>
        <w:spacing w:line="276" w:lineRule="auto"/>
        <w:ind w:firstLine="540"/>
        <w:jc w:val="both"/>
        <w:rPr>
          <w:bCs/>
          <w:sz w:val="28"/>
          <w:szCs w:val="28"/>
        </w:rPr>
      </w:pPr>
      <w:r>
        <w:rPr>
          <w:bCs/>
          <w:sz w:val="28"/>
          <w:szCs w:val="28"/>
        </w:rPr>
        <w:t>In order t</w:t>
      </w:r>
      <w:r w:rsidR="006C7888" w:rsidRPr="006C7888">
        <w:rPr>
          <w:bCs/>
          <w:sz w:val="28"/>
          <w:szCs w:val="28"/>
        </w:rPr>
        <w:t xml:space="preserve">o </w:t>
      </w:r>
      <w:r>
        <w:rPr>
          <w:bCs/>
          <w:sz w:val="28"/>
          <w:szCs w:val="28"/>
        </w:rPr>
        <w:t xml:space="preserve">get acquainted with the </w:t>
      </w:r>
      <w:r w:rsidR="006C7888" w:rsidRPr="006C7888">
        <w:rPr>
          <w:bCs/>
          <w:sz w:val="28"/>
          <w:szCs w:val="28"/>
        </w:rPr>
        <w:t xml:space="preserve">legal protection </w:t>
      </w:r>
      <w:r>
        <w:rPr>
          <w:bCs/>
          <w:sz w:val="28"/>
          <w:szCs w:val="28"/>
        </w:rPr>
        <w:t>of</w:t>
      </w:r>
      <w:r w:rsidR="006C7888" w:rsidRPr="006C7888">
        <w:rPr>
          <w:bCs/>
          <w:sz w:val="28"/>
          <w:szCs w:val="28"/>
        </w:rPr>
        <w:t xml:space="preserve"> tradem</w:t>
      </w:r>
      <w:r>
        <w:rPr>
          <w:bCs/>
          <w:sz w:val="28"/>
          <w:szCs w:val="28"/>
        </w:rPr>
        <w:t>arks and the sources of dispute therein, we are highly required to come up with</w:t>
      </w:r>
      <w:r w:rsidR="006C7888" w:rsidRPr="006C7888">
        <w:rPr>
          <w:bCs/>
          <w:sz w:val="28"/>
          <w:szCs w:val="28"/>
        </w:rPr>
        <w:t xml:space="preserve"> a precise distinction between two main legislative systems </w:t>
      </w:r>
      <w:r>
        <w:rPr>
          <w:bCs/>
          <w:sz w:val="28"/>
          <w:szCs w:val="28"/>
        </w:rPr>
        <w:t>that govern</w:t>
      </w:r>
      <w:r w:rsidR="006C7888" w:rsidRPr="006C7888">
        <w:rPr>
          <w:bCs/>
          <w:sz w:val="28"/>
          <w:szCs w:val="28"/>
        </w:rPr>
        <w:t xml:space="preserve"> the emergence</w:t>
      </w:r>
      <w:r>
        <w:rPr>
          <w:bCs/>
          <w:sz w:val="28"/>
          <w:szCs w:val="28"/>
        </w:rPr>
        <w:t xml:space="preserve"> of trademark rights worldwide</w:t>
      </w:r>
    </w:p>
    <w:p w14:paraId="45DFB29D" w14:textId="77777777" w:rsidR="00B9505E" w:rsidRDefault="006C7888" w:rsidP="00B9505E">
      <w:pPr>
        <w:tabs>
          <w:tab w:val="decimal" w:pos="8280"/>
        </w:tabs>
        <w:spacing w:line="276" w:lineRule="auto"/>
        <w:ind w:firstLine="540"/>
        <w:jc w:val="both"/>
        <w:rPr>
          <w:bCs/>
          <w:sz w:val="28"/>
          <w:szCs w:val="28"/>
        </w:rPr>
      </w:pPr>
      <w:r w:rsidRPr="006C7888">
        <w:rPr>
          <w:bCs/>
          <w:sz w:val="28"/>
          <w:szCs w:val="28"/>
        </w:rPr>
        <w:t>The</w:t>
      </w:r>
      <w:r w:rsidR="00B9505E">
        <w:rPr>
          <w:bCs/>
          <w:sz w:val="28"/>
          <w:szCs w:val="28"/>
        </w:rPr>
        <w:t xml:space="preserve"> first system is related to</w:t>
      </w:r>
      <w:r w:rsidRPr="006C7888">
        <w:rPr>
          <w:bCs/>
          <w:sz w:val="28"/>
          <w:szCs w:val="28"/>
        </w:rPr>
        <w:t xml:space="preserve"> priority</w:t>
      </w:r>
      <w:r w:rsidR="00B9505E">
        <w:rPr>
          <w:bCs/>
          <w:sz w:val="28"/>
          <w:szCs w:val="28"/>
        </w:rPr>
        <w:t xml:space="preserve"> of </w:t>
      </w:r>
      <w:r w:rsidRPr="006C7888">
        <w:rPr>
          <w:bCs/>
          <w:sz w:val="28"/>
          <w:szCs w:val="28"/>
        </w:rPr>
        <w:t>use</w:t>
      </w:r>
      <w:r w:rsidR="00B9505E">
        <w:rPr>
          <w:bCs/>
          <w:sz w:val="28"/>
          <w:szCs w:val="28"/>
        </w:rPr>
        <w:t xml:space="preserve">. It is based on </w:t>
      </w:r>
      <w:r w:rsidRPr="006C7888">
        <w:rPr>
          <w:bCs/>
          <w:sz w:val="28"/>
          <w:szCs w:val="28"/>
        </w:rPr>
        <w:t xml:space="preserve">a legal and economic philosophy that the absolute ownership right to the trademark arises as soon as it is actually and seriously used in commerce. Under this system, administrative registration with the </w:t>
      </w:r>
      <w:r w:rsidRPr="006C7888">
        <w:rPr>
          <w:bCs/>
          <w:sz w:val="28"/>
          <w:szCs w:val="28"/>
        </w:rPr>
        <w:lastRenderedPageBreak/>
        <w:t>competent authorities is a "detective" or declarative procedure of the right</w:t>
      </w:r>
      <w:r w:rsidR="00B9505E">
        <w:rPr>
          <w:bCs/>
          <w:sz w:val="28"/>
          <w:szCs w:val="28"/>
        </w:rPr>
        <w:t xml:space="preserve">. Thereby, registration </w:t>
      </w:r>
      <w:r w:rsidRPr="006C7888">
        <w:rPr>
          <w:bCs/>
          <w:sz w:val="28"/>
          <w:szCs w:val="28"/>
        </w:rPr>
        <w:t>is considered a simple presumption that can be rebut</w:t>
      </w:r>
      <w:r w:rsidR="00B9505E">
        <w:rPr>
          <w:bCs/>
          <w:sz w:val="28"/>
          <w:szCs w:val="28"/>
        </w:rPr>
        <w:t xml:space="preserve">ted by evidence </w:t>
      </w:r>
      <w:r w:rsidRPr="006C7888">
        <w:rPr>
          <w:bCs/>
          <w:sz w:val="28"/>
          <w:szCs w:val="28"/>
        </w:rPr>
        <w:t xml:space="preserve">regarding the ownership of the mark. </w:t>
      </w:r>
    </w:p>
    <w:p w14:paraId="31D414EA" w14:textId="0B433DE5" w:rsidR="006C7888" w:rsidRPr="006C7888" w:rsidRDefault="006C7888" w:rsidP="00B9505E">
      <w:pPr>
        <w:tabs>
          <w:tab w:val="decimal" w:pos="8280"/>
        </w:tabs>
        <w:spacing w:line="276" w:lineRule="auto"/>
        <w:ind w:firstLine="540"/>
        <w:jc w:val="both"/>
        <w:rPr>
          <w:bCs/>
          <w:sz w:val="28"/>
          <w:szCs w:val="28"/>
        </w:rPr>
      </w:pPr>
      <w:r w:rsidRPr="006C7888">
        <w:rPr>
          <w:bCs/>
          <w:sz w:val="28"/>
          <w:szCs w:val="28"/>
        </w:rPr>
        <w:t xml:space="preserve">This administrative presumption can be refuted and overturned if another person can prove with conclusive evidence that they used the same mark actually and continuously in the same commercial scope before the date of the registration application </w:t>
      </w:r>
      <w:r w:rsidR="00724991">
        <w:rPr>
          <w:bCs/>
          <w:sz w:val="28"/>
          <w:szCs w:val="28"/>
        </w:rPr>
        <w:t xml:space="preserve">has been </w:t>
      </w:r>
      <w:r w:rsidRPr="006C7888">
        <w:rPr>
          <w:bCs/>
          <w:sz w:val="28"/>
          <w:szCs w:val="28"/>
        </w:rPr>
        <w:t>submitted by the first party</w:t>
      </w:r>
      <w:r w:rsidR="0047625B">
        <w:rPr>
          <w:bCs/>
          <w:sz w:val="28"/>
          <w:szCs w:val="28"/>
        </w:rPr>
        <w:t xml:space="preserve"> </w:t>
      </w:r>
      <w:r w:rsidR="0047625B" w:rsidRPr="0047625B">
        <w:rPr>
          <w:bCs/>
          <w:sz w:val="28"/>
          <w:szCs w:val="28"/>
        </w:rPr>
        <w:t xml:space="preserve">  (Almajbari, H. F. M., 2024)</w:t>
      </w:r>
      <w:r w:rsidR="00724991">
        <w:rPr>
          <w:bCs/>
          <w:sz w:val="28"/>
          <w:szCs w:val="28"/>
        </w:rPr>
        <w:t xml:space="preserve">. </w:t>
      </w:r>
      <w:r w:rsidRPr="006C7888">
        <w:rPr>
          <w:bCs/>
          <w:sz w:val="28"/>
          <w:szCs w:val="28"/>
        </w:rPr>
        <w:t>This system</w:t>
      </w:r>
      <w:r w:rsidR="00724991">
        <w:rPr>
          <w:bCs/>
          <w:sz w:val="28"/>
          <w:szCs w:val="28"/>
        </w:rPr>
        <w:t xml:space="preserve"> however</w:t>
      </w:r>
      <w:r w:rsidRPr="006C7888">
        <w:rPr>
          <w:bCs/>
          <w:sz w:val="28"/>
          <w:szCs w:val="28"/>
        </w:rPr>
        <w:t xml:space="preserve"> tends to protect the natural rights arising from actual commercial activity.</w:t>
      </w:r>
    </w:p>
    <w:p w14:paraId="303333B8" w14:textId="6AC7F51D" w:rsidR="00724991" w:rsidRPr="00724991" w:rsidRDefault="00724991" w:rsidP="00724991">
      <w:pPr>
        <w:tabs>
          <w:tab w:val="decimal" w:pos="8280"/>
        </w:tabs>
        <w:spacing w:line="276" w:lineRule="auto"/>
        <w:ind w:firstLine="540"/>
        <w:jc w:val="both"/>
        <w:rPr>
          <w:bCs/>
          <w:sz w:val="28"/>
          <w:szCs w:val="28"/>
        </w:rPr>
      </w:pPr>
      <w:r>
        <w:rPr>
          <w:bCs/>
          <w:sz w:val="28"/>
          <w:szCs w:val="28"/>
        </w:rPr>
        <w:t xml:space="preserve">The second system regards </w:t>
      </w:r>
      <w:r w:rsidRPr="00724991">
        <w:rPr>
          <w:bCs/>
          <w:sz w:val="28"/>
          <w:szCs w:val="28"/>
        </w:rPr>
        <w:t>the registration privilege</w:t>
      </w:r>
      <w:r>
        <w:rPr>
          <w:bCs/>
          <w:sz w:val="28"/>
          <w:szCs w:val="28"/>
        </w:rPr>
        <w:t>. It is</w:t>
      </w:r>
      <w:r w:rsidRPr="00724991">
        <w:rPr>
          <w:bCs/>
          <w:sz w:val="28"/>
          <w:szCs w:val="28"/>
        </w:rPr>
        <w:t xml:space="preserve"> </w:t>
      </w:r>
      <w:r>
        <w:rPr>
          <w:bCs/>
          <w:sz w:val="28"/>
          <w:szCs w:val="28"/>
        </w:rPr>
        <w:t>a legislative approach, in which an</w:t>
      </w:r>
      <w:r w:rsidRPr="00724991">
        <w:rPr>
          <w:bCs/>
          <w:sz w:val="28"/>
          <w:szCs w:val="28"/>
        </w:rPr>
        <w:t xml:space="preserve"> absolute and exclusive right to the trademark is legally cr</w:t>
      </w:r>
      <w:r w:rsidR="006A018F">
        <w:rPr>
          <w:bCs/>
          <w:sz w:val="28"/>
          <w:szCs w:val="28"/>
        </w:rPr>
        <w:t xml:space="preserve">eated only by </w:t>
      </w:r>
      <w:r w:rsidRPr="00724991">
        <w:rPr>
          <w:bCs/>
          <w:sz w:val="28"/>
          <w:szCs w:val="28"/>
        </w:rPr>
        <w:t>official</w:t>
      </w:r>
      <w:r w:rsidR="006A018F">
        <w:rPr>
          <w:bCs/>
          <w:sz w:val="28"/>
          <w:szCs w:val="28"/>
        </w:rPr>
        <w:t>ly registering</w:t>
      </w:r>
      <w:r w:rsidRPr="00724991">
        <w:rPr>
          <w:bCs/>
          <w:sz w:val="28"/>
          <w:szCs w:val="28"/>
        </w:rPr>
        <w:t xml:space="preserve"> and issuing an accredited registration certificate. This approach, </w:t>
      </w:r>
      <w:r w:rsidR="006A018F">
        <w:rPr>
          <w:bCs/>
          <w:sz w:val="28"/>
          <w:szCs w:val="28"/>
        </w:rPr>
        <w:t xml:space="preserve">being </w:t>
      </w:r>
      <w:r w:rsidRPr="00724991">
        <w:rPr>
          <w:bCs/>
          <w:sz w:val="28"/>
          <w:szCs w:val="28"/>
        </w:rPr>
        <w:t xml:space="preserve">adopted by the Germanic school and some modern Latin </w:t>
      </w:r>
      <w:r w:rsidR="006A018F" w:rsidRPr="00724991">
        <w:rPr>
          <w:bCs/>
          <w:sz w:val="28"/>
          <w:szCs w:val="28"/>
        </w:rPr>
        <w:t>legislation</w:t>
      </w:r>
      <w:r w:rsidRPr="00724991">
        <w:rPr>
          <w:bCs/>
          <w:sz w:val="28"/>
          <w:szCs w:val="28"/>
        </w:rPr>
        <w:t xml:space="preserve"> </w:t>
      </w:r>
      <w:r w:rsidR="006A018F">
        <w:rPr>
          <w:bCs/>
          <w:sz w:val="28"/>
          <w:szCs w:val="28"/>
        </w:rPr>
        <w:t>such as the Algerian</w:t>
      </w:r>
      <w:r w:rsidRPr="00724991">
        <w:rPr>
          <w:bCs/>
          <w:sz w:val="28"/>
          <w:szCs w:val="28"/>
        </w:rPr>
        <w:t>, aims to achieve economic stability and absolute legal certainty, where prior use is not recognized regard</w:t>
      </w:r>
      <w:r w:rsidR="006A018F">
        <w:rPr>
          <w:bCs/>
          <w:sz w:val="28"/>
          <w:szCs w:val="28"/>
        </w:rPr>
        <w:t xml:space="preserve">less of its extent or duration, </w:t>
      </w:r>
      <w:r w:rsidRPr="00724991">
        <w:rPr>
          <w:bCs/>
          <w:sz w:val="28"/>
          <w:szCs w:val="28"/>
        </w:rPr>
        <w:t>except for the rules of international</w:t>
      </w:r>
      <w:r w:rsidR="006A018F">
        <w:rPr>
          <w:bCs/>
          <w:sz w:val="28"/>
          <w:szCs w:val="28"/>
        </w:rPr>
        <w:t>ly famous marks according to Paris Convention</w:t>
      </w:r>
      <w:r w:rsidRPr="00724991">
        <w:rPr>
          <w:bCs/>
          <w:sz w:val="28"/>
          <w:szCs w:val="28"/>
        </w:rPr>
        <w:t>. In this system, registration grants an absolute presumption against all, and the prior user cannot invoke their prior use to invalidate a legally and duly registered mark</w:t>
      </w:r>
      <w:r w:rsidR="00CE717F">
        <w:rPr>
          <w:bCs/>
          <w:sz w:val="28"/>
          <w:szCs w:val="28"/>
        </w:rPr>
        <w:t xml:space="preserve"> </w:t>
      </w:r>
      <w:r w:rsidR="00CE717F" w:rsidRPr="00CE717F">
        <w:rPr>
          <w:bCs/>
          <w:sz w:val="28"/>
          <w:szCs w:val="28"/>
        </w:rPr>
        <w:t xml:space="preserve">  (Mejanah, A, 2016)</w:t>
      </w:r>
      <w:r w:rsidR="006A018F">
        <w:rPr>
          <w:bCs/>
          <w:sz w:val="28"/>
          <w:szCs w:val="28"/>
        </w:rPr>
        <w:t xml:space="preserve">. </w:t>
      </w:r>
    </w:p>
    <w:p w14:paraId="3753E419" w14:textId="34E4AB21" w:rsidR="00724991" w:rsidRDefault="00724991" w:rsidP="006A018F">
      <w:pPr>
        <w:tabs>
          <w:tab w:val="decimal" w:pos="8280"/>
        </w:tabs>
        <w:spacing w:line="276" w:lineRule="auto"/>
        <w:ind w:firstLine="540"/>
        <w:jc w:val="both"/>
        <w:rPr>
          <w:bCs/>
          <w:sz w:val="28"/>
          <w:szCs w:val="28"/>
        </w:rPr>
      </w:pPr>
      <w:r w:rsidRPr="00724991">
        <w:rPr>
          <w:bCs/>
          <w:sz w:val="28"/>
          <w:szCs w:val="28"/>
        </w:rPr>
        <w:t>Modern legislations, including Emirati and Egypt</w:t>
      </w:r>
      <w:r w:rsidR="006A018F">
        <w:rPr>
          <w:bCs/>
          <w:sz w:val="28"/>
          <w:szCs w:val="28"/>
        </w:rPr>
        <w:t>ian ones</w:t>
      </w:r>
      <w:r w:rsidRPr="00724991">
        <w:rPr>
          <w:bCs/>
          <w:sz w:val="28"/>
          <w:szCs w:val="28"/>
        </w:rPr>
        <w:t xml:space="preserve">, have sought to adopt a "mixed" or hybrid system; where they recognize the presumption of registration and grant it direct executive power, but keep the door slightly open to protect prior use for specific periods, </w:t>
      </w:r>
      <w:r w:rsidR="006A018F">
        <w:rPr>
          <w:bCs/>
          <w:sz w:val="28"/>
          <w:szCs w:val="28"/>
        </w:rPr>
        <w:t xml:space="preserve">and </w:t>
      </w:r>
      <w:r w:rsidRPr="00724991">
        <w:rPr>
          <w:bCs/>
          <w:sz w:val="28"/>
          <w:szCs w:val="28"/>
        </w:rPr>
        <w:t>thu</w:t>
      </w:r>
      <w:r w:rsidR="006A018F">
        <w:rPr>
          <w:bCs/>
          <w:sz w:val="28"/>
          <w:szCs w:val="28"/>
        </w:rPr>
        <w:t>s attempting to create</w:t>
      </w:r>
      <w:r w:rsidRPr="00724991">
        <w:rPr>
          <w:bCs/>
          <w:sz w:val="28"/>
          <w:szCs w:val="28"/>
        </w:rPr>
        <w:t xml:space="preserve"> a balance between achieving legal certainty and protecting commercial justice</w:t>
      </w:r>
      <w:r w:rsidR="00CE717F">
        <w:rPr>
          <w:bCs/>
          <w:sz w:val="28"/>
          <w:szCs w:val="28"/>
        </w:rPr>
        <w:t xml:space="preserve"> </w:t>
      </w:r>
      <w:r w:rsidR="00CE717F" w:rsidRPr="00CE717F">
        <w:rPr>
          <w:bCs/>
          <w:sz w:val="28"/>
          <w:szCs w:val="28"/>
        </w:rPr>
        <w:t>(Al Tamimi &amp; Company, 2012)</w:t>
      </w:r>
      <w:r w:rsidR="006A018F">
        <w:rPr>
          <w:bCs/>
          <w:sz w:val="28"/>
          <w:szCs w:val="28"/>
        </w:rPr>
        <w:t xml:space="preserve">. </w:t>
      </w:r>
    </w:p>
    <w:p w14:paraId="28626D26" w14:textId="77777777" w:rsidR="00330E2A" w:rsidRPr="00FD7D38" w:rsidRDefault="00330E2A" w:rsidP="006A018F">
      <w:pPr>
        <w:tabs>
          <w:tab w:val="decimal" w:pos="8280"/>
        </w:tabs>
        <w:spacing w:line="276" w:lineRule="auto"/>
        <w:ind w:firstLine="540"/>
        <w:jc w:val="both"/>
        <w:rPr>
          <w:b/>
          <w:sz w:val="16"/>
          <w:szCs w:val="16"/>
        </w:rPr>
      </w:pPr>
    </w:p>
    <w:p w14:paraId="63020B04" w14:textId="77777777" w:rsidR="00330E2A" w:rsidRPr="00330E2A" w:rsidRDefault="00330E2A" w:rsidP="00330E2A">
      <w:pPr>
        <w:tabs>
          <w:tab w:val="decimal" w:pos="8280"/>
        </w:tabs>
        <w:spacing w:line="276" w:lineRule="auto"/>
        <w:jc w:val="both"/>
        <w:rPr>
          <w:b/>
          <w:sz w:val="32"/>
          <w:szCs w:val="32"/>
        </w:rPr>
      </w:pPr>
      <w:r w:rsidRPr="00330E2A">
        <w:rPr>
          <w:b/>
          <w:sz w:val="32"/>
          <w:szCs w:val="32"/>
        </w:rPr>
        <w:t>2.2.1 Civil Basis for Protecting Prior Use</w:t>
      </w:r>
    </w:p>
    <w:p w14:paraId="606D8BD7" w14:textId="77777777" w:rsidR="00330E2A" w:rsidRPr="00FD7D38" w:rsidRDefault="00330E2A" w:rsidP="00330E2A">
      <w:pPr>
        <w:tabs>
          <w:tab w:val="decimal" w:pos="8280"/>
        </w:tabs>
        <w:spacing w:line="276" w:lineRule="auto"/>
        <w:ind w:firstLine="540"/>
        <w:jc w:val="both"/>
        <w:rPr>
          <w:bCs/>
          <w:sz w:val="16"/>
          <w:szCs w:val="16"/>
        </w:rPr>
      </w:pPr>
    </w:p>
    <w:p w14:paraId="659AACD1" w14:textId="40E26046" w:rsidR="00330E2A" w:rsidRPr="00330E2A" w:rsidRDefault="00330E2A" w:rsidP="00124000">
      <w:pPr>
        <w:tabs>
          <w:tab w:val="decimal" w:pos="8280"/>
        </w:tabs>
        <w:spacing w:line="276" w:lineRule="auto"/>
        <w:ind w:firstLine="540"/>
        <w:jc w:val="both"/>
        <w:rPr>
          <w:bCs/>
          <w:sz w:val="28"/>
          <w:szCs w:val="28"/>
        </w:rPr>
      </w:pPr>
      <w:r w:rsidRPr="00330E2A">
        <w:rPr>
          <w:bCs/>
          <w:sz w:val="28"/>
          <w:szCs w:val="28"/>
        </w:rPr>
        <w:t>Although modern legislative trends strongly push towards mandatory registration to ensure effective criminal protection and sw</w:t>
      </w:r>
      <w:r w:rsidR="006E1C5E">
        <w:rPr>
          <w:bCs/>
          <w:sz w:val="28"/>
          <w:szCs w:val="28"/>
        </w:rPr>
        <w:t xml:space="preserve">ift precautionary measures, </w:t>
      </w:r>
      <w:r w:rsidRPr="00330E2A">
        <w:rPr>
          <w:bCs/>
          <w:sz w:val="28"/>
          <w:szCs w:val="28"/>
        </w:rPr>
        <w:t>prior use of an unregistered trademark is not left without any protection. Rather, its protection is rooted within the general rules of civil law and competition protection laws, as there are multiple mechanisms for protecting unregistered trademarks</w:t>
      </w:r>
      <w:r w:rsidR="00375754">
        <w:rPr>
          <w:bCs/>
          <w:sz w:val="28"/>
          <w:szCs w:val="28"/>
        </w:rPr>
        <w:t xml:space="preserve"> </w:t>
      </w:r>
      <w:r w:rsidR="00375754" w:rsidRPr="00375754">
        <w:rPr>
          <w:bCs/>
          <w:sz w:val="28"/>
          <w:szCs w:val="28"/>
        </w:rPr>
        <w:t>(Al-Jabareen, I.M.F, 2010)</w:t>
      </w:r>
      <w:r w:rsidR="006E1C5E">
        <w:rPr>
          <w:bCs/>
          <w:sz w:val="28"/>
          <w:szCs w:val="28"/>
        </w:rPr>
        <w:t xml:space="preserve">. </w:t>
      </w:r>
      <w:r w:rsidR="00124000">
        <w:rPr>
          <w:bCs/>
          <w:sz w:val="28"/>
          <w:szCs w:val="28"/>
        </w:rPr>
        <w:t>It is worth noting that t</w:t>
      </w:r>
      <w:r w:rsidRPr="00330E2A">
        <w:rPr>
          <w:bCs/>
          <w:sz w:val="28"/>
          <w:szCs w:val="28"/>
        </w:rPr>
        <w:t>he civil framework primarily begins with the rules of tort liability</w:t>
      </w:r>
      <w:r w:rsidR="00124000">
        <w:rPr>
          <w:bCs/>
          <w:sz w:val="28"/>
          <w:szCs w:val="28"/>
        </w:rPr>
        <w:t>, i.e. the theory of harmful act</w:t>
      </w:r>
      <w:r w:rsidR="00A552AB">
        <w:rPr>
          <w:bCs/>
          <w:sz w:val="28"/>
          <w:szCs w:val="28"/>
        </w:rPr>
        <w:t xml:space="preserve"> </w:t>
      </w:r>
      <w:r w:rsidR="00A552AB" w:rsidRPr="00A552AB">
        <w:rPr>
          <w:bCs/>
          <w:sz w:val="28"/>
          <w:szCs w:val="28"/>
        </w:rPr>
        <w:t>(Muhaisen, S. Z. &amp; Abd, S. O, 2014)</w:t>
      </w:r>
      <w:r w:rsidR="00124000">
        <w:rPr>
          <w:bCs/>
          <w:sz w:val="28"/>
          <w:szCs w:val="28"/>
        </w:rPr>
        <w:t xml:space="preserve">. </w:t>
      </w:r>
      <w:r w:rsidRPr="00330E2A">
        <w:rPr>
          <w:bCs/>
          <w:sz w:val="28"/>
          <w:szCs w:val="28"/>
        </w:rPr>
        <w:t xml:space="preserve">Infringement of an unregistered but actually used trademark with economic value </w:t>
      </w:r>
      <w:r w:rsidR="00124000">
        <w:rPr>
          <w:bCs/>
          <w:sz w:val="28"/>
          <w:szCs w:val="28"/>
        </w:rPr>
        <w:t xml:space="preserve">is deemed </w:t>
      </w:r>
      <w:r w:rsidRPr="00330E2A">
        <w:rPr>
          <w:bCs/>
          <w:sz w:val="28"/>
          <w:szCs w:val="28"/>
        </w:rPr>
        <w:t xml:space="preserve">a civil </w:t>
      </w:r>
      <w:r w:rsidR="00124000">
        <w:rPr>
          <w:bCs/>
          <w:sz w:val="28"/>
          <w:szCs w:val="28"/>
        </w:rPr>
        <w:t xml:space="preserve">error </w:t>
      </w:r>
      <w:r w:rsidRPr="00330E2A">
        <w:rPr>
          <w:bCs/>
          <w:sz w:val="28"/>
          <w:szCs w:val="28"/>
        </w:rPr>
        <w:t>that requires compensation whenever its three legal ele</w:t>
      </w:r>
      <w:r w:rsidR="00124000">
        <w:rPr>
          <w:bCs/>
          <w:sz w:val="28"/>
          <w:szCs w:val="28"/>
        </w:rPr>
        <w:t xml:space="preserve">ments are fulfilled: the fault, </w:t>
      </w:r>
      <w:r w:rsidRPr="00330E2A">
        <w:rPr>
          <w:bCs/>
          <w:sz w:val="28"/>
          <w:szCs w:val="28"/>
        </w:rPr>
        <w:t>represented by using the mark with t</w:t>
      </w:r>
      <w:r w:rsidR="00124000">
        <w:rPr>
          <w:bCs/>
          <w:sz w:val="28"/>
          <w:szCs w:val="28"/>
        </w:rPr>
        <w:t xml:space="preserve">he intent to deceive or exploit, the damage, </w:t>
      </w:r>
      <w:r w:rsidRPr="00330E2A">
        <w:rPr>
          <w:bCs/>
          <w:sz w:val="28"/>
          <w:szCs w:val="28"/>
        </w:rPr>
        <w:t xml:space="preserve">represented by loss of customers, decline in sales, or </w:t>
      </w:r>
      <w:r w:rsidR="00124000">
        <w:rPr>
          <w:bCs/>
          <w:sz w:val="28"/>
          <w:szCs w:val="28"/>
        </w:rPr>
        <w:t>damage to commercial reputation</w:t>
      </w:r>
      <w:r w:rsidRPr="00330E2A">
        <w:rPr>
          <w:bCs/>
          <w:sz w:val="28"/>
          <w:szCs w:val="28"/>
        </w:rPr>
        <w:t>, and</w:t>
      </w:r>
      <w:r w:rsidR="00124000">
        <w:rPr>
          <w:bCs/>
          <w:sz w:val="28"/>
          <w:szCs w:val="28"/>
        </w:rPr>
        <w:t xml:space="preserve"> lastly,</w:t>
      </w:r>
      <w:r w:rsidRPr="00330E2A">
        <w:rPr>
          <w:bCs/>
          <w:sz w:val="28"/>
          <w:szCs w:val="28"/>
        </w:rPr>
        <w:t xml:space="preserve"> the causal link between the fault and the damage</w:t>
      </w:r>
      <w:r w:rsidR="00A552AB">
        <w:rPr>
          <w:bCs/>
          <w:sz w:val="28"/>
          <w:szCs w:val="28"/>
        </w:rPr>
        <w:t xml:space="preserve"> </w:t>
      </w:r>
      <w:r w:rsidR="00A552AB" w:rsidRPr="00A552AB">
        <w:rPr>
          <w:bCs/>
          <w:sz w:val="28"/>
          <w:szCs w:val="28"/>
        </w:rPr>
        <w:t>(Ahmed, A. M, 2025)</w:t>
      </w:r>
      <w:r w:rsidR="00124000">
        <w:rPr>
          <w:bCs/>
          <w:sz w:val="28"/>
          <w:szCs w:val="28"/>
        </w:rPr>
        <w:t>.</w:t>
      </w:r>
      <w:r w:rsidR="00D460C3">
        <w:rPr>
          <w:bCs/>
          <w:sz w:val="28"/>
          <w:szCs w:val="28"/>
        </w:rPr>
        <w:t xml:space="preserve"> </w:t>
      </w:r>
      <w:r w:rsidRPr="00330E2A">
        <w:rPr>
          <w:bCs/>
          <w:sz w:val="28"/>
          <w:szCs w:val="28"/>
        </w:rPr>
        <w:t xml:space="preserve">This foundation is derived </w:t>
      </w:r>
      <w:r w:rsidR="00D460C3">
        <w:rPr>
          <w:bCs/>
          <w:sz w:val="28"/>
          <w:szCs w:val="28"/>
        </w:rPr>
        <w:t xml:space="preserve">from established rules </w:t>
      </w:r>
      <w:r w:rsidR="00D460C3">
        <w:rPr>
          <w:bCs/>
          <w:sz w:val="28"/>
          <w:szCs w:val="28"/>
        </w:rPr>
        <w:lastRenderedPageBreak/>
        <w:t>in Arab Civil L</w:t>
      </w:r>
      <w:r w:rsidRPr="00330E2A">
        <w:rPr>
          <w:bCs/>
          <w:sz w:val="28"/>
          <w:szCs w:val="28"/>
        </w:rPr>
        <w:t>aws, such as Article</w:t>
      </w:r>
      <w:r w:rsidR="00D460C3">
        <w:rPr>
          <w:bCs/>
          <w:sz w:val="28"/>
          <w:szCs w:val="28"/>
        </w:rPr>
        <w:t xml:space="preserve"> No.</w:t>
      </w:r>
      <w:r w:rsidRPr="00330E2A">
        <w:rPr>
          <w:bCs/>
          <w:sz w:val="28"/>
          <w:szCs w:val="28"/>
        </w:rPr>
        <w:t xml:space="preserve"> 163 of the Egyptian Civil Code and Article</w:t>
      </w:r>
      <w:r w:rsidR="00D460C3">
        <w:rPr>
          <w:bCs/>
          <w:sz w:val="28"/>
          <w:szCs w:val="28"/>
        </w:rPr>
        <w:t xml:space="preserve"> No.</w:t>
      </w:r>
      <w:r w:rsidRPr="00330E2A">
        <w:rPr>
          <w:bCs/>
          <w:sz w:val="28"/>
          <w:szCs w:val="28"/>
        </w:rPr>
        <w:t xml:space="preserve"> 186 of the Iraqi Civil Code.</w:t>
      </w:r>
    </w:p>
    <w:p w14:paraId="79E4B579" w14:textId="32BA348F" w:rsidR="00D460C3" w:rsidRPr="00D460C3" w:rsidRDefault="00D460C3" w:rsidP="00D460C3">
      <w:pPr>
        <w:tabs>
          <w:tab w:val="decimal" w:pos="8280"/>
        </w:tabs>
        <w:spacing w:line="276" w:lineRule="auto"/>
        <w:ind w:firstLine="540"/>
        <w:jc w:val="both"/>
        <w:rPr>
          <w:bCs/>
          <w:sz w:val="28"/>
          <w:szCs w:val="28"/>
        </w:rPr>
      </w:pPr>
      <w:r>
        <w:rPr>
          <w:bCs/>
          <w:sz w:val="28"/>
          <w:szCs w:val="28"/>
        </w:rPr>
        <w:t xml:space="preserve">Moreover, </w:t>
      </w:r>
      <w:r w:rsidRPr="00D460C3">
        <w:rPr>
          <w:bCs/>
          <w:sz w:val="28"/>
          <w:szCs w:val="28"/>
        </w:rPr>
        <w:t>Protection of prior use is based on the theory of unfair competition. According to jurisprudential foundations, when a trader resorts to fabricating a trademark that is identical or substantially similar to a mark previously used by a competitor within the same geographical and qualitative scope, it constitutes a serious deviation from the customary and established principles</w:t>
      </w:r>
      <w:r>
        <w:rPr>
          <w:bCs/>
          <w:sz w:val="28"/>
          <w:szCs w:val="28"/>
        </w:rPr>
        <w:t xml:space="preserve"> in commercial transactions, as well as</w:t>
      </w:r>
      <w:r w:rsidRPr="00D460C3">
        <w:rPr>
          <w:bCs/>
          <w:sz w:val="28"/>
          <w:szCs w:val="28"/>
        </w:rPr>
        <w:t xml:space="preserve"> the use of means that contradict the principles of honor, commercial honesty, and mutual trust</w:t>
      </w:r>
      <w:r w:rsidR="009C73F9">
        <w:rPr>
          <w:bCs/>
          <w:sz w:val="28"/>
          <w:szCs w:val="28"/>
        </w:rPr>
        <w:t xml:space="preserve"> </w:t>
      </w:r>
      <w:r w:rsidR="009C73F9" w:rsidRPr="009C73F9">
        <w:rPr>
          <w:bCs/>
          <w:sz w:val="28"/>
          <w:szCs w:val="28"/>
        </w:rPr>
        <w:t>(Ahmed, A. M, 2025)</w:t>
      </w:r>
      <w:r>
        <w:rPr>
          <w:bCs/>
          <w:sz w:val="28"/>
          <w:szCs w:val="28"/>
        </w:rPr>
        <w:t>.</w:t>
      </w:r>
      <w:r w:rsidR="001968F6">
        <w:rPr>
          <w:bCs/>
          <w:sz w:val="28"/>
          <w:szCs w:val="28"/>
        </w:rPr>
        <w:t xml:space="preserve"> </w:t>
      </w:r>
      <w:r w:rsidRPr="00D460C3">
        <w:rPr>
          <w:bCs/>
          <w:sz w:val="28"/>
          <w:szCs w:val="28"/>
        </w:rPr>
        <w:t>The claim of unfair competition aims to protect the trader's effort and the fruit of his labor from parasitic exploitation by competitors seeking to reap benefits they did not sow.</w:t>
      </w:r>
    </w:p>
    <w:p w14:paraId="5612E435" w14:textId="0B54D97E" w:rsidR="00D460C3" w:rsidRDefault="00D460C3" w:rsidP="00807945">
      <w:pPr>
        <w:tabs>
          <w:tab w:val="decimal" w:pos="8280"/>
        </w:tabs>
        <w:spacing w:line="276" w:lineRule="auto"/>
        <w:ind w:firstLine="540"/>
        <w:jc w:val="both"/>
        <w:rPr>
          <w:bCs/>
          <w:sz w:val="28"/>
          <w:szCs w:val="28"/>
        </w:rPr>
      </w:pPr>
      <w:r w:rsidRPr="00D460C3">
        <w:rPr>
          <w:bCs/>
          <w:sz w:val="28"/>
          <w:szCs w:val="28"/>
        </w:rPr>
        <w:t>However, practical application reveals delicate legislative issues in some comparative countries that hinder this civil protection; for example, in</w:t>
      </w:r>
      <w:r w:rsidR="001968F6">
        <w:rPr>
          <w:bCs/>
          <w:sz w:val="28"/>
          <w:szCs w:val="28"/>
        </w:rPr>
        <w:t xml:space="preserve"> the Jordanian L</w:t>
      </w:r>
      <w:r w:rsidRPr="00D460C3">
        <w:rPr>
          <w:bCs/>
          <w:sz w:val="28"/>
          <w:szCs w:val="28"/>
        </w:rPr>
        <w:t>aw, jurisprudence has strongly criticized Article</w:t>
      </w:r>
      <w:r w:rsidR="001968F6">
        <w:rPr>
          <w:bCs/>
          <w:sz w:val="28"/>
          <w:szCs w:val="28"/>
        </w:rPr>
        <w:t xml:space="preserve"> No.</w:t>
      </w:r>
      <w:r w:rsidRPr="00D460C3">
        <w:rPr>
          <w:bCs/>
          <w:sz w:val="28"/>
          <w:szCs w:val="28"/>
        </w:rPr>
        <w:t xml:space="preserve"> </w:t>
      </w:r>
      <w:r w:rsidR="001968F6">
        <w:rPr>
          <w:bCs/>
          <w:sz w:val="28"/>
          <w:szCs w:val="28"/>
        </w:rPr>
        <w:t>33</w:t>
      </w:r>
      <w:r w:rsidRPr="00D460C3">
        <w:rPr>
          <w:bCs/>
          <w:sz w:val="28"/>
          <w:szCs w:val="28"/>
        </w:rPr>
        <w:t xml:space="preserve"> of the Trademark Law No. 33 of 1</w:t>
      </w:r>
      <w:r w:rsidR="001968F6">
        <w:rPr>
          <w:bCs/>
          <w:sz w:val="28"/>
          <w:szCs w:val="28"/>
        </w:rPr>
        <w:t>952, which explicitly prohibits</w:t>
      </w:r>
      <w:r w:rsidRPr="00D460C3">
        <w:rPr>
          <w:bCs/>
          <w:sz w:val="28"/>
          <w:szCs w:val="28"/>
        </w:rPr>
        <w:t xml:space="preserve"> filing any civil lawsuit to claim compensation for infringement on the rights of the owner of an un</w:t>
      </w:r>
      <w:r w:rsidR="001968F6">
        <w:rPr>
          <w:bCs/>
          <w:sz w:val="28"/>
          <w:szCs w:val="28"/>
        </w:rPr>
        <w:t>registered mark in the Kingdom, whether the infringement is</w:t>
      </w:r>
      <w:r w:rsidRPr="00D460C3">
        <w:rPr>
          <w:bCs/>
          <w:sz w:val="28"/>
          <w:szCs w:val="28"/>
        </w:rPr>
        <w:t xml:space="preserve"> by forgery or </w:t>
      </w:r>
      <w:r w:rsidR="001968F6">
        <w:rPr>
          <w:bCs/>
          <w:sz w:val="28"/>
          <w:szCs w:val="28"/>
        </w:rPr>
        <w:t>imitation</w:t>
      </w:r>
      <w:r w:rsidRPr="00D460C3">
        <w:rPr>
          <w:bCs/>
          <w:sz w:val="28"/>
          <w:szCs w:val="28"/>
        </w:rPr>
        <w:t xml:space="preserve">. This restrictive provision </w:t>
      </w:r>
      <w:r w:rsidR="001968F6">
        <w:rPr>
          <w:bCs/>
          <w:sz w:val="28"/>
          <w:szCs w:val="28"/>
        </w:rPr>
        <w:t xml:space="preserve">has </w:t>
      </w:r>
      <w:r w:rsidRPr="00D460C3">
        <w:rPr>
          <w:bCs/>
          <w:sz w:val="28"/>
          <w:szCs w:val="28"/>
        </w:rPr>
        <w:t>forced owners of unregistered marks to resort only to requesting the "cancellation of the infringing mark" as</w:t>
      </w:r>
      <w:r w:rsidR="001968F6">
        <w:rPr>
          <w:bCs/>
          <w:sz w:val="28"/>
          <w:szCs w:val="28"/>
        </w:rPr>
        <w:t xml:space="preserve"> it is</w:t>
      </w:r>
      <w:r w:rsidRPr="00D460C3">
        <w:rPr>
          <w:bCs/>
          <w:sz w:val="28"/>
          <w:szCs w:val="28"/>
        </w:rPr>
        <w:t xml:space="preserve"> the sole means to prevent future infringement, without being able to claim compensation for previous financial damage. This</w:t>
      </w:r>
      <w:r w:rsidR="001968F6">
        <w:rPr>
          <w:bCs/>
          <w:sz w:val="28"/>
          <w:szCs w:val="28"/>
        </w:rPr>
        <w:t xml:space="preserve"> indeed</w:t>
      </w:r>
      <w:r w:rsidRPr="00D460C3">
        <w:rPr>
          <w:bCs/>
          <w:sz w:val="28"/>
          <w:szCs w:val="28"/>
        </w:rPr>
        <w:t xml:space="preserve"> represents a severe deficiency in civil protection that contradicts the general rules of tort liability and the international obligations arising from the TRIPS Agreement, which requires providing effective and fair protection for intellectual property</w:t>
      </w:r>
      <w:r w:rsidR="009C73F9" w:rsidRPr="009C73F9">
        <w:rPr>
          <w:bCs/>
          <w:sz w:val="28"/>
          <w:szCs w:val="28"/>
        </w:rPr>
        <w:t xml:space="preserve"> (Al-Jabareen, I.M.F, 2010)</w:t>
      </w:r>
      <w:r w:rsidR="001968F6">
        <w:rPr>
          <w:bCs/>
          <w:sz w:val="28"/>
          <w:szCs w:val="28"/>
        </w:rPr>
        <w:t>.</w:t>
      </w:r>
      <w:r w:rsidRPr="00D460C3">
        <w:rPr>
          <w:bCs/>
          <w:sz w:val="28"/>
          <w:szCs w:val="28"/>
        </w:rPr>
        <w:t xml:space="preserve"> </w:t>
      </w:r>
    </w:p>
    <w:p w14:paraId="2DC9ABD5" w14:textId="77777777" w:rsidR="00807945" w:rsidRPr="00807945" w:rsidRDefault="00807945" w:rsidP="00807945">
      <w:pPr>
        <w:tabs>
          <w:tab w:val="decimal" w:pos="8280"/>
        </w:tabs>
        <w:spacing w:line="276" w:lineRule="auto"/>
        <w:ind w:firstLine="540"/>
        <w:jc w:val="both"/>
        <w:rPr>
          <w:bCs/>
          <w:sz w:val="16"/>
          <w:szCs w:val="16"/>
        </w:rPr>
      </w:pPr>
    </w:p>
    <w:p w14:paraId="2CD1D768" w14:textId="77777777" w:rsidR="00807945" w:rsidRPr="00807945" w:rsidRDefault="00807945" w:rsidP="00807945">
      <w:pPr>
        <w:jc w:val="both"/>
        <w:rPr>
          <w:rFonts w:asciiTheme="majorBidi" w:hAnsiTheme="majorBidi" w:cstheme="majorBidi"/>
          <w:b/>
          <w:bCs/>
          <w:color w:val="0D0D0D" w:themeColor="text1" w:themeTint="F2"/>
          <w:sz w:val="32"/>
          <w:szCs w:val="32"/>
        </w:rPr>
      </w:pPr>
      <w:r>
        <w:rPr>
          <w:rFonts w:asciiTheme="majorBidi" w:hAnsiTheme="majorBidi" w:cstheme="majorBidi"/>
          <w:b/>
          <w:bCs/>
          <w:color w:val="0D0D0D" w:themeColor="text1" w:themeTint="F2"/>
          <w:sz w:val="32"/>
          <w:szCs w:val="32"/>
        </w:rPr>
        <w:t>2.3 Condition of Serious &amp;</w:t>
      </w:r>
      <w:r w:rsidRPr="00807945">
        <w:rPr>
          <w:rFonts w:asciiTheme="majorBidi" w:hAnsiTheme="majorBidi" w:cstheme="majorBidi"/>
          <w:b/>
          <w:bCs/>
          <w:color w:val="0D0D0D" w:themeColor="text1" w:themeTint="F2"/>
          <w:sz w:val="32"/>
          <w:szCs w:val="32"/>
        </w:rPr>
        <w:t xml:space="preserve"> Continuous Use of the Mark  </w:t>
      </w:r>
    </w:p>
    <w:p w14:paraId="09418022" w14:textId="77777777" w:rsidR="00807945" w:rsidRPr="00807945" w:rsidRDefault="00807945" w:rsidP="00807945">
      <w:pPr>
        <w:jc w:val="both"/>
        <w:rPr>
          <w:rFonts w:asciiTheme="majorBidi" w:hAnsiTheme="majorBidi" w:cstheme="majorBidi"/>
          <w:color w:val="0D0D0D" w:themeColor="text1" w:themeTint="F2"/>
          <w:sz w:val="16"/>
          <w:szCs w:val="16"/>
        </w:rPr>
      </w:pPr>
    </w:p>
    <w:p w14:paraId="30DD598A" w14:textId="66C6D136" w:rsidR="00697617" w:rsidRDefault="00362F67" w:rsidP="00697617">
      <w:pPr>
        <w:ind w:firstLine="540"/>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We are obliged to note that the law has</w:t>
      </w:r>
      <w:r w:rsidR="00807945" w:rsidRPr="00F4566A">
        <w:rPr>
          <w:rFonts w:asciiTheme="majorBidi" w:hAnsiTheme="majorBidi" w:cstheme="majorBidi"/>
          <w:color w:val="0D0D0D" w:themeColor="text1" w:themeTint="F2"/>
          <w:sz w:val="28"/>
          <w:szCs w:val="28"/>
        </w:rPr>
        <w:t xml:space="preserve"> not extend</w:t>
      </w:r>
      <w:r>
        <w:rPr>
          <w:rFonts w:asciiTheme="majorBidi" w:hAnsiTheme="majorBidi" w:cstheme="majorBidi"/>
          <w:color w:val="0D0D0D" w:themeColor="text1" w:themeTint="F2"/>
          <w:sz w:val="28"/>
          <w:szCs w:val="28"/>
        </w:rPr>
        <w:t>ed</w:t>
      </w:r>
      <w:r w:rsidR="00807945" w:rsidRPr="00F4566A">
        <w:rPr>
          <w:rFonts w:asciiTheme="majorBidi" w:hAnsiTheme="majorBidi" w:cstheme="majorBidi"/>
          <w:color w:val="0D0D0D" w:themeColor="text1" w:themeTint="F2"/>
          <w:sz w:val="28"/>
          <w:szCs w:val="28"/>
        </w:rPr>
        <w:t xml:space="preserve"> its broad protection to </w:t>
      </w:r>
      <w:r>
        <w:rPr>
          <w:rFonts w:asciiTheme="majorBidi" w:hAnsiTheme="majorBidi" w:cstheme="majorBidi"/>
          <w:color w:val="0D0D0D" w:themeColor="text1" w:themeTint="F2"/>
          <w:sz w:val="28"/>
          <w:szCs w:val="28"/>
        </w:rPr>
        <w:t>cover fu</w:t>
      </w:r>
      <w:r w:rsidR="00807945" w:rsidRPr="00F4566A">
        <w:rPr>
          <w:rFonts w:asciiTheme="majorBidi" w:hAnsiTheme="majorBidi" w:cstheme="majorBidi"/>
          <w:color w:val="0D0D0D" w:themeColor="text1" w:themeTint="F2"/>
          <w:sz w:val="28"/>
          <w:szCs w:val="28"/>
        </w:rPr>
        <w:t>ture use, nor to formal or transient use</w:t>
      </w:r>
      <w:r w:rsidR="003A58AA">
        <w:rPr>
          <w:rFonts w:asciiTheme="majorBidi" w:hAnsiTheme="majorBidi" w:cstheme="majorBidi"/>
          <w:color w:val="0D0D0D" w:themeColor="text1" w:themeTint="F2"/>
          <w:sz w:val="28"/>
          <w:szCs w:val="28"/>
        </w:rPr>
        <w:t>,</w:t>
      </w:r>
      <w:r>
        <w:rPr>
          <w:rFonts w:asciiTheme="majorBidi" w:hAnsiTheme="majorBidi" w:cstheme="majorBidi"/>
          <w:color w:val="0D0D0D" w:themeColor="text1" w:themeTint="F2"/>
          <w:sz w:val="28"/>
          <w:szCs w:val="28"/>
        </w:rPr>
        <w:t xml:space="preserve"> limiting its purposes to only </w:t>
      </w:r>
      <w:r w:rsidR="00807945" w:rsidRPr="00F4566A">
        <w:rPr>
          <w:rFonts w:asciiTheme="majorBidi" w:hAnsiTheme="majorBidi" w:cstheme="majorBidi"/>
          <w:color w:val="0D0D0D" w:themeColor="text1" w:themeTint="F2"/>
          <w:sz w:val="28"/>
          <w:szCs w:val="28"/>
        </w:rPr>
        <w:t>monopolizing the trad</w:t>
      </w:r>
      <w:r>
        <w:rPr>
          <w:rFonts w:asciiTheme="majorBidi" w:hAnsiTheme="majorBidi" w:cstheme="majorBidi"/>
          <w:color w:val="0D0D0D" w:themeColor="text1" w:themeTint="F2"/>
          <w:sz w:val="28"/>
          <w:szCs w:val="28"/>
        </w:rPr>
        <w:t>e symbol</w:t>
      </w:r>
      <w:r w:rsidR="003A58AA">
        <w:rPr>
          <w:rFonts w:asciiTheme="majorBidi" w:hAnsiTheme="majorBidi" w:cstheme="majorBidi"/>
          <w:color w:val="0D0D0D" w:themeColor="text1" w:themeTint="F2"/>
          <w:sz w:val="28"/>
          <w:szCs w:val="28"/>
        </w:rPr>
        <w:t>, having a positive</w:t>
      </w:r>
      <w:r w:rsidR="00807945" w:rsidRPr="00F4566A">
        <w:rPr>
          <w:rFonts w:asciiTheme="majorBidi" w:hAnsiTheme="majorBidi" w:cstheme="majorBidi"/>
          <w:color w:val="0D0D0D" w:themeColor="text1" w:themeTint="F2"/>
          <w:sz w:val="28"/>
          <w:szCs w:val="28"/>
        </w:rPr>
        <w:t xml:space="preserve"> legal effect </w:t>
      </w:r>
      <w:r w:rsidR="003A58AA">
        <w:rPr>
          <w:rFonts w:asciiTheme="majorBidi" w:hAnsiTheme="majorBidi" w:cstheme="majorBidi"/>
          <w:color w:val="0D0D0D" w:themeColor="text1" w:themeTint="F2"/>
          <w:sz w:val="28"/>
          <w:szCs w:val="28"/>
        </w:rPr>
        <w:t xml:space="preserve">that is </w:t>
      </w:r>
      <w:r w:rsidR="00807945" w:rsidRPr="00F4566A">
        <w:rPr>
          <w:rFonts w:asciiTheme="majorBidi" w:hAnsiTheme="majorBidi" w:cstheme="majorBidi"/>
          <w:color w:val="0D0D0D" w:themeColor="text1" w:themeTint="F2"/>
          <w:sz w:val="28"/>
          <w:szCs w:val="28"/>
        </w:rPr>
        <w:t>capable of rebutting the pre</w:t>
      </w:r>
      <w:r w:rsidR="003A58AA">
        <w:rPr>
          <w:rFonts w:asciiTheme="majorBidi" w:hAnsiTheme="majorBidi" w:cstheme="majorBidi"/>
          <w:color w:val="0D0D0D" w:themeColor="text1" w:themeTint="F2"/>
          <w:sz w:val="28"/>
          <w:szCs w:val="28"/>
        </w:rPr>
        <w:t>sumption of registration, or preserving</w:t>
      </w:r>
      <w:r w:rsidR="00807945" w:rsidRPr="00F4566A">
        <w:rPr>
          <w:rFonts w:asciiTheme="majorBidi" w:hAnsiTheme="majorBidi" w:cstheme="majorBidi"/>
          <w:color w:val="0D0D0D" w:themeColor="text1" w:themeTint="F2"/>
          <w:sz w:val="28"/>
          <w:szCs w:val="28"/>
        </w:rPr>
        <w:t xml:space="preserve"> the registere</w:t>
      </w:r>
      <w:r w:rsidR="003A58AA">
        <w:rPr>
          <w:rFonts w:asciiTheme="majorBidi" w:hAnsiTheme="majorBidi" w:cstheme="majorBidi"/>
          <w:color w:val="0D0D0D" w:themeColor="text1" w:themeTint="F2"/>
          <w:sz w:val="28"/>
          <w:szCs w:val="28"/>
        </w:rPr>
        <w:t>d mark itself from cancellation, being described as serious and continuous use</w:t>
      </w:r>
      <w:r w:rsidR="00C23002">
        <w:rPr>
          <w:rFonts w:asciiTheme="majorBidi" w:hAnsiTheme="majorBidi" w:cstheme="majorBidi"/>
          <w:color w:val="0D0D0D" w:themeColor="text1" w:themeTint="F2"/>
          <w:sz w:val="28"/>
          <w:szCs w:val="28"/>
        </w:rPr>
        <w:t xml:space="preserve"> </w:t>
      </w:r>
      <w:r w:rsidR="00C23002" w:rsidRPr="00C23002">
        <w:rPr>
          <w:rFonts w:asciiTheme="majorBidi" w:hAnsiTheme="majorBidi" w:cstheme="majorBidi"/>
          <w:color w:val="0D0D0D" w:themeColor="text1" w:themeTint="F2"/>
          <w:sz w:val="28"/>
          <w:szCs w:val="28"/>
        </w:rPr>
        <w:t>(Al Tamimi &amp; Company, 2016)</w:t>
      </w:r>
      <w:r w:rsidR="003A58AA">
        <w:rPr>
          <w:rFonts w:asciiTheme="majorBidi" w:hAnsiTheme="majorBidi" w:cstheme="majorBidi"/>
          <w:color w:val="0D0D0D" w:themeColor="text1" w:themeTint="F2"/>
          <w:sz w:val="28"/>
          <w:szCs w:val="28"/>
        </w:rPr>
        <w:t>.</w:t>
      </w:r>
      <w:r w:rsidR="00807945" w:rsidRPr="00F4566A">
        <w:rPr>
          <w:rFonts w:asciiTheme="majorBidi" w:hAnsiTheme="majorBidi" w:cstheme="majorBidi"/>
          <w:color w:val="0D0D0D" w:themeColor="text1" w:themeTint="F2"/>
          <w:sz w:val="28"/>
          <w:szCs w:val="28"/>
        </w:rPr>
        <w:t xml:space="preserve"> </w:t>
      </w:r>
      <w:r w:rsidR="003A58AA">
        <w:rPr>
          <w:rFonts w:asciiTheme="majorBidi" w:hAnsiTheme="majorBidi" w:cstheme="majorBidi"/>
          <w:color w:val="0D0D0D" w:themeColor="text1" w:themeTint="F2"/>
          <w:sz w:val="28"/>
          <w:szCs w:val="28"/>
        </w:rPr>
        <w:t>Such s</w:t>
      </w:r>
      <w:r w:rsidR="00807945" w:rsidRPr="00F4566A">
        <w:rPr>
          <w:rFonts w:asciiTheme="majorBidi" w:hAnsiTheme="majorBidi" w:cstheme="majorBidi"/>
          <w:color w:val="0D0D0D" w:themeColor="text1" w:themeTint="F2"/>
          <w:sz w:val="28"/>
          <w:szCs w:val="28"/>
        </w:rPr>
        <w:t>erious use is achieved when the mark is physically placed on goods, or clearly used in promotional advertisements, official company publications, and service presentations in a manner consistent with the nature of the commercial activity and the scale of the economic project. This use</w:t>
      </w:r>
      <w:r w:rsidR="00697617">
        <w:rPr>
          <w:rFonts w:asciiTheme="majorBidi" w:hAnsiTheme="majorBidi" w:cstheme="majorBidi"/>
          <w:color w:val="0D0D0D" w:themeColor="text1" w:themeTint="F2"/>
          <w:sz w:val="28"/>
          <w:szCs w:val="28"/>
        </w:rPr>
        <w:t xml:space="preserve"> anyhow should be </w:t>
      </w:r>
      <w:r w:rsidR="00807945" w:rsidRPr="00F4566A">
        <w:rPr>
          <w:rFonts w:asciiTheme="majorBidi" w:hAnsiTheme="majorBidi" w:cstheme="majorBidi"/>
          <w:color w:val="0D0D0D" w:themeColor="text1" w:themeTint="F2"/>
          <w:sz w:val="28"/>
          <w:szCs w:val="28"/>
        </w:rPr>
        <w:t>directed at the public with the aim of acquiring or maintaining an actual market share, not merely printing prototypes or sending limited free samples that do not reflect a real and regular commercial activity</w:t>
      </w:r>
      <w:r w:rsidR="00644DB6">
        <w:rPr>
          <w:rFonts w:asciiTheme="majorBidi" w:hAnsiTheme="majorBidi" w:cstheme="majorBidi"/>
          <w:color w:val="0D0D0D" w:themeColor="text1" w:themeTint="F2"/>
          <w:sz w:val="28"/>
          <w:szCs w:val="28"/>
        </w:rPr>
        <w:t xml:space="preserve"> </w:t>
      </w:r>
      <w:r w:rsidR="00644DB6" w:rsidRPr="00644DB6">
        <w:rPr>
          <w:rFonts w:asciiTheme="majorBidi" w:hAnsiTheme="majorBidi" w:cstheme="majorBidi"/>
          <w:color w:val="0D0D0D" w:themeColor="text1" w:themeTint="F2"/>
          <w:sz w:val="28"/>
          <w:szCs w:val="28"/>
        </w:rPr>
        <w:t>(Mejanah, A, 2016)</w:t>
      </w:r>
      <w:r w:rsidR="00697617">
        <w:rPr>
          <w:rFonts w:asciiTheme="majorBidi" w:hAnsiTheme="majorBidi" w:cstheme="majorBidi"/>
          <w:color w:val="0D0D0D" w:themeColor="text1" w:themeTint="F2"/>
          <w:sz w:val="28"/>
          <w:szCs w:val="28"/>
        </w:rPr>
        <w:t>.</w:t>
      </w:r>
      <w:r w:rsidR="00644DB6">
        <w:rPr>
          <w:rFonts w:asciiTheme="majorBidi" w:hAnsiTheme="majorBidi" w:cstheme="majorBidi"/>
          <w:color w:val="0D0D0D" w:themeColor="text1" w:themeTint="F2"/>
          <w:sz w:val="28"/>
          <w:szCs w:val="28"/>
        </w:rPr>
        <w:t xml:space="preserve"> </w:t>
      </w:r>
      <w:r w:rsidR="00697617">
        <w:rPr>
          <w:rFonts w:asciiTheme="majorBidi" w:hAnsiTheme="majorBidi" w:cstheme="majorBidi"/>
          <w:color w:val="0D0D0D" w:themeColor="text1" w:themeTint="F2"/>
          <w:sz w:val="28"/>
          <w:szCs w:val="28"/>
        </w:rPr>
        <w:t xml:space="preserve">The use is required to demonstrate that </w:t>
      </w:r>
      <w:r w:rsidR="00807945" w:rsidRPr="00F4566A">
        <w:rPr>
          <w:rFonts w:asciiTheme="majorBidi" w:hAnsiTheme="majorBidi" w:cstheme="majorBidi"/>
          <w:color w:val="0D0D0D" w:themeColor="text1" w:themeTint="F2"/>
          <w:sz w:val="28"/>
          <w:szCs w:val="28"/>
        </w:rPr>
        <w:t xml:space="preserve">the mark performs its economic function as a tool for distinction and attracting customers. </w:t>
      </w:r>
    </w:p>
    <w:p w14:paraId="36C0DE06" w14:textId="77777777" w:rsidR="00776EE7" w:rsidRDefault="00697617" w:rsidP="00776EE7">
      <w:pPr>
        <w:ind w:firstLine="540"/>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 xml:space="preserve">On the other hand, </w:t>
      </w:r>
      <w:r w:rsidR="00807945" w:rsidRPr="00F4566A">
        <w:rPr>
          <w:rFonts w:asciiTheme="majorBidi" w:hAnsiTheme="majorBidi" w:cstheme="majorBidi"/>
          <w:color w:val="0D0D0D" w:themeColor="text1" w:themeTint="F2"/>
          <w:sz w:val="28"/>
          <w:szCs w:val="28"/>
        </w:rPr>
        <w:t xml:space="preserve">the law requires that the use of the trademark </w:t>
      </w:r>
      <w:r>
        <w:rPr>
          <w:rFonts w:asciiTheme="majorBidi" w:hAnsiTheme="majorBidi" w:cstheme="majorBidi"/>
          <w:color w:val="0D0D0D" w:themeColor="text1" w:themeTint="F2"/>
          <w:sz w:val="28"/>
          <w:szCs w:val="28"/>
        </w:rPr>
        <w:t xml:space="preserve">shall </w:t>
      </w:r>
      <w:r w:rsidR="00807945" w:rsidRPr="00F4566A">
        <w:rPr>
          <w:rFonts w:asciiTheme="majorBidi" w:hAnsiTheme="majorBidi" w:cstheme="majorBidi"/>
          <w:color w:val="0D0D0D" w:themeColor="text1" w:themeTint="F2"/>
          <w:sz w:val="28"/>
          <w:szCs w:val="28"/>
        </w:rPr>
        <w:t>not be interrupted for long periods without a legal or leg</w:t>
      </w:r>
      <w:r>
        <w:rPr>
          <w:rFonts w:asciiTheme="majorBidi" w:hAnsiTheme="majorBidi" w:cstheme="majorBidi"/>
          <w:color w:val="0D0D0D" w:themeColor="text1" w:themeTint="F2"/>
          <w:sz w:val="28"/>
          <w:szCs w:val="28"/>
        </w:rPr>
        <w:t xml:space="preserve">itimate economic justification, </w:t>
      </w:r>
      <w:r w:rsidR="00807945" w:rsidRPr="00F4566A">
        <w:rPr>
          <w:rFonts w:asciiTheme="majorBidi" w:hAnsiTheme="majorBidi" w:cstheme="majorBidi"/>
          <w:color w:val="0D0D0D" w:themeColor="text1" w:themeTint="F2"/>
          <w:sz w:val="28"/>
          <w:szCs w:val="28"/>
        </w:rPr>
        <w:t>such as force majeure or</w:t>
      </w:r>
      <w:r>
        <w:rPr>
          <w:rFonts w:asciiTheme="majorBidi" w:hAnsiTheme="majorBidi" w:cstheme="majorBidi"/>
          <w:color w:val="0D0D0D" w:themeColor="text1" w:themeTint="F2"/>
          <w:sz w:val="28"/>
          <w:szCs w:val="28"/>
        </w:rPr>
        <w:t xml:space="preserve"> government import restrictions</w:t>
      </w:r>
      <w:r w:rsidR="00807945" w:rsidRPr="00F4566A">
        <w:rPr>
          <w:rFonts w:asciiTheme="majorBidi" w:hAnsiTheme="majorBidi" w:cstheme="majorBidi"/>
          <w:color w:val="0D0D0D" w:themeColor="text1" w:themeTint="F2"/>
          <w:sz w:val="28"/>
          <w:szCs w:val="28"/>
        </w:rPr>
        <w:t xml:space="preserve">. In </w:t>
      </w:r>
      <w:r>
        <w:rPr>
          <w:rFonts w:asciiTheme="majorBidi" w:hAnsiTheme="majorBidi" w:cstheme="majorBidi"/>
          <w:color w:val="0D0D0D" w:themeColor="text1" w:themeTint="F2"/>
          <w:sz w:val="28"/>
          <w:szCs w:val="28"/>
        </w:rPr>
        <w:t xml:space="preserve">a </w:t>
      </w:r>
      <w:r w:rsidR="00807945" w:rsidRPr="00F4566A">
        <w:rPr>
          <w:rFonts w:asciiTheme="majorBidi" w:hAnsiTheme="majorBidi" w:cstheme="majorBidi"/>
          <w:color w:val="0D0D0D" w:themeColor="text1" w:themeTint="F2"/>
          <w:sz w:val="28"/>
          <w:szCs w:val="28"/>
        </w:rPr>
        <w:t xml:space="preserve">comparative law, legislations have set definitive periods </w:t>
      </w:r>
      <w:r w:rsidR="00807945" w:rsidRPr="00F4566A">
        <w:rPr>
          <w:rFonts w:asciiTheme="majorBidi" w:hAnsiTheme="majorBidi" w:cstheme="majorBidi"/>
          <w:color w:val="0D0D0D" w:themeColor="text1" w:themeTint="F2"/>
          <w:sz w:val="28"/>
          <w:szCs w:val="28"/>
        </w:rPr>
        <w:lastRenderedPageBreak/>
        <w:t>after which the righ</w:t>
      </w:r>
      <w:r w:rsidR="00776EE7">
        <w:rPr>
          <w:rFonts w:asciiTheme="majorBidi" w:hAnsiTheme="majorBidi" w:cstheme="majorBidi"/>
          <w:color w:val="0D0D0D" w:themeColor="text1" w:themeTint="F2"/>
          <w:sz w:val="28"/>
          <w:szCs w:val="28"/>
        </w:rPr>
        <w:t xml:space="preserve">t to the mark lapses, and it might </w:t>
      </w:r>
      <w:r w:rsidR="00807945" w:rsidRPr="00F4566A">
        <w:rPr>
          <w:rFonts w:asciiTheme="majorBidi" w:hAnsiTheme="majorBidi" w:cstheme="majorBidi"/>
          <w:color w:val="0D0D0D" w:themeColor="text1" w:themeTint="F2"/>
          <w:sz w:val="28"/>
          <w:szCs w:val="28"/>
        </w:rPr>
        <w:t>be canceled from the register to cleanse it of "dea</w:t>
      </w:r>
      <w:r w:rsidR="00776EE7">
        <w:rPr>
          <w:rFonts w:asciiTheme="majorBidi" w:hAnsiTheme="majorBidi" w:cstheme="majorBidi"/>
          <w:color w:val="0D0D0D" w:themeColor="text1" w:themeTint="F2"/>
          <w:sz w:val="28"/>
          <w:szCs w:val="28"/>
        </w:rPr>
        <w:t xml:space="preserve">d marks." Legislation in Egypt, </w:t>
      </w:r>
      <w:r w:rsidR="00807945" w:rsidRPr="00F4566A">
        <w:rPr>
          <w:rFonts w:asciiTheme="majorBidi" w:hAnsiTheme="majorBidi" w:cstheme="majorBidi"/>
          <w:color w:val="0D0D0D" w:themeColor="text1" w:themeTint="F2"/>
          <w:sz w:val="28"/>
          <w:szCs w:val="28"/>
        </w:rPr>
        <w:t>Article</w:t>
      </w:r>
      <w:r w:rsidR="00776EE7">
        <w:rPr>
          <w:rFonts w:asciiTheme="majorBidi" w:hAnsiTheme="majorBidi" w:cstheme="majorBidi"/>
          <w:color w:val="0D0D0D" w:themeColor="text1" w:themeTint="F2"/>
          <w:sz w:val="28"/>
          <w:szCs w:val="28"/>
        </w:rPr>
        <w:t xml:space="preserve"> No.</w:t>
      </w:r>
      <w:r w:rsidR="00807945" w:rsidRPr="00F4566A">
        <w:rPr>
          <w:rFonts w:asciiTheme="majorBidi" w:hAnsiTheme="majorBidi" w:cstheme="majorBidi"/>
          <w:color w:val="0D0D0D" w:themeColor="text1" w:themeTint="F2"/>
          <w:sz w:val="28"/>
          <w:szCs w:val="28"/>
        </w:rPr>
        <w:t xml:space="preserve"> 65 of the Intellectual Property Right</w:t>
      </w:r>
      <w:r w:rsidR="00776EE7">
        <w:rPr>
          <w:rFonts w:asciiTheme="majorBidi" w:hAnsiTheme="majorBidi" w:cstheme="majorBidi"/>
          <w:color w:val="0D0D0D" w:themeColor="text1" w:themeTint="F2"/>
          <w:sz w:val="28"/>
          <w:szCs w:val="28"/>
        </w:rPr>
        <w:t xml:space="preserve">s Protection Law No. 82 of 2002, and in Iraq, </w:t>
      </w:r>
      <w:r w:rsidR="00807945" w:rsidRPr="00F4566A">
        <w:rPr>
          <w:rFonts w:asciiTheme="majorBidi" w:hAnsiTheme="majorBidi" w:cstheme="majorBidi"/>
          <w:color w:val="0D0D0D" w:themeColor="text1" w:themeTint="F2"/>
          <w:sz w:val="28"/>
          <w:szCs w:val="28"/>
        </w:rPr>
        <w:t>Article</w:t>
      </w:r>
      <w:r w:rsidR="00776EE7">
        <w:rPr>
          <w:rFonts w:asciiTheme="majorBidi" w:hAnsiTheme="majorBidi" w:cstheme="majorBidi"/>
          <w:color w:val="0D0D0D" w:themeColor="text1" w:themeTint="F2"/>
          <w:sz w:val="28"/>
          <w:szCs w:val="28"/>
        </w:rPr>
        <w:t xml:space="preserve"> No.</w:t>
      </w:r>
      <w:r w:rsidR="00807945" w:rsidRPr="00F4566A">
        <w:rPr>
          <w:rFonts w:asciiTheme="majorBidi" w:hAnsiTheme="majorBidi" w:cstheme="majorBidi"/>
          <w:color w:val="0D0D0D" w:themeColor="text1" w:themeTint="F2"/>
          <w:sz w:val="28"/>
          <w:szCs w:val="28"/>
        </w:rPr>
        <w:t xml:space="preserve"> 21/2 of the Tr</w:t>
      </w:r>
      <w:r w:rsidR="00776EE7">
        <w:rPr>
          <w:rFonts w:asciiTheme="majorBidi" w:hAnsiTheme="majorBidi" w:cstheme="majorBidi"/>
          <w:color w:val="0D0D0D" w:themeColor="text1" w:themeTint="F2"/>
          <w:sz w:val="28"/>
          <w:szCs w:val="28"/>
        </w:rPr>
        <w:t>ademark and Commercial Data Law</w:t>
      </w:r>
      <w:r w:rsidR="00807945" w:rsidRPr="00F4566A">
        <w:rPr>
          <w:rFonts w:asciiTheme="majorBidi" w:hAnsiTheme="majorBidi" w:cstheme="majorBidi"/>
          <w:color w:val="0D0D0D" w:themeColor="text1" w:themeTint="F2"/>
          <w:sz w:val="28"/>
          <w:szCs w:val="28"/>
        </w:rPr>
        <w:t xml:space="preserve"> stipulates the right of any concerned party to request the cancellation of the registered mark.</w:t>
      </w:r>
    </w:p>
    <w:p w14:paraId="20124C52" w14:textId="77777777" w:rsidR="00F32A10" w:rsidRDefault="00807945" w:rsidP="00F32A10">
      <w:pPr>
        <w:ind w:firstLine="540"/>
        <w:jc w:val="both"/>
        <w:rPr>
          <w:rFonts w:asciiTheme="majorBidi" w:hAnsiTheme="majorBidi" w:cstheme="majorBidi"/>
          <w:color w:val="0D0D0D" w:themeColor="text1" w:themeTint="F2"/>
          <w:sz w:val="28"/>
          <w:szCs w:val="28"/>
        </w:rPr>
      </w:pPr>
      <w:r w:rsidRPr="00F4566A">
        <w:rPr>
          <w:rFonts w:asciiTheme="majorBidi" w:hAnsiTheme="majorBidi" w:cstheme="majorBidi"/>
          <w:color w:val="0D0D0D" w:themeColor="text1" w:themeTint="F2"/>
          <w:sz w:val="28"/>
          <w:szCs w:val="28"/>
        </w:rPr>
        <w:t>The right of any interested party to request the cancellation of a registered trademark from the</w:t>
      </w:r>
      <w:r w:rsidR="00801CA9">
        <w:rPr>
          <w:rFonts w:asciiTheme="majorBidi" w:hAnsiTheme="majorBidi" w:cstheme="majorBidi"/>
          <w:color w:val="0D0D0D" w:themeColor="text1" w:themeTint="F2"/>
          <w:sz w:val="28"/>
          <w:szCs w:val="28"/>
        </w:rPr>
        <w:t xml:space="preserve"> competent court if proved</w:t>
      </w:r>
      <w:r w:rsidRPr="00F4566A">
        <w:rPr>
          <w:rFonts w:asciiTheme="majorBidi" w:hAnsiTheme="majorBidi" w:cstheme="majorBidi"/>
          <w:color w:val="0D0D0D" w:themeColor="text1" w:themeTint="F2"/>
          <w:sz w:val="28"/>
          <w:szCs w:val="28"/>
        </w:rPr>
        <w:t xml:space="preserve"> that it has not been used seriously and continuously for a</w:t>
      </w:r>
      <w:r w:rsidR="00801CA9">
        <w:rPr>
          <w:rFonts w:asciiTheme="majorBidi" w:hAnsiTheme="majorBidi" w:cstheme="majorBidi"/>
          <w:color w:val="0D0D0D" w:themeColor="text1" w:themeTint="F2"/>
          <w:sz w:val="28"/>
          <w:szCs w:val="28"/>
        </w:rPr>
        <w:t xml:space="preserve"> period of three or five years, </w:t>
      </w:r>
      <w:r w:rsidRPr="00F4566A">
        <w:rPr>
          <w:rFonts w:asciiTheme="majorBidi" w:hAnsiTheme="majorBidi" w:cstheme="majorBidi"/>
          <w:color w:val="0D0D0D" w:themeColor="text1" w:themeTint="F2"/>
          <w:sz w:val="28"/>
          <w:szCs w:val="28"/>
        </w:rPr>
        <w:t>depending o</w:t>
      </w:r>
      <w:r w:rsidR="00801CA9">
        <w:rPr>
          <w:rFonts w:asciiTheme="majorBidi" w:hAnsiTheme="majorBidi" w:cstheme="majorBidi"/>
          <w:color w:val="0D0D0D" w:themeColor="text1" w:themeTint="F2"/>
          <w:sz w:val="28"/>
          <w:szCs w:val="28"/>
        </w:rPr>
        <w:t>n the applicable legislation,</w:t>
      </w:r>
      <w:r w:rsidRPr="00F4566A">
        <w:rPr>
          <w:rFonts w:asciiTheme="majorBidi" w:hAnsiTheme="majorBidi" w:cstheme="majorBidi"/>
          <w:color w:val="0D0D0D" w:themeColor="text1" w:themeTint="F2"/>
          <w:sz w:val="28"/>
          <w:szCs w:val="28"/>
        </w:rPr>
        <w:t xml:space="preserve"> without a legal excuse justifying this cessation</w:t>
      </w:r>
      <w:r w:rsidR="00801CA9">
        <w:rPr>
          <w:rFonts w:asciiTheme="majorBidi" w:hAnsiTheme="majorBidi" w:cstheme="majorBidi"/>
          <w:color w:val="0D0D0D" w:themeColor="text1" w:themeTint="F2"/>
          <w:sz w:val="28"/>
          <w:szCs w:val="28"/>
        </w:rPr>
        <w:t>.</w:t>
      </w:r>
      <w:r w:rsidR="00801CA9">
        <w:rPr>
          <w:rStyle w:val="FootnoteReference"/>
          <w:rFonts w:asciiTheme="majorBidi" w:hAnsiTheme="majorBidi" w:cstheme="majorBidi"/>
          <w:color w:val="0D0D0D" w:themeColor="text1" w:themeTint="F2"/>
          <w:sz w:val="28"/>
          <w:szCs w:val="28"/>
        </w:rPr>
        <w:footnoteReference w:id="3"/>
      </w:r>
      <w:r w:rsidRPr="00F4566A">
        <w:rPr>
          <w:rFonts w:asciiTheme="majorBidi" w:hAnsiTheme="majorBidi" w:cstheme="majorBidi"/>
          <w:color w:val="0D0D0D" w:themeColor="text1" w:themeTint="F2"/>
          <w:sz w:val="28"/>
          <w:szCs w:val="28"/>
        </w:rPr>
        <w:t>This rule prevents the monopolization of trademarks and deprives serious competitors of using them.</w:t>
      </w:r>
    </w:p>
    <w:p w14:paraId="7906ABD8" w14:textId="77777777" w:rsidR="008453FA" w:rsidRDefault="00807945" w:rsidP="008453FA">
      <w:pPr>
        <w:ind w:firstLine="540"/>
        <w:jc w:val="both"/>
        <w:rPr>
          <w:rFonts w:asciiTheme="majorBidi" w:hAnsiTheme="majorBidi" w:cstheme="majorBidi"/>
          <w:color w:val="0D0D0D" w:themeColor="text1" w:themeTint="F2"/>
          <w:sz w:val="28"/>
          <w:szCs w:val="28"/>
        </w:rPr>
      </w:pPr>
      <w:r w:rsidRPr="00F4566A">
        <w:rPr>
          <w:rFonts w:asciiTheme="majorBidi" w:hAnsiTheme="majorBidi" w:cstheme="majorBidi"/>
          <w:color w:val="0D0D0D" w:themeColor="text1" w:themeTint="F2"/>
          <w:sz w:val="28"/>
          <w:szCs w:val="28"/>
        </w:rPr>
        <w:t xml:space="preserve">The legal regulation of the trademark sector in the United Arab Emirates </w:t>
      </w:r>
      <w:r w:rsidR="00F32A10">
        <w:rPr>
          <w:rFonts w:asciiTheme="majorBidi" w:hAnsiTheme="majorBidi" w:cstheme="majorBidi"/>
          <w:color w:val="0D0D0D" w:themeColor="text1" w:themeTint="F2"/>
          <w:sz w:val="28"/>
          <w:szCs w:val="28"/>
        </w:rPr>
        <w:t xml:space="preserve">has </w:t>
      </w:r>
      <w:r w:rsidRPr="00F4566A">
        <w:rPr>
          <w:rFonts w:asciiTheme="majorBidi" w:hAnsiTheme="majorBidi" w:cstheme="majorBidi"/>
          <w:color w:val="0D0D0D" w:themeColor="text1" w:themeTint="F2"/>
          <w:sz w:val="28"/>
          <w:szCs w:val="28"/>
        </w:rPr>
        <w:t>witnessed a fundamental and pivotal development with the issu</w:t>
      </w:r>
      <w:r w:rsidR="00F32A10">
        <w:rPr>
          <w:rFonts w:asciiTheme="majorBidi" w:hAnsiTheme="majorBidi" w:cstheme="majorBidi"/>
          <w:color w:val="0D0D0D" w:themeColor="text1" w:themeTint="F2"/>
          <w:sz w:val="28"/>
          <w:szCs w:val="28"/>
        </w:rPr>
        <w:t>ance of Federal Decree-Law No.36</w:t>
      </w:r>
      <w:r w:rsidRPr="00F4566A">
        <w:rPr>
          <w:rFonts w:asciiTheme="majorBidi" w:hAnsiTheme="majorBidi" w:cstheme="majorBidi"/>
          <w:color w:val="0D0D0D" w:themeColor="text1" w:themeTint="F2"/>
          <w:sz w:val="28"/>
          <w:szCs w:val="28"/>
        </w:rPr>
        <w:t xml:space="preserve"> of 2021, which came into effect at the beginning of 2022 to replace Federal Law No. 37 of 1992</w:t>
      </w:r>
      <w:r w:rsidR="00F32A10">
        <w:rPr>
          <w:rFonts w:asciiTheme="majorBidi" w:hAnsiTheme="majorBidi" w:cstheme="majorBidi"/>
          <w:color w:val="0D0D0D" w:themeColor="text1" w:themeTint="F2"/>
          <w:sz w:val="28"/>
          <w:szCs w:val="28"/>
        </w:rPr>
        <w:t>.</w:t>
      </w:r>
      <w:r w:rsidR="00F32A10">
        <w:rPr>
          <w:rStyle w:val="FootnoteReference"/>
          <w:rFonts w:asciiTheme="majorBidi" w:hAnsiTheme="majorBidi" w:cstheme="majorBidi"/>
          <w:color w:val="0D0D0D" w:themeColor="text1" w:themeTint="F2"/>
          <w:sz w:val="28"/>
          <w:szCs w:val="28"/>
        </w:rPr>
        <w:footnoteReference w:id="4"/>
      </w:r>
      <w:r w:rsidRPr="00F4566A">
        <w:rPr>
          <w:rFonts w:asciiTheme="majorBidi" w:hAnsiTheme="majorBidi" w:cstheme="majorBidi"/>
          <w:color w:val="0D0D0D" w:themeColor="text1" w:themeTint="F2"/>
          <w:sz w:val="28"/>
          <w:szCs w:val="28"/>
        </w:rPr>
        <w:t xml:space="preserve">The UAE legislator in this modern law </w:t>
      </w:r>
      <w:r w:rsidR="00F32A10">
        <w:rPr>
          <w:rFonts w:asciiTheme="majorBidi" w:hAnsiTheme="majorBidi" w:cstheme="majorBidi"/>
          <w:color w:val="0D0D0D" w:themeColor="text1" w:themeTint="F2"/>
          <w:sz w:val="28"/>
          <w:szCs w:val="28"/>
        </w:rPr>
        <w:t xml:space="preserve">has </w:t>
      </w:r>
      <w:r w:rsidRPr="00F4566A">
        <w:rPr>
          <w:rFonts w:asciiTheme="majorBidi" w:hAnsiTheme="majorBidi" w:cstheme="majorBidi"/>
          <w:color w:val="0D0D0D" w:themeColor="text1" w:themeTint="F2"/>
          <w:sz w:val="28"/>
          <w:szCs w:val="28"/>
        </w:rPr>
        <w:t xml:space="preserve">demonstrated wisdom and precise balance, adopting a hybrid approach that combines the strict certainty of official registers and the protection of acquired rights through effective priority and good faith, </w:t>
      </w:r>
      <w:r w:rsidR="008453FA">
        <w:rPr>
          <w:rFonts w:asciiTheme="majorBidi" w:hAnsiTheme="majorBidi" w:cstheme="majorBidi"/>
          <w:color w:val="0D0D0D" w:themeColor="text1" w:themeTint="F2"/>
          <w:sz w:val="28"/>
          <w:szCs w:val="28"/>
        </w:rPr>
        <w:t>taking into consideration the following legislative issues</w:t>
      </w:r>
      <w:r w:rsidRPr="00F4566A">
        <w:rPr>
          <w:rFonts w:asciiTheme="majorBidi" w:hAnsiTheme="majorBidi" w:cstheme="majorBidi"/>
          <w:color w:val="0D0D0D" w:themeColor="text1" w:themeTint="F2"/>
          <w:sz w:val="28"/>
          <w:szCs w:val="28"/>
        </w:rPr>
        <w:t xml:space="preserve">: </w:t>
      </w:r>
    </w:p>
    <w:p w14:paraId="0FFB774E" w14:textId="77777777" w:rsidR="0061548C" w:rsidRPr="0061548C" w:rsidRDefault="0061548C" w:rsidP="008453FA">
      <w:pPr>
        <w:ind w:firstLine="540"/>
        <w:jc w:val="both"/>
        <w:rPr>
          <w:rFonts w:asciiTheme="majorBidi" w:hAnsiTheme="majorBidi" w:cstheme="majorBidi"/>
          <w:strike/>
          <w:color w:val="0D0D0D" w:themeColor="text1" w:themeTint="F2"/>
          <w:sz w:val="16"/>
          <w:szCs w:val="16"/>
        </w:rPr>
      </w:pPr>
    </w:p>
    <w:p w14:paraId="3D1CAC26" w14:textId="77777777" w:rsidR="0061548C" w:rsidRPr="00FB544B" w:rsidRDefault="0061548C" w:rsidP="0061548C">
      <w:pPr>
        <w:pStyle w:val="ListParagraph"/>
        <w:numPr>
          <w:ilvl w:val="0"/>
          <w:numId w:val="34"/>
        </w:numPr>
        <w:ind w:left="360"/>
        <w:jc w:val="both"/>
        <w:rPr>
          <w:rFonts w:asciiTheme="majorBidi" w:hAnsiTheme="majorBidi" w:cstheme="majorBidi"/>
          <w:b/>
          <w:bCs/>
          <w:color w:val="0D0D0D" w:themeColor="text1" w:themeTint="F2"/>
          <w:sz w:val="28"/>
          <w:szCs w:val="28"/>
        </w:rPr>
      </w:pPr>
      <w:r w:rsidRPr="00FB544B">
        <w:rPr>
          <w:rFonts w:asciiTheme="majorBidi" w:hAnsiTheme="majorBidi" w:cstheme="majorBidi"/>
          <w:b/>
          <w:bCs/>
          <w:color w:val="0D0D0D" w:themeColor="text1" w:themeTint="F2"/>
          <w:sz w:val="28"/>
          <w:szCs w:val="28"/>
        </w:rPr>
        <w:t xml:space="preserve">Deposit/Registration System </w:t>
      </w:r>
    </w:p>
    <w:p w14:paraId="10050C38" w14:textId="77777777" w:rsidR="0061548C" w:rsidRPr="0061548C" w:rsidRDefault="0061548C" w:rsidP="0061548C">
      <w:pPr>
        <w:jc w:val="both"/>
        <w:rPr>
          <w:rFonts w:asciiTheme="majorBidi" w:hAnsiTheme="majorBidi" w:cstheme="majorBidi"/>
          <w:color w:val="0D0D0D" w:themeColor="text1" w:themeTint="F2"/>
          <w:sz w:val="16"/>
          <w:szCs w:val="16"/>
        </w:rPr>
      </w:pPr>
    </w:p>
    <w:p w14:paraId="2CB26EBA" w14:textId="77777777" w:rsidR="0061548C" w:rsidRDefault="00807945" w:rsidP="0061548C">
      <w:pPr>
        <w:ind w:firstLine="540"/>
        <w:jc w:val="both"/>
        <w:rPr>
          <w:rFonts w:asciiTheme="majorBidi" w:hAnsiTheme="majorBidi" w:cstheme="majorBidi"/>
          <w:color w:val="0D0D0D" w:themeColor="text1" w:themeTint="F2"/>
          <w:sz w:val="28"/>
          <w:szCs w:val="28"/>
        </w:rPr>
      </w:pPr>
      <w:r w:rsidRPr="00F4566A">
        <w:rPr>
          <w:rFonts w:asciiTheme="majorBidi" w:hAnsiTheme="majorBidi" w:cstheme="majorBidi"/>
          <w:color w:val="0D0D0D" w:themeColor="text1" w:themeTint="F2"/>
          <w:sz w:val="28"/>
          <w:szCs w:val="28"/>
        </w:rPr>
        <w:t>Article</w:t>
      </w:r>
      <w:r w:rsidR="00E01830">
        <w:rPr>
          <w:rFonts w:asciiTheme="majorBidi" w:hAnsiTheme="majorBidi" w:cstheme="majorBidi"/>
          <w:color w:val="0D0D0D" w:themeColor="text1" w:themeTint="F2"/>
          <w:sz w:val="28"/>
          <w:szCs w:val="28"/>
        </w:rPr>
        <w:t xml:space="preserve"> No. 18</w:t>
      </w:r>
      <w:r w:rsidRPr="00F4566A">
        <w:rPr>
          <w:rFonts w:asciiTheme="majorBidi" w:hAnsiTheme="majorBidi" w:cstheme="majorBidi"/>
          <w:color w:val="0D0D0D" w:themeColor="text1" w:themeTint="F2"/>
          <w:sz w:val="28"/>
          <w:szCs w:val="28"/>
        </w:rPr>
        <w:t xml:space="preserve"> of the new law explicitly states that whoever registers the trademark is legally considered its exclusive owner. This text confirms that the UAE adopts a deposit/registration system primarily for trademark prot</w:t>
      </w:r>
      <w:r w:rsidR="00E01830">
        <w:rPr>
          <w:rFonts w:asciiTheme="majorBidi" w:hAnsiTheme="majorBidi" w:cstheme="majorBidi"/>
          <w:color w:val="0D0D0D" w:themeColor="text1" w:themeTint="F2"/>
          <w:sz w:val="28"/>
          <w:szCs w:val="28"/>
        </w:rPr>
        <w:t>ection, and this right is</w:t>
      </w:r>
      <w:r w:rsidRPr="00F4566A">
        <w:rPr>
          <w:rFonts w:asciiTheme="majorBidi" w:hAnsiTheme="majorBidi" w:cstheme="majorBidi"/>
          <w:color w:val="0D0D0D" w:themeColor="text1" w:themeTint="F2"/>
          <w:sz w:val="28"/>
          <w:szCs w:val="28"/>
        </w:rPr>
        <w:t xml:space="preserve"> initially</w:t>
      </w:r>
      <w:r w:rsidR="00E01830">
        <w:rPr>
          <w:rFonts w:asciiTheme="majorBidi" w:hAnsiTheme="majorBidi" w:cstheme="majorBidi"/>
          <w:color w:val="0D0D0D" w:themeColor="text1" w:themeTint="F2"/>
          <w:sz w:val="28"/>
          <w:szCs w:val="28"/>
        </w:rPr>
        <w:t xml:space="preserve"> approved</w:t>
      </w:r>
      <w:r w:rsidRPr="00F4566A">
        <w:rPr>
          <w:rFonts w:asciiTheme="majorBidi" w:hAnsiTheme="majorBidi" w:cstheme="majorBidi"/>
          <w:color w:val="0D0D0D" w:themeColor="text1" w:themeTint="F2"/>
          <w:sz w:val="28"/>
          <w:szCs w:val="28"/>
        </w:rPr>
        <w:t xml:space="preserve"> by the certificate issued by the Ministry of Economy. Th</w:t>
      </w:r>
      <w:r w:rsidR="00E01830">
        <w:rPr>
          <w:rFonts w:asciiTheme="majorBidi" w:hAnsiTheme="majorBidi" w:cstheme="majorBidi"/>
          <w:color w:val="0D0D0D" w:themeColor="text1" w:themeTint="F2"/>
          <w:sz w:val="28"/>
          <w:szCs w:val="28"/>
        </w:rPr>
        <w:t>e purpose of such</w:t>
      </w:r>
      <w:r w:rsidRPr="00F4566A">
        <w:rPr>
          <w:rFonts w:asciiTheme="majorBidi" w:hAnsiTheme="majorBidi" w:cstheme="majorBidi"/>
          <w:color w:val="0D0D0D" w:themeColor="text1" w:themeTint="F2"/>
          <w:sz w:val="28"/>
          <w:szCs w:val="28"/>
        </w:rPr>
        <w:t xml:space="preserve"> provision </w:t>
      </w:r>
      <w:r w:rsidR="00E01830">
        <w:rPr>
          <w:rFonts w:asciiTheme="majorBidi" w:hAnsiTheme="majorBidi" w:cstheme="majorBidi"/>
          <w:color w:val="0D0D0D" w:themeColor="text1" w:themeTint="F2"/>
          <w:sz w:val="28"/>
          <w:szCs w:val="28"/>
        </w:rPr>
        <w:t xml:space="preserve">is </w:t>
      </w:r>
      <w:r w:rsidRPr="00F4566A">
        <w:rPr>
          <w:rFonts w:asciiTheme="majorBidi" w:hAnsiTheme="majorBidi" w:cstheme="majorBidi"/>
          <w:color w:val="0D0D0D" w:themeColor="text1" w:themeTint="F2"/>
          <w:sz w:val="28"/>
          <w:szCs w:val="28"/>
        </w:rPr>
        <w:t>to encourage investment and provide a safe and fast framework for investors to prove their rights</w:t>
      </w:r>
      <w:r w:rsidR="0061548C">
        <w:rPr>
          <w:rFonts w:asciiTheme="majorBidi" w:hAnsiTheme="majorBidi" w:cstheme="majorBidi"/>
          <w:color w:val="0D0D0D" w:themeColor="text1" w:themeTint="F2"/>
          <w:sz w:val="28"/>
          <w:szCs w:val="28"/>
        </w:rPr>
        <w:t>.</w:t>
      </w:r>
      <w:r w:rsidR="0061548C">
        <w:rPr>
          <w:rStyle w:val="FootnoteReference"/>
          <w:rFonts w:asciiTheme="majorBidi" w:hAnsiTheme="majorBidi" w:cstheme="majorBidi"/>
          <w:color w:val="0D0D0D" w:themeColor="text1" w:themeTint="F2"/>
          <w:sz w:val="28"/>
          <w:szCs w:val="28"/>
        </w:rPr>
        <w:footnoteReference w:id="5"/>
      </w:r>
      <w:r w:rsidR="0061548C">
        <w:rPr>
          <w:rFonts w:asciiTheme="majorBidi" w:hAnsiTheme="majorBidi" w:cstheme="majorBidi"/>
          <w:color w:val="0D0D0D" w:themeColor="text1" w:themeTint="F2"/>
          <w:sz w:val="28"/>
          <w:szCs w:val="28"/>
        </w:rPr>
        <w:t xml:space="preserve"> </w:t>
      </w:r>
    </w:p>
    <w:p w14:paraId="544E99C1" w14:textId="77777777" w:rsidR="0061548C" w:rsidRPr="00FB544B" w:rsidRDefault="0061548C" w:rsidP="0061548C">
      <w:pPr>
        <w:ind w:firstLine="540"/>
        <w:jc w:val="both"/>
        <w:rPr>
          <w:rFonts w:asciiTheme="majorBidi" w:hAnsiTheme="majorBidi" w:cstheme="majorBidi"/>
          <w:color w:val="0D0D0D" w:themeColor="text1" w:themeTint="F2"/>
          <w:sz w:val="16"/>
          <w:szCs w:val="16"/>
        </w:rPr>
      </w:pPr>
    </w:p>
    <w:p w14:paraId="666D6631" w14:textId="77777777" w:rsidR="0061548C" w:rsidRPr="00FB544B" w:rsidRDefault="0061548C" w:rsidP="0061548C">
      <w:pPr>
        <w:pStyle w:val="ListParagraph"/>
        <w:numPr>
          <w:ilvl w:val="0"/>
          <w:numId w:val="34"/>
        </w:numPr>
        <w:ind w:left="360"/>
        <w:jc w:val="both"/>
        <w:rPr>
          <w:rFonts w:asciiTheme="majorBidi" w:hAnsiTheme="majorBidi" w:cstheme="majorBidi"/>
          <w:b/>
          <w:bCs/>
          <w:color w:val="0D0D0D" w:themeColor="text1" w:themeTint="F2"/>
          <w:sz w:val="28"/>
          <w:szCs w:val="28"/>
        </w:rPr>
      </w:pPr>
      <w:r w:rsidRPr="00FB544B">
        <w:rPr>
          <w:rFonts w:asciiTheme="majorBidi" w:hAnsiTheme="majorBidi" w:cstheme="majorBidi"/>
          <w:b/>
          <w:bCs/>
          <w:color w:val="0D0D0D" w:themeColor="text1" w:themeTint="F2"/>
          <w:sz w:val="28"/>
          <w:szCs w:val="28"/>
        </w:rPr>
        <w:t>Exceptional &amp; E</w:t>
      </w:r>
      <w:r w:rsidR="00807945" w:rsidRPr="00FB544B">
        <w:rPr>
          <w:rFonts w:asciiTheme="majorBidi" w:hAnsiTheme="majorBidi" w:cstheme="majorBidi"/>
          <w:b/>
          <w:bCs/>
          <w:color w:val="0D0D0D" w:themeColor="text1" w:themeTint="F2"/>
          <w:sz w:val="28"/>
          <w:szCs w:val="28"/>
        </w:rPr>
        <w:t>x</w:t>
      </w:r>
      <w:r w:rsidRPr="00FB544B">
        <w:rPr>
          <w:rFonts w:asciiTheme="majorBidi" w:hAnsiTheme="majorBidi" w:cstheme="majorBidi"/>
          <w:b/>
          <w:bCs/>
          <w:color w:val="0D0D0D" w:themeColor="text1" w:themeTint="F2"/>
          <w:sz w:val="28"/>
          <w:szCs w:val="28"/>
        </w:rPr>
        <w:t xml:space="preserve">plicit </w:t>
      </w:r>
      <w:r w:rsidR="00024047" w:rsidRPr="00FB544B">
        <w:rPr>
          <w:rFonts w:asciiTheme="majorBidi" w:hAnsiTheme="majorBidi" w:cstheme="majorBidi"/>
          <w:b/>
          <w:bCs/>
          <w:color w:val="0D0D0D" w:themeColor="text1" w:themeTint="F2"/>
          <w:sz w:val="28"/>
          <w:szCs w:val="28"/>
        </w:rPr>
        <w:t>Protection of Prior U</w:t>
      </w:r>
      <w:r w:rsidRPr="00FB544B">
        <w:rPr>
          <w:rFonts w:asciiTheme="majorBidi" w:hAnsiTheme="majorBidi" w:cstheme="majorBidi"/>
          <w:b/>
          <w:bCs/>
          <w:color w:val="0D0D0D" w:themeColor="text1" w:themeTint="F2"/>
          <w:sz w:val="28"/>
          <w:szCs w:val="28"/>
        </w:rPr>
        <w:t>se</w:t>
      </w:r>
    </w:p>
    <w:p w14:paraId="0DF640EB" w14:textId="77777777" w:rsidR="0061548C" w:rsidRPr="00FB544B" w:rsidRDefault="0061548C" w:rsidP="0061548C">
      <w:pPr>
        <w:pStyle w:val="ListParagraph"/>
        <w:ind w:left="360"/>
        <w:jc w:val="both"/>
        <w:rPr>
          <w:rFonts w:asciiTheme="majorBidi" w:hAnsiTheme="majorBidi" w:cstheme="majorBidi"/>
          <w:color w:val="0D0D0D" w:themeColor="text1" w:themeTint="F2"/>
          <w:sz w:val="16"/>
          <w:szCs w:val="16"/>
        </w:rPr>
      </w:pPr>
    </w:p>
    <w:p w14:paraId="3B25260D" w14:textId="77777777" w:rsidR="00807945" w:rsidRDefault="00024047" w:rsidP="00FB544B">
      <w:pPr>
        <w:ind w:firstLine="540"/>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 xml:space="preserve">The UAE legislator has highly </w:t>
      </w:r>
      <w:r w:rsidR="00807945" w:rsidRPr="0061548C">
        <w:rPr>
          <w:rFonts w:asciiTheme="majorBidi" w:hAnsiTheme="majorBidi" w:cstheme="majorBidi"/>
          <w:color w:val="0D0D0D" w:themeColor="text1" w:themeTint="F2"/>
          <w:sz w:val="28"/>
          <w:szCs w:val="28"/>
        </w:rPr>
        <w:t>regard</w:t>
      </w:r>
      <w:r>
        <w:rPr>
          <w:rFonts w:asciiTheme="majorBidi" w:hAnsiTheme="majorBidi" w:cstheme="majorBidi"/>
          <w:color w:val="0D0D0D" w:themeColor="text1" w:themeTint="F2"/>
          <w:sz w:val="28"/>
          <w:szCs w:val="28"/>
        </w:rPr>
        <w:t>ed</w:t>
      </w:r>
      <w:r w:rsidR="00807945" w:rsidRPr="0061548C">
        <w:rPr>
          <w:rFonts w:asciiTheme="majorBidi" w:hAnsiTheme="majorBidi" w:cstheme="majorBidi"/>
          <w:color w:val="0D0D0D" w:themeColor="text1" w:themeTint="F2"/>
          <w:sz w:val="28"/>
          <w:szCs w:val="28"/>
        </w:rPr>
        <w:t xml:space="preserve"> the rights of p</w:t>
      </w:r>
      <w:r>
        <w:rPr>
          <w:rFonts w:asciiTheme="majorBidi" w:hAnsiTheme="majorBidi" w:cstheme="majorBidi"/>
          <w:color w:val="0D0D0D" w:themeColor="text1" w:themeTint="F2"/>
          <w:sz w:val="28"/>
          <w:szCs w:val="28"/>
        </w:rPr>
        <w:t xml:space="preserve">rior use. In fact, </w:t>
      </w:r>
      <w:r w:rsidR="00807945" w:rsidRPr="0061548C">
        <w:rPr>
          <w:rFonts w:asciiTheme="majorBidi" w:hAnsiTheme="majorBidi" w:cstheme="majorBidi"/>
          <w:color w:val="0D0D0D" w:themeColor="text1" w:themeTint="F2"/>
          <w:sz w:val="28"/>
          <w:szCs w:val="28"/>
        </w:rPr>
        <w:t>the first unregistered user</w:t>
      </w:r>
      <w:r>
        <w:rPr>
          <w:rFonts w:asciiTheme="majorBidi" w:hAnsiTheme="majorBidi" w:cstheme="majorBidi"/>
          <w:color w:val="0D0D0D" w:themeColor="text1" w:themeTint="F2"/>
          <w:sz w:val="28"/>
          <w:szCs w:val="28"/>
        </w:rPr>
        <w:t xml:space="preserve"> has been granted</w:t>
      </w:r>
      <w:r w:rsidR="00807945" w:rsidRPr="0061548C">
        <w:rPr>
          <w:rFonts w:asciiTheme="majorBidi" w:hAnsiTheme="majorBidi" w:cstheme="majorBidi"/>
          <w:color w:val="0D0D0D" w:themeColor="text1" w:themeTint="F2"/>
          <w:sz w:val="28"/>
          <w:szCs w:val="28"/>
        </w:rPr>
        <w:t xml:space="preserve"> the genuine right to object and request the cancellation or </w:t>
      </w:r>
      <w:r>
        <w:rPr>
          <w:rFonts w:asciiTheme="majorBidi" w:hAnsiTheme="majorBidi" w:cstheme="majorBidi"/>
          <w:color w:val="0D0D0D" w:themeColor="text1" w:themeTint="F2"/>
          <w:sz w:val="28"/>
          <w:szCs w:val="28"/>
        </w:rPr>
        <w:t xml:space="preserve">removal of a trademark </w:t>
      </w:r>
      <w:r w:rsidR="00807945" w:rsidRPr="0061548C">
        <w:rPr>
          <w:rFonts w:asciiTheme="majorBidi" w:hAnsiTheme="majorBidi" w:cstheme="majorBidi"/>
          <w:color w:val="0D0D0D" w:themeColor="text1" w:themeTint="F2"/>
          <w:sz w:val="28"/>
          <w:szCs w:val="28"/>
        </w:rPr>
        <w:t xml:space="preserve">registered by a subsequent competitor. However, the legislator </w:t>
      </w:r>
      <w:r>
        <w:rPr>
          <w:rFonts w:asciiTheme="majorBidi" w:hAnsiTheme="majorBidi" w:cstheme="majorBidi"/>
          <w:color w:val="0D0D0D" w:themeColor="text1" w:themeTint="F2"/>
          <w:sz w:val="28"/>
          <w:szCs w:val="28"/>
        </w:rPr>
        <w:t xml:space="preserve">has </w:t>
      </w:r>
      <w:r w:rsidR="00807945" w:rsidRPr="0061548C">
        <w:rPr>
          <w:rFonts w:asciiTheme="majorBidi" w:hAnsiTheme="majorBidi" w:cstheme="majorBidi"/>
          <w:color w:val="0D0D0D" w:themeColor="text1" w:themeTint="F2"/>
          <w:sz w:val="28"/>
          <w:szCs w:val="28"/>
        </w:rPr>
        <w:t>regulated this right with a limita</w:t>
      </w:r>
      <w:r>
        <w:rPr>
          <w:rFonts w:asciiTheme="majorBidi" w:hAnsiTheme="majorBidi" w:cstheme="majorBidi"/>
          <w:color w:val="0D0D0D" w:themeColor="text1" w:themeTint="F2"/>
          <w:sz w:val="28"/>
          <w:szCs w:val="28"/>
        </w:rPr>
        <w:t xml:space="preserve">tion period of </w:t>
      </w:r>
      <w:r w:rsidR="00807945" w:rsidRPr="0061548C">
        <w:rPr>
          <w:rFonts w:asciiTheme="majorBidi" w:hAnsiTheme="majorBidi" w:cstheme="majorBidi"/>
          <w:color w:val="0D0D0D" w:themeColor="text1" w:themeTint="F2"/>
          <w:sz w:val="28"/>
          <w:szCs w:val="28"/>
        </w:rPr>
        <w:t>"five years" from the date of registration, unless the first user explicitly or implicitly consents to its use by the person in whose name it was registered</w:t>
      </w:r>
      <w:r>
        <w:rPr>
          <w:rFonts w:asciiTheme="majorBidi" w:hAnsiTheme="majorBidi" w:cstheme="majorBidi"/>
          <w:color w:val="0D0D0D" w:themeColor="text1" w:themeTint="F2"/>
          <w:sz w:val="28"/>
          <w:szCs w:val="28"/>
        </w:rPr>
        <w:t>.</w:t>
      </w:r>
      <w:r>
        <w:rPr>
          <w:rStyle w:val="FootnoteReference"/>
          <w:rFonts w:asciiTheme="majorBidi" w:hAnsiTheme="majorBidi" w:cstheme="majorBidi"/>
          <w:color w:val="0D0D0D" w:themeColor="text1" w:themeTint="F2"/>
          <w:sz w:val="28"/>
          <w:szCs w:val="28"/>
        </w:rPr>
        <w:footnoteReference w:id="6"/>
      </w:r>
    </w:p>
    <w:p w14:paraId="1B31A0C9" w14:textId="77777777" w:rsidR="00024047" w:rsidRPr="00024047" w:rsidRDefault="00024047" w:rsidP="00024047">
      <w:pPr>
        <w:jc w:val="both"/>
        <w:rPr>
          <w:rFonts w:asciiTheme="majorBidi" w:hAnsiTheme="majorBidi" w:cstheme="majorBidi"/>
          <w:color w:val="0D0D0D" w:themeColor="text1" w:themeTint="F2"/>
          <w:sz w:val="16"/>
          <w:szCs w:val="16"/>
        </w:rPr>
      </w:pPr>
    </w:p>
    <w:p w14:paraId="59F1ED40" w14:textId="77777777" w:rsidR="00024047" w:rsidRPr="00FB544B" w:rsidRDefault="00024047" w:rsidP="00024047">
      <w:pPr>
        <w:pStyle w:val="ListParagraph"/>
        <w:numPr>
          <w:ilvl w:val="0"/>
          <w:numId w:val="34"/>
        </w:numPr>
        <w:ind w:left="360"/>
        <w:jc w:val="both"/>
        <w:rPr>
          <w:rFonts w:asciiTheme="majorBidi" w:hAnsiTheme="majorBidi" w:cstheme="majorBidi"/>
          <w:b/>
          <w:bCs/>
          <w:color w:val="0D0D0D" w:themeColor="text1" w:themeTint="F2"/>
          <w:sz w:val="28"/>
          <w:szCs w:val="28"/>
        </w:rPr>
      </w:pPr>
      <w:r w:rsidRPr="00FB544B">
        <w:rPr>
          <w:rFonts w:asciiTheme="majorBidi" w:hAnsiTheme="majorBidi" w:cstheme="majorBidi"/>
          <w:b/>
          <w:bCs/>
          <w:color w:val="0D0D0D" w:themeColor="text1" w:themeTint="F2"/>
          <w:sz w:val="28"/>
          <w:szCs w:val="28"/>
        </w:rPr>
        <w:t>Protection of Geographical I</w:t>
      </w:r>
      <w:r w:rsidR="00807945" w:rsidRPr="00FB544B">
        <w:rPr>
          <w:rFonts w:asciiTheme="majorBidi" w:hAnsiTheme="majorBidi" w:cstheme="majorBidi"/>
          <w:b/>
          <w:bCs/>
          <w:color w:val="0D0D0D" w:themeColor="text1" w:themeTint="F2"/>
          <w:sz w:val="28"/>
          <w:szCs w:val="28"/>
        </w:rPr>
        <w:t xml:space="preserve">ndications </w:t>
      </w:r>
    </w:p>
    <w:p w14:paraId="31278CDD" w14:textId="77777777" w:rsidR="00024047" w:rsidRPr="00024047" w:rsidRDefault="00024047" w:rsidP="00807945">
      <w:pPr>
        <w:jc w:val="both"/>
        <w:rPr>
          <w:rFonts w:asciiTheme="majorBidi" w:hAnsiTheme="majorBidi" w:cstheme="majorBidi"/>
          <w:color w:val="0D0D0D" w:themeColor="text1" w:themeTint="F2"/>
          <w:sz w:val="16"/>
          <w:szCs w:val="16"/>
        </w:rPr>
      </w:pPr>
    </w:p>
    <w:p w14:paraId="5553C13E" w14:textId="77777777" w:rsidR="00807945" w:rsidRDefault="00FB544B" w:rsidP="00FB544B">
      <w:pPr>
        <w:ind w:firstLine="540"/>
        <w:jc w:val="both"/>
        <w:rPr>
          <w:rFonts w:asciiTheme="majorBidi" w:hAnsiTheme="majorBidi" w:cstheme="majorBidi"/>
          <w:color w:val="0D0D0D" w:themeColor="text1" w:themeTint="F2"/>
          <w:sz w:val="28"/>
          <w:szCs w:val="28"/>
        </w:rPr>
      </w:pPr>
      <w:r>
        <w:rPr>
          <w:rFonts w:asciiTheme="majorBidi" w:hAnsiTheme="majorBidi" w:cstheme="majorBidi"/>
          <w:color w:val="0D0D0D" w:themeColor="text1" w:themeTint="F2"/>
          <w:sz w:val="28"/>
          <w:szCs w:val="28"/>
        </w:rPr>
        <w:t xml:space="preserve">This protections depends </w:t>
      </w:r>
      <w:r w:rsidR="00807945" w:rsidRPr="005B1452">
        <w:rPr>
          <w:rFonts w:asciiTheme="majorBidi" w:hAnsiTheme="majorBidi" w:cstheme="majorBidi"/>
          <w:color w:val="0D0D0D" w:themeColor="text1" w:themeTint="F2"/>
          <w:sz w:val="28"/>
          <w:szCs w:val="28"/>
        </w:rPr>
        <w:t>on bona fide use</w:t>
      </w:r>
      <w:r>
        <w:rPr>
          <w:rFonts w:asciiTheme="majorBidi" w:hAnsiTheme="majorBidi" w:cstheme="majorBidi"/>
          <w:color w:val="0D0D0D" w:themeColor="text1" w:themeTint="F2"/>
          <w:sz w:val="28"/>
          <w:szCs w:val="28"/>
        </w:rPr>
        <w:t>, which</w:t>
      </w:r>
      <w:r w:rsidR="00807945" w:rsidRPr="005B1452">
        <w:rPr>
          <w:rFonts w:asciiTheme="majorBidi" w:hAnsiTheme="majorBidi" w:cstheme="majorBidi"/>
          <w:color w:val="0D0D0D" w:themeColor="text1" w:themeTint="F2"/>
          <w:sz w:val="28"/>
          <w:szCs w:val="28"/>
        </w:rPr>
        <w:t xml:space="preserve"> reflects the deep apprec</w:t>
      </w:r>
      <w:r>
        <w:rPr>
          <w:rFonts w:asciiTheme="majorBidi" w:hAnsiTheme="majorBidi" w:cstheme="majorBidi"/>
          <w:color w:val="0D0D0D" w:themeColor="text1" w:themeTint="F2"/>
          <w:sz w:val="28"/>
          <w:szCs w:val="28"/>
        </w:rPr>
        <w:t>iation of the UAE legislator to</w:t>
      </w:r>
      <w:r w:rsidR="00807945" w:rsidRPr="005B1452">
        <w:rPr>
          <w:rFonts w:asciiTheme="majorBidi" w:hAnsiTheme="majorBidi" w:cstheme="majorBidi"/>
          <w:color w:val="0D0D0D" w:themeColor="text1" w:themeTint="F2"/>
          <w:sz w:val="28"/>
          <w:szCs w:val="28"/>
        </w:rPr>
        <w:t xml:space="preserve"> the value of prior use in Article</w:t>
      </w:r>
      <w:r>
        <w:rPr>
          <w:rFonts w:asciiTheme="majorBidi" w:hAnsiTheme="majorBidi" w:cstheme="majorBidi"/>
          <w:color w:val="0D0D0D" w:themeColor="text1" w:themeTint="F2"/>
          <w:sz w:val="28"/>
          <w:szCs w:val="28"/>
        </w:rPr>
        <w:t xml:space="preserve"> No.</w:t>
      </w:r>
      <w:r w:rsidR="00807945" w:rsidRPr="005B1452">
        <w:rPr>
          <w:rFonts w:asciiTheme="majorBidi" w:hAnsiTheme="majorBidi" w:cstheme="majorBidi"/>
          <w:color w:val="0D0D0D" w:themeColor="text1" w:themeTint="F2"/>
          <w:sz w:val="28"/>
          <w:szCs w:val="28"/>
        </w:rPr>
        <w:t xml:space="preserve"> </w:t>
      </w:r>
      <w:r>
        <w:rPr>
          <w:rFonts w:asciiTheme="majorBidi" w:hAnsiTheme="majorBidi" w:cstheme="majorBidi"/>
          <w:color w:val="0D0D0D" w:themeColor="text1" w:themeTint="F2"/>
          <w:sz w:val="28"/>
          <w:szCs w:val="28"/>
        </w:rPr>
        <w:t>43, Paragraph 02, which prohibits</w:t>
      </w:r>
      <w:r w:rsidR="00807945" w:rsidRPr="005B1452">
        <w:rPr>
          <w:rFonts w:asciiTheme="majorBidi" w:hAnsiTheme="majorBidi" w:cstheme="majorBidi"/>
          <w:color w:val="0D0D0D" w:themeColor="text1" w:themeTint="F2"/>
          <w:sz w:val="28"/>
          <w:szCs w:val="28"/>
        </w:rPr>
        <w:t xml:space="preserve"> the registration of any geographical indication as an independent trademark if such registration is likely to cause confusion with a trademark that exist</w:t>
      </w:r>
      <w:r>
        <w:rPr>
          <w:rFonts w:asciiTheme="majorBidi" w:hAnsiTheme="majorBidi" w:cstheme="majorBidi"/>
          <w:color w:val="0D0D0D" w:themeColor="text1" w:themeTint="F2"/>
          <w:sz w:val="28"/>
          <w:szCs w:val="28"/>
        </w:rPr>
        <w:t>ed before and actual rights have been</w:t>
      </w:r>
      <w:r w:rsidR="00807945" w:rsidRPr="005B1452">
        <w:rPr>
          <w:rFonts w:asciiTheme="majorBidi" w:hAnsiTheme="majorBidi" w:cstheme="majorBidi"/>
          <w:color w:val="0D0D0D" w:themeColor="text1" w:themeTint="F2"/>
          <w:sz w:val="28"/>
          <w:szCs w:val="28"/>
        </w:rPr>
        <w:t xml:space="preserve"> </w:t>
      </w:r>
      <w:r w:rsidR="00807945" w:rsidRPr="005B1452">
        <w:rPr>
          <w:rFonts w:asciiTheme="majorBidi" w:hAnsiTheme="majorBidi" w:cstheme="majorBidi"/>
          <w:color w:val="0D0D0D" w:themeColor="text1" w:themeTint="F2"/>
          <w:sz w:val="28"/>
          <w:szCs w:val="28"/>
        </w:rPr>
        <w:lastRenderedPageBreak/>
        <w:t>acquired through "its bona fide use in the country"</w:t>
      </w:r>
      <w:r>
        <w:rPr>
          <w:rFonts w:asciiTheme="majorBidi" w:hAnsiTheme="majorBidi" w:cstheme="majorBidi"/>
          <w:color w:val="0D0D0D" w:themeColor="text1" w:themeTint="F2"/>
          <w:sz w:val="28"/>
          <w:szCs w:val="28"/>
        </w:rPr>
        <w:t>.</w:t>
      </w:r>
      <w:r>
        <w:rPr>
          <w:rStyle w:val="FootnoteReference"/>
          <w:rFonts w:asciiTheme="majorBidi" w:hAnsiTheme="majorBidi" w:cstheme="majorBidi"/>
          <w:color w:val="0D0D0D" w:themeColor="text1" w:themeTint="F2"/>
          <w:sz w:val="28"/>
          <w:szCs w:val="28"/>
        </w:rPr>
        <w:footnoteReference w:id="7"/>
      </w:r>
      <w:r w:rsidR="00807945" w:rsidRPr="005B1452">
        <w:rPr>
          <w:rFonts w:asciiTheme="majorBidi" w:hAnsiTheme="majorBidi" w:cstheme="majorBidi"/>
          <w:color w:val="0D0D0D" w:themeColor="text1" w:themeTint="F2"/>
          <w:sz w:val="28"/>
          <w:szCs w:val="28"/>
        </w:rPr>
        <w:t>This provision clearly affirms that the substantive right arises from use coupled with good faith and constitutes a legal barrier preventing conflicting subsequent registrations.</w:t>
      </w:r>
    </w:p>
    <w:p w14:paraId="092941E4" w14:textId="77777777" w:rsidR="00807945" w:rsidRPr="00FB544B" w:rsidRDefault="00807945" w:rsidP="00807945">
      <w:pPr>
        <w:jc w:val="both"/>
        <w:rPr>
          <w:rFonts w:asciiTheme="majorBidi" w:hAnsiTheme="majorBidi" w:cstheme="majorBidi"/>
          <w:color w:val="0D0D0D" w:themeColor="text1" w:themeTint="F2"/>
          <w:sz w:val="16"/>
          <w:szCs w:val="16"/>
        </w:rPr>
      </w:pPr>
    </w:p>
    <w:p w14:paraId="0ED17D8E" w14:textId="77777777" w:rsidR="00FB544B" w:rsidRPr="00FB544B" w:rsidRDefault="00FB544B" w:rsidP="00FB544B">
      <w:pPr>
        <w:pStyle w:val="ListParagraph"/>
        <w:numPr>
          <w:ilvl w:val="0"/>
          <w:numId w:val="34"/>
        </w:numPr>
        <w:ind w:left="360"/>
        <w:jc w:val="both"/>
        <w:rPr>
          <w:rFonts w:asciiTheme="majorBidi" w:hAnsiTheme="majorBidi" w:cstheme="majorBidi"/>
          <w:b/>
          <w:bCs/>
          <w:color w:val="0D0D0D" w:themeColor="text1" w:themeTint="F2"/>
          <w:sz w:val="28"/>
          <w:szCs w:val="28"/>
        </w:rPr>
      </w:pPr>
      <w:r w:rsidRPr="00FB544B">
        <w:rPr>
          <w:rFonts w:asciiTheme="majorBidi" w:hAnsiTheme="majorBidi" w:cstheme="majorBidi"/>
          <w:b/>
          <w:bCs/>
          <w:color w:val="0D0D0D" w:themeColor="text1" w:themeTint="F2"/>
          <w:sz w:val="28"/>
          <w:szCs w:val="28"/>
        </w:rPr>
        <w:t>Protection of Well-Known Trademarks Across Borders</w:t>
      </w:r>
      <w:r w:rsidR="00807945" w:rsidRPr="00FB544B">
        <w:rPr>
          <w:rFonts w:asciiTheme="majorBidi" w:hAnsiTheme="majorBidi" w:cstheme="majorBidi"/>
          <w:b/>
          <w:bCs/>
          <w:color w:val="0D0D0D" w:themeColor="text1" w:themeTint="F2"/>
          <w:sz w:val="28"/>
          <w:szCs w:val="28"/>
        </w:rPr>
        <w:t xml:space="preserve"> </w:t>
      </w:r>
    </w:p>
    <w:p w14:paraId="15CA6D22" w14:textId="77777777" w:rsidR="00FB544B" w:rsidRPr="00FB544B" w:rsidRDefault="00FB544B" w:rsidP="00807945">
      <w:pPr>
        <w:jc w:val="both"/>
        <w:rPr>
          <w:rFonts w:asciiTheme="majorBidi" w:hAnsiTheme="majorBidi" w:cstheme="majorBidi"/>
          <w:color w:val="0D0D0D" w:themeColor="text1" w:themeTint="F2"/>
          <w:sz w:val="16"/>
          <w:szCs w:val="16"/>
        </w:rPr>
      </w:pPr>
    </w:p>
    <w:p w14:paraId="11C95BD7" w14:textId="1F9EBF3B" w:rsidR="00807945" w:rsidRDefault="00807945" w:rsidP="00FB544B">
      <w:pPr>
        <w:ind w:firstLine="540"/>
        <w:jc w:val="both"/>
        <w:rPr>
          <w:rFonts w:asciiTheme="majorBidi" w:hAnsiTheme="majorBidi" w:cstheme="majorBidi"/>
          <w:color w:val="0D0D0D" w:themeColor="text1" w:themeTint="F2"/>
          <w:sz w:val="28"/>
          <w:szCs w:val="28"/>
        </w:rPr>
      </w:pPr>
      <w:r w:rsidRPr="005B1452">
        <w:rPr>
          <w:rFonts w:asciiTheme="majorBidi" w:hAnsiTheme="majorBidi" w:cstheme="majorBidi"/>
          <w:color w:val="0D0D0D" w:themeColor="text1" w:themeTint="F2"/>
          <w:sz w:val="28"/>
          <w:szCs w:val="28"/>
        </w:rPr>
        <w:t xml:space="preserve">In line with the state's obligations under the Paris </w:t>
      </w:r>
      <w:r w:rsidR="00FB544B">
        <w:rPr>
          <w:rFonts w:asciiTheme="majorBidi" w:hAnsiTheme="majorBidi" w:cstheme="majorBidi"/>
          <w:color w:val="0D0D0D" w:themeColor="text1" w:themeTint="F2"/>
          <w:sz w:val="28"/>
          <w:szCs w:val="28"/>
        </w:rPr>
        <w:t>Convention</w:t>
      </w:r>
      <w:r w:rsidR="00A753FA">
        <w:rPr>
          <w:rFonts w:asciiTheme="majorBidi" w:hAnsiTheme="majorBidi" w:cstheme="majorBidi"/>
          <w:color w:val="0D0D0D" w:themeColor="text1" w:themeTint="F2"/>
          <w:sz w:val="28"/>
          <w:szCs w:val="28"/>
        </w:rPr>
        <w:t>, Article No. 06,</w:t>
      </w:r>
      <w:r w:rsidR="00FB544B">
        <w:rPr>
          <w:rFonts w:asciiTheme="majorBidi" w:hAnsiTheme="majorBidi" w:cstheme="majorBidi"/>
          <w:color w:val="0D0D0D" w:themeColor="text1" w:themeTint="F2"/>
          <w:sz w:val="28"/>
          <w:szCs w:val="28"/>
        </w:rPr>
        <w:t xml:space="preserve"> </w:t>
      </w:r>
      <w:r w:rsidRPr="005B1452">
        <w:rPr>
          <w:rFonts w:asciiTheme="majorBidi" w:hAnsiTheme="majorBidi" w:cstheme="majorBidi"/>
          <w:color w:val="0D0D0D" w:themeColor="text1" w:themeTint="F2"/>
          <w:sz w:val="28"/>
          <w:szCs w:val="28"/>
        </w:rPr>
        <w:t>an</w:t>
      </w:r>
      <w:r w:rsidR="00A753FA">
        <w:rPr>
          <w:rFonts w:asciiTheme="majorBidi" w:hAnsiTheme="majorBidi" w:cstheme="majorBidi"/>
          <w:color w:val="0D0D0D" w:themeColor="text1" w:themeTint="F2"/>
          <w:sz w:val="28"/>
          <w:szCs w:val="28"/>
        </w:rPr>
        <w:t>d the TRIPS Agreement, Article No. 04</w:t>
      </w:r>
      <w:r w:rsidRPr="005B1452">
        <w:rPr>
          <w:rFonts w:asciiTheme="majorBidi" w:hAnsiTheme="majorBidi" w:cstheme="majorBidi"/>
          <w:color w:val="0D0D0D" w:themeColor="text1" w:themeTint="F2"/>
          <w:sz w:val="28"/>
          <w:szCs w:val="28"/>
        </w:rPr>
        <w:t xml:space="preserve"> of the Decree-Law </w:t>
      </w:r>
      <w:r w:rsidR="00A753FA">
        <w:rPr>
          <w:rFonts w:asciiTheme="majorBidi" w:hAnsiTheme="majorBidi" w:cstheme="majorBidi"/>
          <w:color w:val="0D0D0D" w:themeColor="text1" w:themeTint="F2"/>
          <w:sz w:val="28"/>
          <w:szCs w:val="28"/>
        </w:rPr>
        <w:t xml:space="preserve">has </w:t>
      </w:r>
      <w:r w:rsidRPr="005B1452">
        <w:rPr>
          <w:rFonts w:asciiTheme="majorBidi" w:hAnsiTheme="majorBidi" w:cstheme="majorBidi"/>
          <w:color w:val="0D0D0D" w:themeColor="text1" w:themeTint="F2"/>
          <w:sz w:val="28"/>
          <w:szCs w:val="28"/>
        </w:rPr>
        <w:t>stipulated the prohibition of registering trademarks that constitute a translation, copy, or imita</w:t>
      </w:r>
      <w:r w:rsidR="00A753FA">
        <w:rPr>
          <w:rFonts w:asciiTheme="majorBidi" w:hAnsiTheme="majorBidi" w:cstheme="majorBidi"/>
          <w:color w:val="0D0D0D" w:themeColor="text1" w:themeTint="F2"/>
          <w:sz w:val="28"/>
          <w:szCs w:val="28"/>
        </w:rPr>
        <w:t xml:space="preserve">tion of a well-known trademark, </w:t>
      </w:r>
      <w:r w:rsidRPr="005B1452">
        <w:rPr>
          <w:rFonts w:asciiTheme="majorBidi" w:hAnsiTheme="majorBidi" w:cstheme="majorBidi"/>
          <w:color w:val="0D0D0D" w:themeColor="text1" w:themeTint="F2"/>
          <w:sz w:val="28"/>
          <w:szCs w:val="28"/>
        </w:rPr>
        <w:t>even if this well-known trademark is not lo</w:t>
      </w:r>
      <w:r w:rsidR="00A753FA">
        <w:rPr>
          <w:rFonts w:asciiTheme="majorBidi" w:hAnsiTheme="majorBidi" w:cstheme="majorBidi"/>
          <w:color w:val="0D0D0D" w:themeColor="text1" w:themeTint="F2"/>
          <w:sz w:val="28"/>
          <w:szCs w:val="28"/>
        </w:rPr>
        <w:t>cally registered in the country,</w:t>
      </w:r>
      <w:r w:rsidRPr="005B1452">
        <w:rPr>
          <w:rFonts w:asciiTheme="majorBidi" w:hAnsiTheme="majorBidi" w:cstheme="majorBidi"/>
          <w:color w:val="0D0D0D" w:themeColor="text1" w:themeTint="F2"/>
          <w:sz w:val="28"/>
          <w:szCs w:val="28"/>
        </w:rPr>
        <w:t xml:space="preserve"> whenever the reputation has extended to the UAE. This stance gives absolute priority to the reputation of the mark and its global use over merely submitting a local filing application</w:t>
      </w:r>
      <w:r w:rsidR="00CA5F55">
        <w:rPr>
          <w:rFonts w:asciiTheme="majorBidi" w:hAnsiTheme="majorBidi" w:cstheme="majorBidi"/>
          <w:color w:val="0D0D0D" w:themeColor="text1" w:themeTint="F2"/>
          <w:sz w:val="28"/>
          <w:szCs w:val="28"/>
        </w:rPr>
        <w:t xml:space="preserve"> </w:t>
      </w:r>
      <w:r w:rsidR="00CA5F55" w:rsidRPr="00CA5F55">
        <w:rPr>
          <w:rFonts w:asciiTheme="majorBidi" w:hAnsiTheme="majorBidi" w:cstheme="majorBidi"/>
          <w:color w:val="0D0D0D" w:themeColor="text1" w:themeTint="F2"/>
          <w:sz w:val="28"/>
          <w:szCs w:val="28"/>
        </w:rPr>
        <w:t xml:space="preserve">  (Almajbari, H. F. M., 2024)</w:t>
      </w:r>
      <w:r w:rsidR="00A753FA">
        <w:rPr>
          <w:rFonts w:asciiTheme="majorBidi" w:hAnsiTheme="majorBidi" w:cstheme="majorBidi"/>
          <w:color w:val="0D0D0D" w:themeColor="text1" w:themeTint="F2"/>
          <w:sz w:val="28"/>
          <w:szCs w:val="28"/>
        </w:rPr>
        <w:t>.</w:t>
      </w:r>
    </w:p>
    <w:p w14:paraId="74D4FA34" w14:textId="77777777" w:rsidR="00807945" w:rsidRPr="00E924B1" w:rsidRDefault="00807945" w:rsidP="00807945">
      <w:pPr>
        <w:tabs>
          <w:tab w:val="decimal" w:pos="8280"/>
        </w:tabs>
        <w:spacing w:line="276" w:lineRule="auto"/>
        <w:ind w:firstLine="540"/>
        <w:jc w:val="both"/>
        <w:rPr>
          <w:bCs/>
          <w:sz w:val="16"/>
          <w:szCs w:val="16"/>
        </w:rPr>
      </w:pPr>
    </w:p>
    <w:p w14:paraId="298F9873" w14:textId="77777777" w:rsidR="00E066E5" w:rsidRPr="00E924B1" w:rsidRDefault="00E066E5" w:rsidP="00E066E5">
      <w:pPr>
        <w:tabs>
          <w:tab w:val="decimal" w:pos="8280"/>
        </w:tabs>
        <w:spacing w:line="276" w:lineRule="auto"/>
        <w:jc w:val="both"/>
        <w:rPr>
          <w:b/>
          <w:sz w:val="32"/>
          <w:szCs w:val="32"/>
        </w:rPr>
      </w:pPr>
      <w:r w:rsidRPr="00E924B1">
        <w:rPr>
          <w:b/>
          <w:sz w:val="32"/>
          <w:szCs w:val="32"/>
        </w:rPr>
        <w:t>2.4 Limi</w:t>
      </w:r>
      <w:r w:rsidR="00E924B1" w:rsidRPr="00E924B1">
        <w:rPr>
          <w:b/>
          <w:sz w:val="32"/>
          <w:szCs w:val="32"/>
        </w:rPr>
        <w:t>ts of Claiming Prior Use vs.</w:t>
      </w:r>
      <w:r w:rsidRPr="00E924B1">
        <w:rPr>
          <w:b/>
          <w:sz w:val="32"/>
          <w:szCs w:val="32"/>
        </w:rPr>
        <w:t xml:space="preserve"> Registration  </w:t>
      </w:r>
    </w:p>
    <w:p w14:paraId="04D83B7D" w14:textId="77777777" w:rsidR="00E924B1" w:rsidRPr="00E924B1" w:rsidRDefault="00E924B1" w:rsidP="00E066E5">
      <w:pPr>
        <w:tabs>
          <w:tab w:val="decimal" w:pos="8280"/>
        </w:tabs>
        <w:spacing w:line="276" w:lineRule="auto"/>
        <w:jc w:val="both"/>
        <w:rPr>
          <w:bCs/>
          <w:sz w:val="16"/>
          <w:szCs w:val="16"/>
        </w:rPr>
      </w:pPr>
    </w:p>
    <w:p w14:paraId="766ED75D" w14:textId="77777777" w:rsidR="00E924B1" w:rsidRDefault="00E066E5" w:rsidP="00E924B1">
      <w:pPr>
        <w:tabs>
          <w:tab w:val="decimal" w:pos="8280"/>
        </w:tabs>
        <w:spacing w:line="276" w:lineRule="auto"/>
        <w:ind w:firstLine="540"/>
        <w:jc w:val="both"/>
        <w:rPr>
          <w:bCs/>
          <w:sz w:val="28"/>
          <w:szCs w:val="28"/>
        </w:rPr>
      </w:pPr>
      <w:r w:rsidRPr="00E066E5">
        <w:rPr>
          <w:bCs/>
          <w:sz w:val="28"/>
          <w:szCs w:val="28"/>
        </w:rPr>
        <w:t>Despite</w:t>
      </w:r>
      <w:r w:rsidR="00E924B1">
        <w:rPr>
          <w:bCs/>
          <w:sz w:val="28"/>
          <w:szCs w:val="28"/>
        </w:rPr>
        <w:t xml:space="preserve"> all attempts related to </w:t>
      </w:r>
      <w:r w:rsidRPr="00E066E5">
        <w:rPr>
          <w:bCs/>
          <w:sz w:val="28"/>
          <w:szCs w:val="28"/>
        </w:rPr>
        <w:t>respecting the priority of use and good faith, the law intervenes to impose strict temporal limits and restrictions</w:t>
      </w:r>
      <w:r w:rsidR="00E924B1">
        <w:rPr>
          <w:bCs/>
          <w:sz w:val="28"/>
          <w:szCs w:val="28"/>
        </w:rPr>
        <w:t xml:space="preserve"> </w:t>
      </w:r>
      <w:r w:rsidRPr="00E066E5">
        <w:rPr>
          <w:bCs/>
          <w:sz w:val="28"/>
          <w:szCs w:val="28"/>
        </w:rPr>
        <w:t>to ensure that the commerci</w:t>
      </w:r>
      <w:r w:rsidR="00E924B1">
        <w:rPr>
          <w:bCs/>
          <w:sz w:val="28"/>
          <w:szCs w:val="28"/>
        </w:rPr>
        <w:t xml:space="preserve">al register is not </w:t>
      </w:r>
      <w:r w:rsidRPr="00E066E5">
        <w:rPr>
          <w:bCs/>
          <w:sz w:val="28"/>
          <w:szCs w:val="28"/>
        </w:rPr>
        <w:t>threatened with nullity. The most prominent limits of claiming prior use against subsequent re</w:t>
      </w:r>
      <w:r w:rsidR="00E924B1">
        <w:rPr>
          <w:bCs/>
          <w:sz w:val="28"/>
          <w:szCs w:val="28"/>
        </w:rPr>
        <w:t xml:space="preserve">gistration can be summarized as follows: </w:t>
      </w:r>
    </w:p>
    <w:p w14:paraId="15490A64" w14:textId="77777777" w:rsidR="00E924B1" w:rsidRPr="00E924B1" w:rsidRDefault="00E924B1" w:rsidP="00E924B1">
      <w:pPr>
        <w:tabs>
          <w:tab w:val="decimal" w:pos="8280"/>
        </w:tabs>
        <w:spacing w:line="276" w:lineRule="auto"/>
        <w:jc w:val="both"/>
        <w:rPr>
          <w:bCs/>
          <w:sz w:val="16"/>
          <w:szCs w:val="16"/>
        </w:rPr>
      </w:pPr>
    </w:p>
    <w:p w14:paraId="2E205EB1" w14:textId="77777777" w:rsidR="00C56AEA" w:rsidRDefault="007F2850" w:rsidP="00C56AEA">
      <w:pPr>
        <w:pStyle w:val="ListParagraph"/>
        <w:numPr>
          <w:ilvl w:val="0"/>
          <w:numId w:val="36"/>
        </w:numPr>
        <w:tabs>
          <w:tab w:val="decimal" w:pos="8280"/>
        </w:tabs>
        <w:spacing w:line="276" w:lineRule="auto"/>
        <w:ind w:left="360"/>
        <w:jc w:val="both"/>
        <w:rPr>
          <w:bCs/>
          <w:sz w:val="28"/>
          <w:szCs w:val="28"/>
        </w:rPr>
      </w:pPr>
      <w:r>
        <w:rPr>
          <w:bCs/>
          <w:sz w:val="28"/>
          <w:szCs w:val="28"/>
        </w:rPr>
        <w:t>Five-Year L</w:t>
      </w:r>
      <w:r w:rsidR="00E066E5" w:rsidRPr="007F2850">
        <w:rPr>
          <w:bCs/>
          <w:sz w:val="28"/>
          <w:szCs w:val="28"/>
        </w:rPr>
        <w:t>imitation</w:t>
      </w:r>
      <w:r>
        <w:rPr>
          <w:bCs/>
          <w:sz w:val="28"/>
          <w:szCs w:val="28"/>
        </w:rPr>
        <w:t>: The owner of</w:t>
      </w:r>
      <w:r w:rsidR="00E066E5" w:rsidRPr="007F2850">
        <w:rPr>
          <w:bCs/>
          <w:sz w:val="28"/>
          <w:szCs w:val="28"/>
        </w:rPr>
        <w:t xml:space="preserve"> prior use is </w:t>
      </w:r>
      <w:r>
        <w:rPr>
          <w:bCs/>
          <w:sz w:val="28"/>
          <w:szCs w:val="28"/>
        </w:rPr>
        <w:t xml:space="preserve">not allowed to demand </w:t>
      </w:r>
      <w:r w:rsidR="00E066E5" w:rsidRPr="007F2850">
        <w:rPr>
          <w:bCs/>
          <w:sz w:val="28"/>
          <w:szCs w:val="28"/>
        </w:rPr>
        <w:t>cancellation or nullification of the regist</w:t>
      </w:r>
      <w:r>
        <w:rPr>
          <w:bCs/>
          <w:sz w:val="28"/>
          <w:szCs w:val="28"/>
        </w:rPr>
        <w:t xml:space="preserve">ered mark if they have ignored </w:t>
      </w:r>
      <w:r w:rsidR="00E066E5" w:rsidRPr="007F2850">
        <w:rPr>
          <w:bCs/>
          <w:sz w:val="28"/>
          <w:szCs w:val="28"/>
        </w:rPr>
        <w:t>to claim their right before the judiciary for more than five consecutive years from the date of registration. This</w:t>
      </w:r>
      <w:r>
        <w:rPr>
          <w:bCs/>
          <w:sz w:val="28"/>
          <w:szCs w:val="28"/>
        </w:rPr>
        <w:t xml:space="preserve"> procedure shall be valid if the </w:t>
      </w:r>
      <w:r w:rsidR="00E066E5" w:rsidRPr="007F2850">
        <w:rPr>
          <w:bCs/>
          <w:sz w:val="28"/>
          <w:szCs w:val="28"/>
        </w:rPr>
        <w:t xml:space="preserve">registrant </w:t>
      </w:r>
      <w:r>
        <w:rPr>
          <w:bCs/>
          <w:sz w:val="28"/>
          <w:szCs w:val="28"/>
        </w:rPr>
        <w:t>has continuously used</w:t>
      </w:r>
      <w:r w:rsidR="00E066E5" w:rsidRPr="007F2850">
        <w:rPr>
          <w:bCs/>
          <w:sz w:val="28"/>
          <w:szCs w:val="28"/>
        </w:rPr>
        <w:t xml:space="preserve"> the mark throughout that period without interruption. </w:t>
      </w:r>
      <w:r>
        <w:rPr>
          <w:bCs/>
          <w:sz w:val="28"/>
          <w:szCs w:val="28"/>
        </w:rPr>
        <w:t>In this case, the first user's right comes to an end, granting</w:t>
      </w:r>
      <w:r w:rsidR="00E066E5" w:rsidRPr="007F2850">
        <w:rPr>
          <w:bCs/>
          <w:sz w:val="28"/>
          <w:szCs w:val="28"/>
        </w:rPr>
        <w:t xml:space="preserve"> the second user an</w:t>
      </w:r>
      <w:r w:rsidR="00C56AEA">
        <w:rPr>
          <w:bCs/>
          <w:sz w:val="28"/>
          <w:szCs w:val="28"/>
        </w:rPr>
        <w:t xml:space="preserve"> </w:t>
      </w:r>
      <w:r w:rsidR="00E066E5" w:rsidRPr="007F2850">
        <w:rPr>
          <w:bCs/>
          <w:sz w:val="28"/>
          <w:szCs w:val="28"/>
        </w:rPr>
        <w:t>immunity that cannot be breached</w:t>
      </w:r>
      <w:r w:rsidR="00C56AEA">
        <w:rPr>
          <w:bCs/>
          <w:sz w:val="28"/>
          <w:szCs w:val="28"/>
        </w:rPr>
        <w:t>.</w:t>
      </w:r>
      <w:r w:rsidR="00C56AEA">
        <w:rPr>
          <w:rStyle w:val="FootnoteReference"/>
          <w:bCs/>
          <w:sz w:val="28"/>
          <w:szCs w:val="28"/>
        </w:rPr>
        <w:footnoteReference w:id="8"/>
      </w:r>
      <w:r w:rsidR="00C56AEA">
        <w:rPr>
          <w:bCs/>
          <w:sz w:val="28"/>
          <w:szCs w:val="28"/>
        </w:rPr>
        <w:t xml:space="preserve"> </w:t>
      </w:r>
    </w:p>
    <w:p w14:paraId="2ADD8744" w14:textId="77777777" w:rsidR="00E066E5" w:rsidRPr="00C56AEA" w:rsidRDefault="00E066E5" w:rsidP="00C56AEA">
      <w:pPr>
        <w:pStyle w:val="ListParagraph"/>
        <w:tabs>
          <w:tab w:val="decimal" w:pos="8280"/>
        </w:tabs>
        <w:spacing w:line="276" w:lineRule="auto"/>
        <w:ind w:left="360"/>
        <w:jc w:val="both"/>
        <w:rPr>
          <w:bCs/>
          <w:sz w:val="16"/>
          <w:szCs w:val="16"/>
        </w:rPr>
      </w:pPr>
      <w:r w:rsidRPr="007F2850">
        <w:rPr>
          <w:bCs/>
          <w:sz w:val="28"/>
          <w:szCs w:val="28"/>
        </w:rPr>
        <w:t xml:space="preserve"> </w:t>
      </w:r>
    </w:p>
    <w:p w14:paraId="0F9B02D0" w14:textId="77777777" w:rsidR="00330E2A" w:rsidRDefault="00E066E5" w:rsidP="00C56AEA">
      <w:pPr>
        <w:pStyle w:val="ListParagraph"/>
        <w:numPr>
          <w:ilvl w:val="0"/>
          <w:numId w:val="36"/>
        </w:numPr>
        <w:tabs>
          <w:tab w:val="decimal" w:pos="8280"/>
        </w:tabs>
        <w:spacing w:line="276" w:lineRule="auto"/>
        <w:ind w:left="360"/>
        <w:jc w:val="both"/>
        <w:rPr>
          <w:bCs/>
          <w:sz w:val="28"/>
          <w:szCs w:val="28"/>
        </w:rPr>
      </w:pPr>
      <w:r w:rsidRPr="00C56AEA">
        <w:rPr>
          <w:bCs/>
          <w:sz w:val="28"/>
          <w:szCs w:val="28"/>
        </w:rPr>
        <w:t>Condition of actual use by the claimant of priority</w:t>
      </w:r>
      <w:r w:rsidR="00C56AEA" w:rsidRPr="00C56AEA">
        <w:rPr>
          <w:bCs/>
          <w:sz w:val="28"/>
          <w:szCs w:val="28"/>
        </w:rPr>
        <w:t xml:space="preserve">: </w:t>
      </w:r>
      <w:r w:rsidRPr="00C56AEA">
        <w:rPr>
          <w:bCs/>
          <w:sz w:val="28"/>
          <w:szCs w:val="28"/>
        </w:rPr>
        <w:t xml:space="preserve">A prior use </w:t>
      </w:r>
      <w:r w:rsidR="00C56AEA">
        <w:rPr>
          <w:bCs/>
          <w:sz w:val="28"/>
          <w:szCs w:val="28"/>
        </w:rPr>
        <w:t xml:space="preserve">featured with failure, or </w:t>
      </w:r>
      <w:r w:rsidRPr="00C56AEA">
        <w:rPr>
          <w:bCs/>
          <w:sz w:val="28"/>
          <w:szCs w:val="28"/>
        </w:rPr>
        <w:t>interrupted for many years before the second party</w:t>
      </w:r>
      <w:r w:rsidR="00C56AEA">
        <w:rPr>
          <w:bCs/>
          <w:sz w:val="28"/>
          <w:szCs w:val="28"/>
        </w:rPr>
        <w:t>'s registration</w:t>
      </w:r>
      <w:r w:rsidRPr="00C56AEA">
        <w:rPr>
          <w:bCs/>
          <w:sz w:val="28"/>
          <w:szCs w:val="28"/>
        </w:rPr>
        <w:t xml:space="preserve"> cannot be claimed. The claimant </w:t>
      </w:r>
      <w:r w:rsidR="00C56AEA">
        <w:rPr>
          <w:bCs/>
          <w:sz w:val="28"/>
          <w:szCs w:val="28"/>
        </w:rPr>
        <w:t xml:space="preserve">is required to </w:t>
      </w:r>
      <w:r w:rsidRPr="00C56AEA">
        <w:rPr>
          <w:bCs/>
          <w:sz w:val="28"/>
          <w:szCs w:val="28"/>
        </w:rPr>
        <w:t xml:space="preserve">prove that their mark </w:t>
      </w:r>
      <w:r w:rsidR="00C56AEA">
        <w:rPr>
          <w:bCs/>
          <w:sz w:val="28"/>
          <w:szCs w:val="28"/>
        </w:rPr>
        <w:t>has been active</w:t>
      </w:r>
      <w:r w:rsidRPr="00C56AEA">
        <w:rPr>
          <w:bCs/>
          <w:sz w:val="28"/>
          <w:szCs w:val="28"/>
        </w:rPr>
        <w:t xml:space="preserve"> and effective in the market </w:t>
      </w:r>
      <w:r w:rsidR="00C56AEA">
        <w:rPr>
          <w:bCs/>
          <w:sz w:val="28"/>
          <w:szCs w:val="28"/>
        </w:rPr>
        <w:t xml:space="preserve">when </w:t>
      </w:r>
      <w:r w:rsidRPr="00C56AEA">
        <w:rPr>
          <w:bCs/>
          <w:sz w:val="28"/>
          <w:szCs w:val="28"/>
        </w:rPr>
        <w:t xml:space="preserve">opponent </w:t>
      </w:r>
      <w:r w:rsidR="00C56AEA">
        <w:rPr>
          <w:bCs/>
          <w:sz w:val="28"/>
          <w:szCs w:val="28"/>
        </w:rPr>
        <w:t>has registered the</w:t>
      </w:r>
      <w:r w:rsidRPr="00C56AEA">
        <w:rPr>
          <w:bCs/>
          <w:sz w:val="28"/>
          <w:szCs w:val="28"/>
        </w:rPr>
        <w:t xml:space="preserve"> mark.</w:t>
      </w:r>
    </w:p>
    <w:p w14:paraId="48C7A780" w14:textId="77777777" w:rsidR="00C94544" w:rsidRPr="00C94544" w:rsidRDefault="00C94544" w:rsidP="00C94544">
      <w:pPr>
        <w:pStyle w:val="ListParagraph"/>
        <w:rPr>
          <w:bCs/>
          <w:sz w:val="28"/>
          <w:szCs w:val="28"/>
        </w:rPr>
      </w:pPr>
    </w:p>
    <w:p w14:paraId="2E71AD59" w14:textId="77777777" w:rsidR="00E066E5" w:rsidRPr="00C94544" w:rsidRDefault="00C94544" w:rsidP="00C94544">
      <w:pPr>
        <w:pStyle w:val="ListParagraph"/>
        <w:numPr>
          <w:ilvl w:val="0"/>
          <w:numId w:val="36"/>
        </w:numPr>
        <w:tabs>
          <w:tab w:val="decimal" w:pos="8280"/>
        </w:tabs>
        <w:spacing w:line="276" w:lineRule="auto"/>
        <w:ind w:left="360"/>
        <w:jc w:val="both"/>
        <w:rPr>
          <w:bCs/>
          <w:sz w:val="28"/>
          <w:szCs w:val="28"/>
        </w:rPr>
      </w:pPr>
      <w:r w:rsidRPr="00C94544">
        <w:rPr>
          <w:bCs/>
          <w:sz w:val="28"/>
          <w:szCs w:val="28"/>
        </w:rPr>
        <w:t>S</w:t>
      </w:r>
      <w:r w:rsidR="00E066E5" w:rsidRPr="00C94544">
        <w:rPr>
          <w:bCs/>
          <w:sz w:val="28"/>
          <w:szCs w:val="28"/>
        </w:rPr>
        <w:t xml:space="preserve">trict </w:t>
      </w:r>
      <w:r w:rsidRPr="00C94544">
        <w:rPr>
          <w:bCs/>
          <w:sz w:val="28"/>
          <w:szCs w:val="28"/>
        </w:rPr>
        <w:t xml:space="preserve">Proof Burden: </w:t>
      </w:r>
      <w:r>
        <w:rPr>
          <w:bCs/>
          <w:sz w:val="28"/>
          <w:szCs w:val="28"/>
        </w:rPr>
        <w:t>Both t</w:t>
      </w:r>
      <w:r w:rsidR="00E066E5" w:rsidRPr="00C94544">
        <w:rPr>
          <w:bCs/>
          <w:sz w:val="28"/>
          <w:szCs w:val="28"/>
        </w:rPr>
        <w:t xml:space="preserve">he law and judiciary </w:t>
      </w:r>
      <w:r>
        <w:rPr>
          <w:bCs/>
          <w:sz w:val="28"/>
          <w:szCs w:val="28"/>
        </w:rPr>
        <w:t xml:space="preserve">have </w:t>
      </w:r>
      <w:r w:rsidR="00E066E5" w:rsidRPr="00C94544">
        <w:rPr>
          <w:bCs/>
          <w:sz w:val="28"/>
          <w:szCs w:val="28"/>
        </w:rPr>
        <w:t>place</w:t>
      </w:r>
      <w:r>
        <w:rPr>
          <w:bCs/>
          <w:sz w:val="28"/>
          <w:szCs w:val="28"/>
        </w:rPr>
        <w:t>d</w:t>
      </w:r>
      <w:r w:rsidR="00E066E5" w:rsidRPr="00C94544">
        <w:rPr>
          <w:bCs/>
          <w:sz w:val="28"/>
          <w:szCs w:val="28"/>
        </w:rPr>
        <w:t xml:space="preserve"> the entire and heavy </w:t>
      </w:r>
      <w:r>
        <w:rPr>
          <w:bCs/>
          <w:sz w:val="28"/>
          <w:szCs w:val="28"/>
        </w:rPr>
        <w:t xml:space="preserve">proof burden </w:t>
      </w:r>
      <w:r w:rsidR="00E066E5" w:rsidRPr="00C94544">
        <w:rPr>
          <w:bCs/>
          <w:sz w:val="28"/>
          <w:szCs w:val="28"/>
        </w:rPr>
        <w:t>on the claimant of prior use, who must provide conclusive documents</w:t>
      </w:r>
      <w:r>
        <w:rPr>
          <w:bCs/>
          <w:sz w:val="28"/>
          <w:szCs w:val="28"/>
        </w:rPr>
        <w:t>,</w:t>
      </w:r>
      <w:r w:rsidR="00E066E5" w:rsidRPr="00C94544">
        <w:rPr>
          <w:bCs/>
          <w:sz w:val="28"/>
          <w:szCs w:val="28"/>
        </w:rPr>
        <w:t xml:space="preserve"> such as tax invoices, customs clearance reports, import data, marketing and advertising campaign reports, and distribution contracts that prove their presence in the market with a significant and credible volume before the date of the registration application </w:t>
      </w:r>
      <w:r>
        <w:rPr>
          <w:bCs/>
          <w:sz w:val="28"/>
          <w:szCs w:val="28"/>
        </w:rPr>
        <w:t xml:space="preserve">has been </w:t>
      </w:r>
      <w:r w:rsidR="00E066E5" w:rsidRPr="00C94544">
        <w:rPr>
          <w:bCs/>
          <w:sz w:val="28"/>
          <w:szCs w:val="28"/>
        </w:rPr>
        <w:t>submitted by the other party. Courts</w:t>
      </w:r>
      <w:r>
        <w:rPr>
          <w:bCs/>
          <w:sz w:val="28"/>
          <w:szCs w:val="28"/>
        </w:rPr>
        <w:t xml:space="preserve"> indeed</w:t>
      </w:r>
      <w:r w:rsidR="00E066E5" w:rsidRPr="00C94544">
        <w:rPr>
          <w:bCs/>
          <w:sz w:val="28"/>
          <w:szCs w:val="28"/>
        </w:rPr>
        <w:t xml:space="preserve"> have rejected many cancellation claims due to the </w:t>
      </w:r>
      <w:r w:rsidR="00E066E5" w:rsidRPr="00C94544">
        <w:rPr>
          <w:bCs/>
          <w:sz w:val="28"/>
          <w:szCs w:val="28"/>
        </w:rPr>
        <w:lastRenderedPageBreak/>
        <w:t>insufficiency of this evidence or because it does not prove genuine precedence within the same geographical scope.</w:t>
      </w:r>
    </w:p>
    <w:p w14:paraId="5A13EC9F" w14:textId="77777777" w:rsidR="00E066E5" w:rsidRPr="00C94544" w:rsidRDefault="00E066E5" w:rsidP="00E066E5">
      <w:pPr>
        <w:tabs>
          <w:tab w:val="decimal" w:pos="8280"/>
        </w:tabs>
        <w:spacing w:line="276" w:lineRule="auto"/>
        <w:jc w:val="both"/>
        <w:rPr>
          <w:bCs/>
          <w:sz w:val="16"/>
          <w:szCs w:val="16"/>
        </w:rPr>
      </w:pPr>
    </w:p>
    <w:p w14:paraId="49697FEE" w14:textId="77777777" w:rsidR="00E066E5" w:rsidRPr="00C94544" w:rsidRDefault="00C94544" w:rsidP="00E066E5">
      <w:pPr>
        <w:tabs>
          <w:tab w:val="decimal" w:pos="8280"/>
        </w:tabs>
        <w:spacing w:line="276" w:lineRule="auto"/>
        <w:jc w:val="both"/>
        <w:rPr>
          <w:b/>
          <w:sz w:val="32"/>
          <w:szCs w:val="32"/>
        </w:rPr>
      </w:pPr>
      <w:r w:rsidRPr="00C94544">
        <w:rPr>
          <w:b/>
          <w:sz w:val="32"/>
          <w:szCs w:val="32"/>
        </w:rPr>
        <w:t>2.5 Effect of Priority of U</w:t>
      </w:r>
      <w:r w:rsidR="00E066E5" w:rsidRPr="00C94544">
        <w:rPr>
          <w:b/>
          <w:sz w:val="32"/>
          <w:szCs w:val="32"/>
        </w:rPr>
        <w:t>se in th</w:t>
      </w:r>
      <w:r w:rsidRPr="00C94544">
        <w:rPr>
          <w:b/>
          <w:sz w:val="32"/>
          <w:szCs w:val="32"/>
        </w:rPr>
        <w:t>e Establishment of a T</w:t>
      </w:r>
      <w:r w:rsidR="00E066E5" w:rsidRPr="00C94544">
        <w:rPr>
          <w:b/>
          <w:sz w:val="32"/>
          <w:szCs w:val="32"/>
        </w:rPr>
        <w:t>rademark</w:t>
      </w:r>
      <w:r w:rsidRPr="00C94544">
        <w:rPr>
          <w:b/>
          <w:sz w:val="32"/>
          <w:szCs w:val="32"/>
        </w:rPr>
        <w:t xml:space="preserve"> Right</w:t>
      </w:r>
    </w:p>
    <w:p w14:paraId="6F5DA413" w14:textId="77777777" w:rsidR="00E066E5" w:rsidRPr="00C94544" w:rsidRDefault="00E066E5" w:rsidP="00E066E5">
      <w:pPr>
        <w:tabs>
          <w:tab w:val="decimal" w:pos="8280"/>
        </w:tabs>
        <w:spacing w:line="276" w:lineRule="auto"/>
        <w:jc w:val="both"/>
        <w:rPr>
          <w:bCs/>
          <w:sz w:val="16"/>
          <w:szCs w:val="16"/>
        </w:rPr>
      </w:pPr>
    </w:p>
    <w:p w14:paraId="766C6C34" w14:textId="62637B24" w:rsidR="0003023A" w:rsidRDefault="00E066E5" w:rsidP="00C94544">
      <w:pPr>
        <w:tabs>
          <w:tab w:val="decimal" w:pos="8280"/>
        </w:tabs>
        <w:spacing w:line="276" w:lineRule="auto"/>
        <w:ind w:firstLine="540"/>
        <w:jc w:val="both"/>
        <w:rPr>
          <w:bCs/>
          <w:sz w:val="28"/>
          <w:szCs w:val="28"/>
        </w:rPr>
      </w:pPr>
      <w:r w:rsidRPr="00E066E5">
        <w:rPr>
          <w:bCs/>
          <w:sz w:val="28"/>
          <w:szCs w:val="28"/>
        </w:rPr>
        <w:t>The central and theoretical question that preoccupies intellectual property scholars is whether the right to ownership arises from the fact of actual use or from the administrative registration procedure. Legal systems</w:t>
      </w:r>
      <w:r w:rsidR="007B2BE7">
        <w:rPr>
          <w:bCs/>
          <w:sz w:val="28"/>
          <w:szCs w:val="28"/>
        </w:rPr>
        <w:t>, however,</w:t>
      </w:r>
      <w:r w:rsidRPr="00E066E5">
        <w:rPr>
          <w:bCs/>
          <w:sz w:val="28"/>
          <w:szCs w:val="28"/>
        </w:rPr>
        <w:t xml:space="preserve"> differ in the doctrinal characterization of the effect of use</w:t>
      </w:r>
      <w:r w:rsidR="008E605C">
        <w:rPr>
          <w:bCs/>
          <w:sz w:val="28"/>
          <w:szCs w:val="28"/>
        </w:rPr>
        <w:t xml:space="preserve"> </w:t>
      </w:r>
      <w:r w:rsidR="008E605C" w:rsidRPr="008E605C">
        <w:rPr>
          <w:bCs/>
          <w:sz w:val="28"/>
          <w:szCs w:val="28"/>
        </w:rPr>
        <w:t>(Almajbari, H. F. M., 2024)</w:t>
      </w:r>
      <w:r w:rsidR="007B2BE7">
        <w:rPr>
          <w:bCs/>
          <w:sz w:val="28"/>
          <w:szCs w:val="28"/>
        </w:rPr>
        <w:t xml:space="preserve">. </w:t>
      </w:r>
      <w:r w:rsidRPr="00E066E5">
        <w:rPr>
          <w:bCs/>
          <w:sz w:val="28"/>
          <w:szCs w:val="28"/>
        </w:rPr>
        <w:t>In the United Arab Emi</w:t>
      </w:r>
      <w:r w:rsidR="007B2BE7">
        <w:rPr>
          <w:bCs/>
          <w:sz w:val="28"/>
          <w:szCs w:val="28"/>
        </w:rPr>
        <w:t>rates and countries adopting a</w:t>
      </w:r>
      <w:r w:rsidRPr="00E066E5">
        <w:rPr>
          <w:bCs/>
          <w:sz w:val="28"/>
          <w:szCs w:val="28"/>
        </w:rPr>
        <w:t xml:space="preserve"> mixed system, the judi</w:t>
      </w:r>
      <w:r w:rsidR="007B2BE7">
        <w:rPr>
          <w:bCs/>
          <w:sz w:val="28"/>
          <w:szCs w:val="28"/>
        </w:rPr>
        <w:t>ciary has come up with the fact</w:t>
      </w:r>
      <w:r w:rsidRPr="00E066E5">
        <w:rPr>
          <w:bCs/>
          <w:sz w:val="28"/>
          <w:szCs w:val="28"/>
        </w:rPr>
        <w:t xml:space="preserve"> that the priority </w:t>
      </w:r>
      <w:r w:rsidR="007B2BE7">
        <w:rPr>
          <w:bCs/>
          <w:sz w:val="28"/>
          <w:szCs w:val="28"/>
        </w:rPr>
        <w:t>of actual and continuous use includes</w:t>
      </w:r>
      <w:r w:rsidRPr="00E066E5">
        <w:rPr>
          <w:bCs/>
          <w:sz w:val="28"/>
          <w:szCs w:val="28"/>
        </w:rPr>
        <w:t xml:space="preserve"> a substantive effect in creating the right itself, while registration is merely an administrative procedure that decides the existence of that right and reveals it formally to enable full protection against others and facilitate means of proof. </w:t>
      </w:r>
    </w:p>
    <w:p w14:paraId="387FF81C" w14:textId="3B795A75" w:rsidR="00311D5D" w:rsidRPr="00311D5D" w:rsidRDefault="00E066E5" w:rsidP="0003023A">
      <w:pPr>
        <w:tabs>
          <w:tab w:val="decimal" w:pos="8280"/>
        </w:tabs>
        <w:spacing w:line="276" w:lineRule="auto"/>
        <w:ind w:firstLine="540"/>
        <w:jc w:val="both"/>
        <w:rPr>
          <w:bCs/>
          <w:sz w:val="28"/>
          <w:szCs w:val="28"/>
        </w:rPr>
      </w:pPr>
      <w:r w:rsidRPr="00E066E5">
        <w:rPr>
          <w:bCs/>
          <w:sz w:val="28"/>
          <w:szCs w:val="28"/>
        </w:rPr>
        <w:t>The right to industrial property, like moral rights,</w:t>
      </w:r>
      <w:r w:rsidR="00311D5D">
        <w:rPr>
          <w:bCs/>
          <w:sz w:val="28"/>
          <w:szCs w:val="28"/>
        </w:rPr>
        <w:t xml:space="preserve"> </w:t>
      </w:r>
      <w:r w:rsidR="00311D5D" w:rsidRPr="00311D5D">
        <w:rPr>
          <w:bCs/>
          <w:sz w:val="28"/>
          <w:szCs w:val="28"/>
        </w:rPr>
        <w:t xml:space="preserve">is </w:t>
      </w:r>
      <w:r w:rsidR="0003023A">
        <w:rPr>
          <w:bCs/>
          <w:sz w:val="28"/>
          <w:szCs w:val="28"/>
        </w:rPr>
        <w:t xml:space="preserve">created </w:t>
      </w:r>
      <w:r w:rsidR="00311D5D" w:rsidRPr="00311D5D">
        <w:rPr>
          <w:bCs/>
          <w:sz w:val="28"/>
          <w:szCs w:val="28"/>
        </w:rPr>
        <w:t>when the mark is associated with a particular product or service in the consumer's mind as a result of actual use, and this psycho</w:t>
      </w:r>
      <w:r w:rsidR="0003023A">
        <w:rPr>
          <w:bCs/>
          <w:sz w:val="28"/>
          <w:szCs w:val="28"/>
        </w:rPr>
        <w:t>logical and economic integration</w:t>
      </w:r>
      <w:r w:rsidR="00311D5D" w:rsidRPr="00311D5D">
        <w:rPr>
          <w:bCs/>
          <w:sz w:val="28"/>
          <w:szCs w:val="28"/>
        </w:rPr>
        <w:t xml:space="preserve"> is what creates the financial value</w:t>
      </w:r>
      <w:r w:rsidR="0003023A">
        <w:rPr>
          <w:bCs/>
          <w:sz w:val="28"/>
          <w:szCs w:val="28"/>
        </w:rPr>
        <w:t xml:space="preserve"> / reputation</w:t>
      </w:r>
      <w:r w:rsidR="00311D5D" w:rsidRPr="00311D5D">
        <w:rPr>
          <w:bCs/>
          <w:sz w:val="28"/>
          <w:szCs w:val="28"/>
        </w:rPr>
        <w:t xml:space="preserve"> that the law aims to protect from theft or deception. Therefore, the prior user possesses a full and latent objective right, which entitles them to refute and remove the presumption of registration if they can prove their precedence by the available legal means, because registration cannot purify the mark from the defects of usurpation by its true owner</w:t>
      </w:r>
      <w:r w:rsidR="006972A1">
        <w:rPr>
          <w:bCs/>
          <w:sz w:val="28"/>
          <w:szCs w:val="28"/>
        </w:rPr>
        <w:t xml:space="preserve"> </w:t>
      </w:r>
      <w:r w:rsidR="006972A1" w:rsidRPr="006972A1">
        <w:rPr>
          <w:bCs/>
          <w:sz w:val="28"/>
          <w:szCs w:val="28"/>
        </w:rPr>
        <w:t>(Muhaisen, S. Z. &amp; Abd, S. O. 2014)</w:t>
      </w:r>
      <w:r w:rsidR="0003023A">
        <w:rPr>
          <w:bCs/>
          <w:sz w:val="28"/>
          <w:szCs w:val="28"/>
        </w:rPr>
        <w:t>.</w:t>
      </w:r>
      <w:r w:rsidR="00311D5D" w:rsidRPr="00311D5D">
        <w:rPr>
          <w:bCs/>
          <w:sz w:val="28"/>
          <w:szCs w:val="28"/>
        </w:rPr>
        <w:t xml:space="preserve"> </w:t>
      </w:r>
    </w:p>
    <w:p w14:paraId="205E0F55" w14:textId="77777777" w:rsidR="00311D5D" w:rsidRPr="0003023A" w:rsidRDefault="00311D5D" w:rsidP="00311D5D">
      <w:pPr>
        <w:tabs>
          <w:tab w:val="decimal" w:pos="8280"/>
        </w:tabs>
        <w:spacing w:line="276" w:lineRule="auto"/>
        <w:jc w:val="both"/>
        <w:rPr>
          <w:bCs/>
          <w:sz w:val="16"/>
          <w:szCs w:val="16"/>
        </w:rPr>
      </w:pPr>
    </w:p>
    <w:p w14:paraId="537EFC74" w14:textId="77777777" w:rsidR="0003023A" w:rsidRPr="0003023A" w:rsidRDefault="0003023A" w:rsidP="00311D5D">
      <w:pPr>
        <w:tabs>
          <w:tab w:val="decimal" w:pos="8280"/>
        </w:tabs>
        <w:spacing w:line="276" w:lineRule="auto"/>
        <w:jc w:val="both"/>
        <w:rPr>
          <w:b/>
          <w:sz w:val="32"/>
          <w:szCs w:val="32"/>
        </w:rPr>
      </w:pPr>
      <w:r w:rsidRPr="0003023A">
        <w:rPr>
          <w:b/>
          <w:sz w:val="32"/>
          <w:szCs w:val="32"/>
        </w:rPr>
        <w:t>2.6 Role of</w:t>
      </w:r>
      <w:r w:rsidR="00311D5D" w:rsidRPr="0003023A">
        <w:rPr>
          <w:b/>
          <w:sz w:val="32"/>
          <w:szCs w:val="32"/>
        </w:rPr>
        <w:t xml:space="preserve"> Judiciary in Establishing or Restricting the Priority of Use </w:t>
      </w:r>
    </w:p>
    <w:p w14:paraId="49A7E068" w14:textId="77777777" w:rsidR="00311D5D" w:rsidRPr="0003023A" w:rsidRDefault="00311D5D" w:rsidP="00311D5D">
      <w:pPr>
        <w:tabs>
          <w:tab w:val="decimal" w:pos="8280"/>
        </w:tabs>
        <w:spacing w:line="276" w:lineRule="auto"/>
        <w:jc w:val="both"/>
        <w:rPr>
          <w:bCs/>
          <w:sz w:val="16"/>
          <w:szCs w:val="16"/>
          <w:vertAlign w:val="subscript"/>
        </w:rPr>
      </w:pPr>
      <w:r w:rsidRPr="00311D5D">
        <w:rPr>
          <w:bCs/>
          <w:sz w:val="28"/>
          <w:szCs w:val="28"/>
        </w:rPr>
        <w:t xml:space="preserve"> </w:t>
      </w:r>
    </w:p>
    <w:p w14:paraId="4858CFB2" w14:textId="6BFF6E8A" w:rsidR="00311D5D" w:rsidRDefault="00311D5D" w:rsidP="00A81FFD">
      <w:pPr>
        <w:tabs>
          <w:tab w:val="decimal" w:pos="8280"/>
        </w:tabs>
        <w:spacing w:line="276" w:lineRule="auto"/>
        <w:ind w:firstLine="540"/>
        <w:jc w:val="both"/>
        <w:rPr>
          <w:bCs/>
          <w:sz w:val="28"/>
          <w:szCs w:val="28"/>
        </w:rPr>
      </w:pPr>
      <w:r w:rsidRPr="00311D5D">
        <w:rPr>
          <w:bCs/>
          <w:sz w:val="28"/>
          <w:szCs w:val="28"/>
        </w:rPr>
        <w:t>The judiciary i</w:t>
      </w:r>
      <w:r w:rsidR="00A81FFD">
        <w:rPr>
          <w:bCs/>
          <w:sz w:val="28"/>
          <w:szCs w:val="28"/>
        </w:rPr>
        <w:t>n the Arab world, especially</w:t>
      </w:r>
      <w:r w:rsidRPr="00311D5D">
        <w:rPr>
          <w:bCs/>
          <w:sz w:val="28"/>
          <w:szCs w:val="28"/>
        </w:rPr>
        <w:t xml:space="preserve"> higher courts in the UAE, Egypt, and Jordan, has played a heroic role in filling legislative gaps and interpreting texts flexibly to ensure the stability of legal positions and the consolidation of commercial justic</w:t>
      </w:r>
      <w:r w:rsidR="00A81FFD">
        <w:rPr>
          <w:bCs/>
          <w:sz w:val="28"/>
          <w:szCs w:val="28"/>
        </w:rPr>
        <w:t xml:space="preserve">e simultaneously. The </w:t>
      </w:r>
      <w:r w:rsidRPr="00311D5D">
        <w:rPr>
          <w:bCs/>
          <w:sz w:val="28"/>
          <w:szCs w:val="28"/>
        </w:rPr>
        <w:t>UAE judiciary</w:t>
      </w:r>
      <w:r w:rsidR="00A81FFD">
        <w:rPr>
          <w:bCs/>
          <w:sz w:val="28"/>
          <w:szCs w:val="28"/>
        </w:rPr>
        <w:t>, for example, has</w:t>
      </w:r>
      <w:r w:rsidRPr="00311D5D">
        <w:rPr>
          <w:bCs/>
          <w:sz w:val="28"/>
          <w:szCs w:val="28"/>
        </w:rPr>
        <w:t xml:space="preserve"> established the features of contemporary trademark jurisprudence</w:t>
      </w:r>
      <w:r w:rsidR="00A81FFD">
        <w:rPr>
          <w:bCs/>
          <w:sz w:val="28"/>
          <w:szCs w:val="28"/>
        </w:rPr>
        <w:t>, and confirming</w:t>
      </w:r>
      <w:r w:rsidRPr="00311D5D">
        <w:rPr>
          <w:bCs/>
          <w:sz w:val="28"/>
          <w:szCs w:val="28"/>
        </w:rPr>
        <w:t xml:space="preserve"> the dominance of substantive rights over procedural formality. </w:t>
      </w:r>
      <w:r w:rsidR="00A81FFD">
        <w:rPr>
          <w:bCs/>
          <w:sz w:val="28"/>
          <w:szCs w:val="28"/>
        </w:rPr>
        <w:t>It is worth noting that t</w:t>
      </w:r>
      <w:r w:rsidRPr="00311D5D">
        <w:rPr>
          <w:bCs/>
          <w:sz w:val="28"/>
          <w:szCs w:val="28"/>
        </w:rPr>
        <w:t>he UAE Federal Supreme Court issued a historic ruling in January 2026, decisively ending doubts about the relationship between registration and use</w:t>
      </w:r>
      <w:r w:rsidR="007461FA">
        <w:rPr>
          <w:bCs/>
          <w:sz w:val="28"/>
          <w:szCs w:val="28"/>
        </w:rPr>
        <w:t xml:space="preserve"> </w:t>
      </w:r>
      <w:r w:rsidR="007461FA" w:rsidRPr="007461FA">
        <w:rPr>
          <w:bCs/>
          <w:sz w:val="28"/>
          <w:szCs w:val="28"/>
        </w:rPr>
        <w:t xml:space="preserve"> (UAE Supreme Court, 2026)</w:t>
      </w:r>
      <w:r w:rsidR="00A81FFD">
        <w:rPr>
          <w:bCs/>
          <w:sz w:val="28"/>
          <w:szCs w:val="28"/>
        </w:rPr>
        <w:t>.</w:t>
      </w:r>
      <w:r w:rsidR="00F94C31">
        <w:rPr>
          <w:bCs/>
          <w:sz w:val="28"/>
          <w:szCs w:val="28"/>
        </w:rPr>
        <w:t xml:space="preserve"> Details related to this ruling can be summarized as follows:</w:t>
      </w:r>
    </w:p>
    <w:p w14:paraId="1224B84F" w14:textId="77777777" w:rsidR="00311D5D" w:rsidRPr="00A03821" w:rsidRDefault="00311D5D" w:rsidP="00311D5D">
      <w:pPr>
        <w:tabs>
          <w:tab w:val="decimal" w:pos="8280"/>
        </w:tabs>
        <w:spacing w:line="276" w:lineRule="auto"/>
        <w:jc w:val="both"/>
        <w:rPr>
          <w:bCs/>
          <w:sz w:val="16"/>
          <w:szCs w:val="16"/>
        </w:rPr>
      </w:pPr>
    </w:p>
    <w:p w14:paraId="25BF5D9B" w14:textId="77777777" w:rsidR="00A81FFD" w:rsidRDefault="00F94C31" w:rsidP="00A03821">
      <w:pPr>
        <w:pStyle w:val="ListParagraph"/>
        <w:numPr>
          <w:ilvl w:val="0"/>
          <w:numId w:val="37"/>
        </w:numPr>
        <w:tabs>
          <w:tab w:val="decimal" w:pos="8280"/>
        </w:tabs>
        <w:spacing w:line="276" w:lineRule="auto"/>
        <w:ind w:left="360"/>
        <w:jc w:val="both"/>
        <w:rPr>
          <w:bCs/>
          <w:sz w:val="28"/>
          <w:szCs w:val="28"/>
        </w:rPr>
      </w:pPr>
      <w:r>
        <w:rPr>
          <w:bCs/>
          <w:sz w:val="28"/>
          <w:szCs w:val="28"/>
        </w:rPr>
        <w:t>F</w:t>
      </w:r>
      <w:r w:rsidR="00311D5D" w:rsidRPr="00F94C31">
        <w:rPr>
          <w:bCs/>
          <w:sz w:val="28"/>
          <w:szCs w:val="28"/>
        </w:rPr>
        <w:t>acts</w:t>
      </w:r>
      <w:r>
        <w:rPr>
          <w:bCs/>
          <w:sz w:val="28"/>
          <w:szCs w:val="28"/>
        </w:rPr>
        <w:t xml:space="preserve"> regarding certain </w:t>
      </w:r>
      <w:r w:rsidR="00311D5D" w:rsidRPr="00F94C31">
        <w:rPr>
          <w:bCs/>
          <w:sz w:val="28"/>
          <w:szCs w:val="28"/>
        </w:rPr>
        <w:t>dispute: A company specialized in the advertising sector filed a lawsuit against a comp</w:t>
      </w:r>
      <w:r w:rsidR="00A03821">
        <w:rPr>
          <w:bCs/>
          <w:sz w:val="28"/>
          <w:szCs w:val="28"/>
        </w:rPr>
        <w:t>eting company, demanding that this company should stop using the</w:t>
      </w:r>
      <w:r w:rsidR="00311D5D" w:rsidRPr="00F94C31">
        <w:rPr>
          <w:bCs/>
          <w:sz w:val="28"/>
          <w:szCs w:val="28"/>
        </w:rPr>
        <w:t xml:space="preserve"> trademark and trade name </w:t>
      </w:r>
      <w:r w:rsidR="00A03821">
        <w:rPr>
          <w:bCs/>
          <w:sz w:val="28"/>
          <w:szCs w:val="28"/>
        </w:rPr>
        <w:t>that are similar to their</w:t>
      </w:r>
      <w:r w:rsidR="00311D5D" w:rsidRPr="00F94C31">
        <w:rPr>
          <w:bCs/>
          <w:sz w:val="28"/>
          <w:szCs w:val="28"/>
        </w:rPr>
        <w:t xml:space="preserve"> own, </w:t>
      </w:r>
      <w:r w:rsidR="00A03821">
        <w:rPr>
          <w:bCs/>
          <w:sz w:val="28"/>
          <w:szCs w:val="28"/>
        </w:rPr>
        <w:t xml:space="preserve">though being </w:t>
      </w:r>
      <w:r w:rsidR="00311D5D" w:rsidRPr="00F94C31">
        <w:rPr>
          <w:bCs/>
          <w:sz w:val="28"/>
          <w:szCs w:val="28"/>
        </w:rPr>
        <w:t>officially registered in the Ministry of Economy records in March 2022</w:t>
      </w:r>
      <w:r w:rsidR="00A03821">
        <w:rPr>
          <w:bCs/>
          <w:sz w:val="28"/>
          <w:szCs w:val="28"/>
        </w:rPr>
        <w:t>, and valid until 2032</w:t>
      </w:r>
      <w:r w:rsidR="00311D5D" w:rsidRPr="00F94C31">
        <w:rPr>
          <w:bCs/>
          <w:sz w:val="28"/>
          <w:szCs w:val="28"/>
        </w:rPr>
        <w:t xml:space="preserve">. </w:t>
      </w:r>
      <w:r w:rsidR="00A03821">
        <w:rPr>
          <w:bCs/>
          <w:sz w:val="28"/>
          <w:szCs w:val="28"/>
        </w:rPr>
        <w:t>Moreover, the registering company demands</w:t>
      </w:r>
      <w:r w:rsidR="00311D5D" w:rsidRPr="00F94C31">
        <w:rPr>
          <w:bCs/>
          <w:sz w:val="28"/>
          <w:szCs w:val="28"/>
        </w:rPr>
        <w:t xml:space="preserve"> compensation of 60,000 dirhams for damages caused by misleading the public and unfair competition. In response, the defendant company </w:t>
      </w:r>
      <w:r w:rsidR="00A03821">
        <w:rPr>
          <w:bCs/>
          <w:sz w:val="28"/>
          <w:szCs w:val="28"/>
        </w:rPr>
        <w:t xml:space="preserve">has </w:t>
      </w:r>
      <w:r w:rsidR="00311D5D" w:rsidRPr="00F94C31">
        <w:rPr>
          <w:bCs/>
          <w:sz w:val="28"/>
          <w:szCs w:val="28"/>
        </w:rPr>
        <w:lastRenderedPageBreak/>
        <w:t>filed a "counterclaim" demanding the cancellation and complete annulment of the first company’s registration, based on proving "priority of ownership and continuous use" of the disputed mark in the UAE market before the dates relied upon by the r</w:t>
      </w:r>
      <w:r w:rsidR="00A03821">
        <w:rPr>
          <w:bCs/>
          <w:sz w:val="28"/>
          <w:szCs w:val="28"/>
        </w:rPr>
        <w:t>egistering company, and demanding</w:t>
      </w:r>
      <w:r w:rsidR="00311D5D" w:rsidRPr="00F94C31">
        <w:rPr>
          <w:bCs/>
          <w:sz w:val="28"/>
          <w:szCs w:val="28"/>
        </w:rPr>
        <w:t xml:space="preserve"> compensation of 100,000 dirhams. </w:t>
      </w:r>
    </w:p>
    <w:p w14:paraId="3976D1E9" w14:textId="77777777" w:rsidR="00F94C31" w:rsidRPr="00A03821" w:rsidRDefault="00F94C31" w:rsidP="00F94C31">
      <w:pPr>
        <w:pStyle w:val="ListParagraph"/>
        <w:tabs>
          <w:tab w:val="decimal" w:pos="8280"/>
        </w:tabs>
        <w:spacing w:line="276" w:lineRule="auto"/>
        <w:ind w:left="360"/>
        <w:jc w:val="both"/>
        <w:rPr>
          <w:bCs/>
          <w:sz w:val="16"/>
          <w:szCs w:val="16"/>
        </w:rPr>
      </w:pPr>
    </w:p>
    <w:p w14:paraId="1E5F9FE1" w14:textId="77777777" w:rsidR="00312A17" w:rsidRDefault="00A03821" w:rsidP="00312A17">
      <w:pPr>
        <w:pStyle w:val="ListParagraph"/>
        <w:numPr>
          <w:ilvl w:val="0"/>
          <w:numId w:val="37"/>
        </w:numPr>
        <w:tabs>
          <w:tab w:val="decimal" w:pos="8280"/>
        </w:tabs>
        <w:spacing w:line="276" w:lineRule="auto"/>
        <w:ind w:left="360"/>
        <w:jc w:val="both"/>
        <w:rPr>
          <w:bCs/>
          <w:sz w:val="28"/>
          <w:szCs w:val="28"/>
        </w:rPr>
      </w:pPr>
      <w:r>
        <w:rPr>
          <w:bCs/>
          <w:sz w:val="28"/>
          <w:szCs w:val="28"/>
        </w:rPr>
        <w:t xml:space="preserve">Primary </w:t>
      </w:r>
      <w:r w:rsidR="00312A17">
        <w:rPr>
          <w:bCs/>
          <w:sz w:val="28"/>
          <w:szCs w:val="28"/>
        </w:rPr>
        <w:t>&amp; Appellate Rulings: The Court of First I</w:t>
      </w:r>
      <w:r w:rsidR="00311D5D" w:rsidRPr="00F94C31">
        <w:rPr>
          <w:bCs/>
          <w:sz w:val="28"/>
          <w:szCs w:val="28"/>
        </w:rPr>
        <w:t>nstance</w:t>
      </w:r>
      <w:r w:rsidR="00312A17">
        <w:rPr>
          <w:bCs/>
          <w:sz w:val="28"/>
          <w:szCs w:val="28"/>
        </w:rPr>
        <w:t xml:space="preserve">, </w:t>
      </w:r>
      <w:r w:rsidR="00311D5D" w:rsidRPr="00F94C31">
        <w:rPr>
          <w:bCs/>
          <w:sz w:val="28"/>
          <w:szCs w:val="28"/>
        </w:rPr>
        <w:t>after appointing an expert speci</w:t>
      </w:r>
      <w:r w:rsidR="00312A17">
        <w:rPr>
          <w:bCs/>
          <w:sz w:val="28"/>
          <w:szCs w:val="28"/>
        </w:rPr>
        <w:t>alized in intellectual property, has</w:t>
      </w:r>
      <w:r w:rsidR="00311D5D" w:rsidRPr="00F94C31">
        <w:rPr>
          <w:bCs/>
          <w:sz w:val="28"/>
          <w:szCs w:val="28"/>
        </w:rPr>
        <w:t xml:space="preserve"> ruled in favor of the registering company</w:t>
      </w:r>
      <w:r w:rsidR="00312A17">
        <w:rPr>
          <w:bCs/>
          <w:sz w:val="28"/>
          <w:szCs w:val="28"/>
        </w:rPr>
        <w:t>, obliging the other</w:t>
      </w:r>
      <w:r w:rsidR="00311D5D" w:rsidRPr="00F94C31">
        <w:rPr>
          <w:bCs/>
          <w:sz w:val="28"/>
          <w:szCs w:val="28"/>
        </w:rPr>
        <w:t xml:space="preserve"> company to stop us</w:t>
      </w:r>
      <w:r w:rsidR="00312A17">
        <w:rPr>
          <w:bCs/>
          <w:sz w:val="28"/>
          <w:szCs w:val="28"/>
        </w:rPr>
        <w:t xml:space="preserve">ing trademark in question, in addition to paying </w:t>
      </w:r>
      <w:r w:rsidR="00311D5D" w:rsidRPr="00F94C31">
        <w:rPr>
          <w:bCs/>
          <w:sz w:val="28"/>
          <w:szCs w:val="28"/>
        </w:rPr>
        <w:t xml:space="preserve">20,000 dirhams </w:t>
      </w:r>
      <w:r w:rsidR="00312A17">
        <w:rPr>
          <w:bCs/>
          <w:sz w:val="28"/>
          <w:szCs w:val="28"/>
        </w:rPr>
        <w:t>in compensation. This ruling has been strongly approved</w:t>
      </w:r>
      <w:r w:rsidR="00311D5D" w:rsidRPr="00F94C31">
        <w:rPr>
          <w:bCs/>
          <w:sz w:val="28"/>
          <w:szCs w:val="28"/>
        </w:rPr>
        <w:t xml:space="preserve"> by the Court of Appeal, based on the apparent record and the privilege of official registration. </w:t>
      </w:r>
    </w:p>
    <w:p w14:paraId="5585321C" w14:textId="77777777" w:rsidR="00312A17" w:rsidRPr="005F3395" w:rsidRDefault="00312A17" w:rsidP="00312A17">
      <w:pPr>
        <w:pStyle w:val="ListParagraph"/>
        <w:rPr>
          <w:bCs/>
          <w:sz w:val="16"/>
          <w:szCs w:val="16"/>
          <w:vertAlign w:val="subscript"/>
        </w:rPr>
      </w:pPr>
    </w:p>
    <w:p w14:paraId="71E03EED" w14:textId="77777777" w:rsidR="00E066E5" w:rsidRDefault="00312A17" w:rsidP="00312A17">
      <w:pPr>
        <w:pStyle w:val="ListParagraph"/>
        <w:numPr>
          <w:ilvl w:val="0"/>
          <w:numId w:val="37"/>
        </w:numPr>
        <w:tabs>
          <w:tab w:val="decimal" w:pos="8280"/>
        </w:tabs>
        <w:spacing w:line="276" w:lineRule="auto"/>
        <w:ind w:left="360"/>
        <w:jc w:val="both"/>
        <w:rPr>
          <w:bCs/>
          <w:sz w:val="28"/>
          <w:szCs w:val="28"/>
        </w:rPr>
      </w:pPr>
      <w:r>
        <w:rPr>
          <w:bCs/>
          <w:sz w:val="28"/>
          <w:szCs w:val="28"/>
        </w:rPr>
        <w:t>UAE Supreme Court ruling</w:t>
      </w:r>
      <w:r w:rsidR="00311D5D" w:rsidRPr="00F94C31">
        <w:rPr>
          <w:bCs/>
          <w:sz w:val="28"/>
          <w:szCs w:val="28"/>
        </w:rPr>
        <w:t xml:space="preserve">: After appealing the judgment, the UAE Supreme Court </w:t>
      </w:r>
      <w:r>
        <w:rPr>
          <w:bCs/>
          <w:sz w:val="28"/>
          <w:szCs w:val="28"/>
        </w:rPr>
        <w:t xml:space="preserve">has </w:t>
      </w:r>
      <w:r w:rsidR="00311D5D" w:rsidRPr="00F94C31">
        <w:rPr>
          <w:bCs/>
          <w:sz w:val="28"/>
          <w:szCs w:val="28"/>
        </w:rPr>
        <w:t>fundamentally overturned those previous rulings, establishing a clear and decisive principle stating that "the criterion for proving ownership of a trademark is priority in use, and registration as a principle does not create ownership rights but merely confirms their existence"</w:t>
      </w:r>
      <w:r>
        <w:rPr>
          <w:bCs/>
          <w:sz w:val="28"/>
          <w:szCs w:val="28"/>
        </w:rPr>
        <w:t>.</w:t>
      </w:r>
      <w:r>
        <w:rPr>
          <w:rStyle w:val="FootnoteReference"/>
          <w:bCs/>
          <w:sz w:val="28"/>
          <w:szCs w:val="28"/>
        </w:rPr>
        <w:footnoteReference w:id="9"/>
      </w:r>
      <w:r w:rsidR="003F35BF">
        <w:rPr>
          <w:bCs/>
          <w:sz w:val="28"/>
          <w:szCs w:val="28"/>
        </w:rPr>
        <w:t xml:space="preserve"> </w:t>
      </w:r>
      <w:r w:rsidR="00311D5D" w:rsidRPr="00F94C31">
        <w:rPr>
          <w:bCs/>
          <w:sz w:val="28"/>
          <w:szCs w:val="28"/>
        </w:rPr>
        <w:t xml:space="preserve">The Supreme Court </w:t>
      </w:r>
      <w:r w:rsidR="003F35BF">
        <w:rPr>
          <w:bCs/>
          <w:sz w:val="28"/>
          <w:szCs w:val="28"/>
        </w:rPr>
        <w:t xml:space="preserve">has </w:t>
      </w:r>
      <w:r w:rsidR="00311D5D" w:rsidRPr="00F94C31">
        <w:rPr>
          <w:bCs/>
          <w:sz w:val="28"/>
          <w:szCs w:val="28"/>
        </w:rPr>
        <w:t xml:space="preserve">confirmed that any concerned party </w:t>
      </w:r>
      <w:r w:rsidR="003F35BF">
        <w:rPr>
          <w:bCs/>
          <w:sz w:val="28"/>
          <w:szCs w:val="28"/>
        </w:rPr>
        <w:t>does have</w:t>
      </w:r>
      <w:r w:rsidR="00311D5D" w:rsidRPr="00F94C31">
        <w:rPr>
          <w:bCs/>
          <w:sz w:val="28"/>
          <w:szCs w:val="28"/>
        </w:rPr>
        <w:t xml:space="preserve"> the genuine right to demand the cancellation of a mark registered without rightful cause whenever they can prove actual priority in continuous use.</w:t>
      </w:r>
    </w:p>
    <w:p w14:paraId="42DAF35F" w14:textId="77777777" w:rsidR="003F35BF" w:rsidRPr="005F3395" w:rsidRDefault="003F35BF" w:rsidP="003F35BF">
      <w:pPr>
        <w:pStyle w:val="ListParagraph"/>
        <w:rPr>
          <w:bCs/>
          <w:sz w:val="16"/>
          <w:szCs w:val="16"/>
          <w:vertAlign w:val="subscript"/>
        </w:rPr>
      </w:pPr>
    </w:p>
    <w:p w14:paraId="6AB5C9A8" w14:textId="081C9123" w:rsidR="00BD72D0" w:rsidRDefault="00311D5D" w:rsidP="00BF73C5">
      <w:pPr>
        <w:tabs>
          <w:tab w:val="decimal" w:pos="8280"/>
        </w:tabs>
        <w:spacing w:line="276" w:lineRule="auto"/>
        <w:ind w:firstLine="540"/>
        <w:jc w:val="both"/>
        <w:rPr>
          <w:bCs/>
          <w:sz w:val="28"/>
          <w:szCs w:val="28"/>
        </w:rPr>
      </w:pPr>
      <w:r w:rsidRPr="00311D5D">
        <w:rPr>
          <w:bCs/>
          <w:sz w:val="28"/>
          <w:szCs w:val="28"/>
        </w:rPr>
        <w:t>This very recent ruling aligns with and crowns an old and solid judicial path initiated by the Dubai Court of Cassation in its famous ruling issued on</w:t>
      </w:r>
      <w:r w:rsidR="00BD72D0">
        <w:rPr>
          <w:bCs/>
          <w:sz w:val="28"/>
          <w:szCs w:val="28"/>
        </w:rPr>
        <w:t xml:space="preserve"> 30</w:t>
      </w:r>
      <w:r w:rsidR="00BD72D0" w:rsidRPr="00BD72D0">
        <w:rPr>
          <w:bCs/>
          <w:sz w:val="28"/>
          <w:szCs w:val="28"/>
          <w:vertAlign w:val="superscript"/>
        </w:rPr>
        <w:t>th</w:t>
      </w:r>
      <w:r w:rsidR="005F3395">
        <w:rPr>
          <w:bCs/>
          <w:sz w:val="28"/>
          <w:szCs w:val="28"/>
        </w:rPr>
        <w:t xml:space="preserve"> November 2003, </w:t>
      </w:r>
      <w:r w:rsidR="00BD72D0">
        <w:rPr>
          <w:bCs/>
          <w:sz w:val="28"/>
          <w:szCs w:val="28"/>
        </w:rPr>
        <w:t>C</w:t>
      </w:r>
      <w:r w:rsidRPr="00311D5D">
        <w:rPr>
          <w:bCs/>
          <w:sz w:val="28"/>
          <w:szCs w:val="28"/>
        </w:rPr>
        <w:t xml:space="preserve">ase </w:t>
      </w:r>
      <w:r w:rsidR="005F3395">
        <w:rPr>
          <w:bCs/>
          <w:sz w:val="28"/>
          <w:szCs w:val="28"/>
        </w:rPr>
        <w:t xml:space="preserve">  No. 260/2003</w:t>
      </w:r>
      <w:r w:rsidR="00BD72D0">
        <w:rPr>
          <w:bCs/>
          <w:sz w:val="28"/>
          <w:szCs w:val="28"/>
        </w:rPr>
        <w:t>, which has clearly stated</w:t>
      </w:r>
      <w:r w:rsidRPr="00311D5D">
        <w:rPr>
          <w:bCs/>
          <w:sz w:val="28"/>
          <w:szCs w:val="28"/>
        </w:rPr>
        <w:t xml:space="preserve"> that ownership is established by use and not only by registration, granting prior unregistered users the right to challenge within the first five years </w:t>
      </w:r>
      <w:r w:rsidRPr="005F3395">
        <w:rPr>
          <w:bCs/>
          <w:sz w:val="28"/>
          <w:szCs w:val="28"/>
        </w:rPr>
        <w:t>from the date of the opponent’s registration</w:t>
      </w:r>
      <w:r w:rsidR="00BF73C5">
        <w:rPr>
          <w:bCs/>
          <w:sz w:val="28"/>
          <w:szCs w:val="28"/>
        </w:rPr>
        <w:t xml:space="preserve"> </w:t>
      </w:r>
      <w:r w:rsidR="00BF73C5" w:rsidRPr="00BF73C5">
        <w:rPr>
          <w:bCs/>
          <w:sz w:val="28"/>
          <w:szCs w:val="28"/>
        </w:rPr>
        <w:t>(Al Tamimi &amp; Company, 2012)</w:t>
      </w:r>
      <w:r w:rsidR="00BD72D0" w:rsidRPr="005F3395">
        <w:rPr>
          <w:bCs/>
          <w:sz w:val="28"/>
          <w:szCs w:val="28"/>
        </w:rPr>
        <w:t>.</w:t>
      </w:r>
    </w:p>
    <w:p w14:paraId="3DA41C1F" w14:textId="77777777" w:rsidR="00BF73C5" w:rsidRDefault="00BF73C5" w:rsidP="00BF73C5">
      <w:pPr>
        <w:tabs>
          <w:tab w:val="decimal" w:pos="8280"/>
        </w:tabs>
        <w:spacing w:line="276" w:lineRule="auto"/>
        <w:ind w:firstLine="540"/>
        <w:jc w:val="both"/>
        <w:rPr>
          <w:bCs/>
          <w:sz w:val="28"/>
          <w:szCs w:val="28"/>
        </w:rPr>
      </w:pPr>
    </w:p>
    <w:p w14:paraId="5B0622F2" w14:textId="77777777" w:rsidR="005F3395" w:rsidRPr="005F3395" w:rsidRDefault="005F3395" w:rsidP="00BD72D0">
      <w:pPr>
        <w:tabs>
          <w:tab w:val="decimal" w:pos="8280"/>
        </w:tabs>
        <w:spacing w:line="276" w:lineRule="auto"/>
        <w:jc w:val="both"/>
        <w:rPr>
          <w:b/>
          <w:sz w:val="32"/>
          <w:szCs w:val="32"/>
        </w:rPr>
      </w:pPr>
      <w:r w:rsidRPr="005F3395">
        <w:rPr>
          <w:b/>
          <w:sz w:val="32"/>
          <w:szCs w:val="32"/>
        </w:rPr>
        <w:t xml:space="preserve">2.6.1 </w:t>
      </w:r>
      <w:r w:rsidR="00311D5D" w:rsidRPr="005F3395">
        <w:rPr>
          <w:b/>
          <w:sz w:val="32"/>
          <w:szCs w:val="32"/>
        </w:rPr>
        <w:t xml:space="preserve">The position of the Egyptian and Jordanian judiciary </w:t>
      </w:r>
    </w:p>
    <w:p w14:paraId="157793DB" w14:textId="77777777" w:rsidR="005F3395" w:rsidRDefault="005F3395" w:rsidP="00BD72D0">
      <w:pPr>
        <w:tabs>
          <w:tab w:val="decimal" w:pos="8280"/>
        </w:tabs>
        <w:spacing w:line="276" w:lineRule="auto"/>
        <w:jc w:val="both"/>
        <w:rPr>
          <w:bCs/>
          <w:sz w:val="28"/>
          <w:szCs w:val="28"/>
        </w:rPr>
      </w:pPr>
    </w:p>
    <w:p w14:paraId="276FE84A" w14:textId="77777777" w:rsidR="00C308CB" w:rsidRDefault="00311D5D" w:rsidP="00C308CB">
      <w:pPr>
        <w:tabs>
          <w:tab w:val="decimal" w:pos="8280"/>
        </w:tabs>
        <w:spacing w:line="276" w:lineRule="auto"/>
        <w:ind w:firstLine="540"/>
        <w:jc w:val="both"/>
        <w:rPr>
          <w:bCs/>
          <w:sz w:val="28"/>
          <w:szCs w:val="28"/>
        </w:rPr>
      </w:pPr>
      <w:r w:rsidRPr="00311D5D">
        <w:rPr>
          <w:bCs/>
          <w:sz w:val="28"/>
          <w:szCs w:val="28"/>
        </w:rPr>
        <w:t>The</w:t>
      </w:r>
      <w:r w:rsidR="005F3395">
        <w:rPr>
          <w:bCs/>
          <w:sz w:val="28"/>
          <w:szCs w:val="28"/>
        </w:rPr>
        <w:t xml:space="preserve"> rulings of the </w:t>
      </w:r>
      <w:r w:rsidRPr="00311D5D">
        <w:rPr>
          <w:bCs/>
          <w:sz w:val="28"/>
          <w:szCs w:val="28"/>
        </w:rPr>
        <w:t>Egypt</w:t>
      </w:r>
      <w:r w:rsidR="005F3395">
        <w:rPr>
          <w:bCs/>
          <w:sz w:val="28"/>
          <w:szCs w:val="28"/>
        </w:rPr>
        <w:t xml:space="preserve">ian Court of Cassation have consistently confirmed </w:t>
      </w:r>
      <w:r w:rsidRPr="00311D5D">
        <w:rPr>
          <w:bCs/>
          <w:sz w:val="28"/>
          <w:szCs w:val="28"/>
        </w:rPr>
        <w:t xml:space="preserve">that </w:t>
      </w:r>
      <w:r w:rsidR="005F3395">
        <w:rPr>
          <w:bCs/>
          <w:sz w:val="28"/>
          <w:szCs w:val="28"/>
        </w:rPr>
        <w:t xml:space="preserve">a </w:t>
      </w:r>
      <w:r w:rsidRPr="00311D5D">
        <w:rPr>
          <w:bCs/>
          <w:sz w:val="28"/>
          <w:szCs w:val="28"/>
        </w:rPr>
        <w:t>trademark ownership is never based solely on the mere adminis</w:t>
      </w:r>
      <w:r w:rsidR="00C308CB">
        <w:rPr>
          <w:bCs/>
          <w:sz w:val="28"/>
          <w:szCs w:val="28"/>
        </w:rPr>
        <w:t>trative registration process, since</w:t>
      </w:r>
      <w:r w:rsidRPr="00311D5D">
        <w:rPr>
          <w:bCs/>
          <w:sz w:val="28"/>
          <w:szCs w:val="28"/>
        </w:rPr>
        <w:t xml:space="preserve"> registration "does not in itself create an objective right in the ownership of the trademark, </w:t>
      </w:r>
      <w:r w:rsidR="00C308CB">
        <w:rPr>
          <w:bCs/>
          <w:sz w:val="28"/>
          <w:szCs w:val="28"/>
        </w:rPr>
        <w:t>and it is created indeed from the use of this</w:t>
      </w:r>
      <w:r w:rsidRPr="00311D5D">
        <w:rPr>
          <w:bCs/>
          <w:sz w:val="28"/>
          <w:szCs w:val="28"/>
        </w:rPr>
        <w:t xml:space="preserve"> mark, and registration only serves as a legal presumption of this right that may be rebutted and overturned by anyone claiming prior use of the mark, unless it has been used continuously for at least five years." </w:t>
      </w:r>
    </w:p>
    <w:p w14:paraId="0B2F2D69" w14:textId="77777777" w:rsidR="00311D5D" w:rsidRPr="00311D5D" w:rsidRDefault="00C308CB" w:rsidP="00C308CB">
      <w:pPr>
        <w:tabs>
          <w:tab w:val="decimal" w:pos="8280"/>
        </w:tabs>
        <w:spacing w:line="276" w:lineRule="auto"/>
        <w:ind w:firstLine="540"/>
        <w:jc w:val="both"/>
        <w:rPr>
          <w:bCs/>
          <w:sz w:val="28"/>
          <w:szCs w:val="28"/>
        </w:rPr>
      </w:pPr>
      <w:r>
        <w:rPr>
          <w:bCs/>
          <w:sz w:val="28"/>
          <w:szCs w:val="28"/>
        </w:rPr>
        <w:t xml:space="preserve">In a relatively recent ruling, </w:t>
      </w:r>
      <w:r w:rsidR="00311D5D" w:rsidRPr="00311D5D">
        <w:rPr>
          <w:bCs/>
          <w:sz w:val="28"/>
          <w:szCs w:val="28"/>
        </w:rPr>
        <w:t>appeal no. 8</w:t>
      </w:r>
      <w:r>
        <w:rPr>
          <w:bCs/>
          <w:sz w:val="28"/>
          <w:szCs w:val="28"/>
        </w:rPr>
        <w:t>108 of year 91 Q issued in 2022</w:t>
      </w:r>
      <w:r w:rsidR="00311D5D" w:rsidRPr="00311D5D">
        <w:rPr>
          <w:bCs/>
          <w:sz w:val="28"/>
          <w:szCs w:val="28"/>
        </w:rPr>
        <w:t>, the court confirmed the rejection of a company’s claim seeking cancellation due to the appellant’s failure to submit conclusive and decisive documents proving prior actual use in the Arab Republic of Egypt before the respondent’s</w:t>
      </w:r>
      <w:r>
        <w:rPr>
          <w:bCs/>
          <w:sz w:val="28"/>
          <w:szCs w:val="28"/>
        </w:rPr>
        <w:t xml:space="preserve"> use and registration, confirming</w:t>
      </w:r>
      <w:r w:rsidR="00311D5D" w:rsidRPr="00311D5D">
        <w:rPr>
          <w:bCs/>
          <w:sz w:val="28"/>
          <w:szCs w:val="28"/>
        </w:rPr>
        <w:t xml:space="preserve"> that proof </w:t>
      </w:r>
      <w:r w:rsidRPr="00311D5D">
        <w:rPr>
          <w:bCs/>
          <w:sz w:val="28"/>
          <w:szCs w:val="28"/>
        </w:rPr>
        <w:t xml:space="preserve">in </w:t>
      </w:r>
      <w:r>
        <w:rPr>
          <w:bCs/>
          <w:sz w:val="28"/>
          <w:szCs w:val="28"/>
        </w:rPr>
        <w:lastRenderedPageBreak/>
        <w:t>priority</w:t>
      </w:r>
      <w:r w:rsidR="00311D5D" w:rsidRPr="00311D5D">
        <w:rPr>
          <w:bCs/>
          <w:sz w:val="28"/>
          <w:szCs w:val="28"/>
        </w:rPr>
        <w:t xml:space="preserve"> cases must be definitive and certain, leaving no room for doubt.</w:t>
      </w:r>
      <w:r w:rsidR="00311D5D">
        <w:rPr>
          <w:bCs/>
          <w:sz w:val="28"/>
          <w:szCs w:val="28"/>
        </w:rPr>
        <w:t xml:space="preserve"> </w:t>
      </w:r>
      <w:r>
        <w:rPr>
          <w:bCs/>
          <w:sz w:val="28"/>
          <w:szCs w:val="28"/>
        </w:rPr>
        <w:t>On the other hand, t</w:t>
      </w:r>
      <w:r w:rsidR="00311D5D" w:rsidRPr="00311D5D">
        <w:rPr>
          <w:bCs/>
          <w:sz w:val="28"/>
          <w:szCs w:val="28"/>
        </w:rPr>
        <w:t xml:space="preserve">he Jordanian Supreme Court of Justice </w:t>
      </w:r>
      <w:r>
        <w:rPr>
          <w:bCs/>
          <w:sz w:val="28"/>
          <w:szCs w:val="28"/>
        </w:rPr>
        <w:t xml:space="preserve">has </w:t>
      </w:r>
      <w:r w:rsidR="00311D5D" w:rsidRPr="00311D5D">
        <w:rPr>
          <w:bCs/>
          <w:sz w:val="28"/>
          <w:szCs w:val="28"/>
        </w:rPr>
        <w:t>confirmed, in a series of its rulings, that the registration of a trademark is merely a "rebuttable presumption that can be overturned by contrary evidence." The court stipulated that for a cancellation request to succeed, combined conditions must be met: first, the existence of a substantial similarity leading to public deception; second, proof of prior use of the first mark compared to the date of use and registration of the second mark; and third, that a full five-year period has not elapsed since the contested registration to avoid the statute of limitations extinguishing the right.</w:t>
      </w:r>
    </w:p>
    <w:p w14:paraId="2BEDD669" w14:textId="77777777" w:rsidR="00311D5D" w:rsidRPr="00311D5D" w:rsidRDefault="00311D5D" w:rsidP="00311D5D">
      <w:pPr>
        <w:tabs>
          <w:tab w:val="decimal" w:pos="8280"/>
        </w:tabs>
        <w:spacing w:line="276" w:lineRule="auto"/>
        <w:jc w:val="both"/>
        <w:rPr>
          <w:bCs/>
          <w:sz w:val="28"/>
          <w:szCs w:val="28"/>
        </w:rPr>
      </w:pPr>
    </w:p>
    <w:p w14:paraId="5E4735A3" w14:textId="77777777" w:rsidR="00311D5D" w:rsidRPr="00C308CB" w:rsidRDefault="00F94C31" w:rsidP="00311D5D">
      <w:pPr>
        <w:tabs>
          <w:tab w:val="decimal" w:pos="8280"/>
        </w:tabs>
        <w:spacing w:line="276" w:lineRule="auto"/>
        <w:jc w:val="both"/>
        <w:rPr>
          <w:b/>
          <w:sz w:val="32"/>
          <w:szCs w:val="32"/>
        </w:rPr>
      </w:pPr>
      <w:r w:rsidRPr="00C308CB">
        <w:rPr>
          <w:b/>
          <w:sz w:val="32"/>
          <w:szCs w:val="32"/>
        </w:rPr>
        <w:t>2.7</w:t>
      </w:r>
      <w:r w:rsidR="00311D5D" w:rsidRPr="00C308CB">
        <w:rPr>
          <w:b/>
          <w:sz w:val="32"/>
          <w:szCs w:val="32"/>
        </w:rPr>
        <w:t xml:space="preserve"> Definition of Registration in the Trademark System</w:t>
      </w:r>
    </w:p>
    <w:p w14:paraId="6CE19098" w14:textId="77777777" w:rsidR="00C308CB" w:rsidRDefault="00C308CB" w:rsidP="00311D5D">
      <w:pPr>
        <w:tabs>
          <w:tab w:val="decimal" w:pos="8280"/>
        </w:tabs>
        <w:spacing w:line="276" w:lineRule="auto"/>
        <w:jc w:val="both"/>
        <w:rPr>
          <w:bCs/>
          <w:sz w:val="28"/>
          <w:szCs w:val="28"/>
        </w:rPr>
      </w:pPr>
    </w:p>
    <w:p w14:paraId="24750404" w14:textId="77777777" w:rsidR="00311D5D" w:rsidRPr="00311D5D" w:rsidRDefault="00311D5D" w:rsidP="008905CD">
      <w:pPr>
        <w:tabs>
          <w:tab w:val="decimal" w:pos="8280"/>
        </w:tabs>
        <w:spacing w:line="276" w:lineRule="auto"/>
        <w:ind w:firstLine="540"/>
        <w:jc w:val="both"/>
        <w:rPr>
          <w:bCs/>
          <w:sz w:val="28"/>
          <w:szCs w:val="28"/>
        </w:rPr>
      </w:pPr>
      <w:r w:rsidRPr="00311D5D">
        <w:rPr>
          <w:bCs/>
          <w:sz w:val="28"/>
          <w:szCs w:val="28"/>
        </w:rPr>
        <w:t>Registration in the trademark system is defined as the official administrative and legal procedure</w:t>
      </w:r>
      <w:r w:rsidR="00C33392">
        <w:rPr>
          <w:bCs/>
          <w:sz w:val="28"/>
          <w:szCs w:val="28"/>
        </w:rPr>
        <w:t xml:space="preserve"> by which the interested party, </w:t>
      </w:r>
      <w:r w:rsidRPr="00311D5D">
        <w:rPr>
          <w:bCs/>
          <w:sz w:val="28"/>
          <w:szCs w:val="28"/>
        </w:rPr>
        <w:t>wh</w:t>
      </w:r>
      <w:r w:rsidR="00C33392">
        <w:rPr>
          <w:bCs/>
          <w:sz w:val="28"/>
          <w:szCs w:val="28"/>
        </w:rPr>
        <w:t>ether a natural or legal person,</w:t>
      </w:r>
      <w:r w:rsidRPr="00311D5D">
        <w:rPr>
          <w:bCs/>
          <w:sz w:val="28"/>
          <w:szCs w:val="28"/>
        </w:rPr>
        <w:t xml:space="preserve"> deposits their trademark with the </w:t>
      </w:r>
      <w:r w:rsidR="00C33392">
        <w:rPr>
          <w:bCs/>
          <w:sz w:val="28"/>
          <w:szCs w:val="28"/>
        </w:rPr>
        <w:t xml:space="preserve">competent government authority, being </w:t>
      </w:r>
      <w:r w:rsidRPr="00311D5D">
        <w:rPr>
          <w:bCs/>
          <w:sz w:val="28"/>
          <w:szCs w:val="28"/>
        </w:rPr>
        <w:t>the Ministry of Econ</w:t>
      </w:r>
      <w:r w:rsidR="00C33392">
        <w:rPr>
          <w:bCs/>
          <w:sz w:val="28"/>
          <w:szCs w:val="28"/>
        </w:rPr>
        <w:t>omy in the United Arab Emirates, following</w:t>
      </w:r>
      <w:r w:rsidRPr="00311D5D">
        <w:rPr>
          <w:bCs/>
          <w:sz w:val="28"/>
          <w:szCs w:val="28"/>
        </w:rPr>
        <w:t xml:space="preserve"> the formalities and procedures specified by laws</w:t>
      </w:r>
      <w:r w:rsidR="00C33392">
        <w:rPr>
          <w:bCs/>
          <w:sz w:val="28"/>
          <w:szCs w:val="28"/>
        </w:rPr>
        <w:t xml:space="preserve"> and executive regulations. These</w:t>
      </w:r>
      <w:r w:rsidRPr="00311D5D">
        <w:rPr>
          <w:bCs/>
          <w:sz w:val="28"/>
          <w:szCs w:val="28"/>
        </w:rPr>
        <w:t xml:space="preserve"> procedure</w:t>
      </w:r>
      <w:r w:rsidR="00C33392">
        <w:rPr>
          <w:bCs/>
          <w:sz w:val="28"/>
          <w:szCs w:val="28"/>
        </w:rPr>
        <w:t>s include</w:t>
      </w:r>
      <w:r w:rsidRPr="00311D5D">
        <w:rPr>
          <w:bCs/>
          <w:sz w:val="28"/>
          <w:szCs w:val="28"/>
        </w:rPr>
        <w:t xml:space="preserve"> the examination of the application by specialized examiners to verify the availability of substantive conditions</w:t>
      </w:r>
      <w:r w:rsidR="00C33392">
        <w:rPr>
          <w:bCs/>
          <w:sz w:val="28"/>
          <w:szCs w:val="28"/>
        </w:rPr>
        <w:t xml:space="preserve">, </w:t>
      </w:r>
      <w:r w:rsidRPr="00311D5D">
        <w:rPr>
          <w:bCs/>
          <w:sz w:val="28"/>
          <w:szCs w:val="28"/>
        </w:rPr>
        <w:t>such as the di</w:t>
      </w:r>
      <w:r w:rsidR="00C33392">
        <w:rPr>
          <w:bCs/>
          <w:sz w:val="28"/>
          <w:szCs w:val="28"/>
        </w:rPr>
        <w:t>stinctive character of the mark,</w:t>
      </w:r>
      <w:r w:rsidRPr="00311D5D">
        <w:rPr>
          <w:bCs/>
          <w:sz w:val="28"/>
          <w:szCs w:val="28"/>
        </w:rPr>
        <w:t xml:space="preserve"> and the absence of absolute prohibitions</w:t>
      </w:r>
      <w:r w:rsidR="00C33392">
        <w:rPr>
          <w:bCs/>
          <w:sz w:val="28"/>
          <w:szCs w:val="28"/>
        </w:rPr>
        <w:t xml:space="preserve">, including </w:t>
      </w:r>
      <w:r w:rsidRPr="00311D5D">
        <w:rPr>
          <w:bCs/>
          <w:sz w:val="28"/>
          <w:szCs w:val="28"/>
        </w:rPr>
        <w:t>the mark being free of symbols violating public morals or official state emblems stipulated in Article</w:t>
      </w:r>
      <w:r w:rsidR="00C33392">
        <w:rPr>
          <w:bCs/>
          <w:sz w:val="28"/>
          <w:szCs w:val="28"/>
        </w:rPr>
        <w:t xml:space="preserve"> No.</w:t>
      </w:r>
      <w:r w:rsidRPr="00311D5D">
        <w:rPr>
          <w:bCs/>
          <w:sz w:val="28"/>
          <w:szCs w:val="28"/>
        </w:rPr>
        <w:t xml:space="preserve"> </w:t>
      </w:r>
      <w:r w:rsidR="00C33392">
        <w:rPr>
          <w:bCs/>
          <w:sz w:val="28"/>
          <w:szCs w:val="28"/>
        </w:rPr>
        <w:t>03 of the law</w:t>
      </w:r>
      <w:r w:rsidRPr="00311D5D">
        <w:rPr>
          <w:bCs/>
          <w:sz w:val="28"/>
          <w:szCs w:val="28"/>
        </w:rPr>
        <w:t xml:space="preserve">, </w:t>
      </w:r>
      <w:r w:rsidR="008905CD">
        <w:rPr>
          <w:bCs/>
          <w:sz w:val="28"/>
          <w:szCs w:val="28"/>
        </w:rPr>
        <w:t xml:space="preserve">in addition to </w:t>
      </w:r>
      <w:r w:rsidRPr="00311D5D">
        <w:rPr>
          <w:bCs/>
          <w:sz w:val="28"/>
          <w:szCs w:val="28"/>
        </w:rPr>
        <w:t>relative prohibitions</w:t>
      </w:r>
      <w:r w:rsidR="008905CD">
        <w:rPr>
          <w:bCs/>
          <w:sz w:val="28"/>
          <w:szCs w:val="28"/>
        </w:rPr>
        <w:t xml:space="preserve">, like for example, </w:t>
      </w:r>
      <w:r w:rsidRPr="00311D5D">
        <w:rPr>
          <w:bCs/>
          <w:sz w:val="28"/>
          <w:szCs w:val="28"/>
        </w:rPr>
        <w:t>the mark not matching marks previously de</w:t>
      </w:r>
      <w:r w:rsidR="008905CD">
        <w:rPr>
          <w:bCs/>
          <w:sz w:val="28"/>
          <w:szCs w:val="28"/>
        </w:rPr>
        <w:t>posited or registered by others</w:t>
      </w:r>
      <w:r w:rsidRPr="00311D5D">
        <w:rPr>
          <w:bCs/>
          <w:sz w:val="28"/>
          <w:szCs w:val="28"/>
        </w:rPr>
        <w:t>. After passing the examination,</w:t>
      </w:r>
      <w:r>
        <w:rPr>
          <w:bCs/>
          <w:sz w:val="28"/>
          <w:szCs w:val="28"/>
        </w:rPr>
        <w:t xml:space="preserve"> </w:t>
      </w:r>
      <w:r w:rsidR="008905CD">
        <w:rPr>
          <w:bCs/>
          <w:sz w:val="28"/>
          <w:szCs w:val="28"/>
        </w:rPr>
        <w:t>t</w:t>
      </w:r>
      <w:r w:rsidRPr="00311D5D">
        <w:rPr>
          <w:bCs/>
          <w:sz w:val="28"/>
          <w:szCs w:val="28"/>
        </w:rPr>
        <w:t>he trademark is published in the official bulletin or the designated newspaper t</w:t>
      </w:r>
      <w:r w:rsidR="008905CD">
        <w:rPr>
          <w:bCs/>
          <w:sz w:val="28"/>
          <w:szCs w:val="28"/>
        </w:rPr>
        <w:t>o provide the public as well as</w:t>
      </w:r>
      <w:r w:rsidRPr="00311D5D">
        <w:rPr>
          <w:bCs/>
          <w:sz w:val="28"/>
          <w:szCs w:val="28"/>
        </w:rPr>
        <w:t xml:space="preserve"> stakeholders the opportunity to submit their objections w</w:t>
      </w:r>
      <w:r w:rsidR="008905CD">
        <w:rPr>
          <w:bCs/>
          <w:sz w:val="28"/>
          <w:szCs w:val="28"/>
        </w:rPr>
        <w:t>ithin a specified legal period, not exceeding 30 days</w:t>
      </w:r>
      <w:r w:rsidRPr="00311D5D">
        <w:rPr>
          <w:bCs/>
          <w:sz w:val="28"/>
          <w:szCs w:val="28"/>
        </w:rPr>
        <w:t>. If the opposition period passes without issue, the trademark is registered in the "Trademark Register" and an official registration certificate is issued, including the owner's details, registration number, filing date, and the class of goods or services designated for the trademark according to the Nice Classification</w:t>
      </w:r>
      <w:r w:rsidR="008905CD">
        <w:rPr>
          <w:bCs/>
          <w:sz w:val="28"/>
          <w:szCs w:val="28"/>
        </w:rPr>
        <w:t>.</w:t>
      </w:r>
      <w:r w:rsidR="008905CD">
        <w:rPr>
          <w:rStyle w:val="FootnoteReference"/>
          <w:bCs/>
          <w:sz w:val="28"/>
          <w:szCs w:val="28"/>
        </w:rPr>
        <w:footnoteReference w:id="10"/>
      </w:r>
    </w:p>
    <w:p w14:paraId="3827DD67" w14:textId="77777777" w:rsidR="00311D5D" w:rsidRPr="004C66C3" w:rsidRDefault="00311D5D" w:rsidP="00311D5D">
      <w:pPr>
        <w:tabs>
          <w:tab w:val="decimal" w:pos="8280"/>
        </w:tabs>
        <w:spacing w:line="276" w:lineRule="auto"/>
        <w:jc w:val="both"/>
        <w:rPr>
          <w:bCs/>
          <w:sz w:val="16"/>
          <w:szCs w:val="16"/>
          <w:vertAlign w:val="subscript"/>
        </w:rPr>
      </w:pPr>
    </w:p>
    <w:p w14:paraId="6C658AFD" w14:textId="77777777" w:rsidR="00311D5D" w:rsidRPr="004C66C3" w:rsidRDefault="004C66C3" w:rsidP="004C66C3">
      <w:pPr>
        <w:tabs>
          <w:tab w:val="decimal" w:pos="8280"/>
        </w:tabs>
        <w:spacing w:line="276" w:lineRule="auto"/>
        <w:jc w:val="both"/>
        <w:rPr>
          <w:b/>
          <w:sz w:val="32"/>
          <w:szCs w:val="32"/>
        </w:rPr>
      </w:pPr>
      <w:r w:rsidRPr="004C66C3">
        <w:rPr>
          <w:b/>
          <w:sz w:val="32"/>
          <w:szCs w:val="32"/>
        </w:rPr>
        <w:t>2.</w:t>
      </w:r>
      <w:r>
        <w:rPr>
          <w:b/>
          <w:sz w:val="32"/>
          <w:szCs w:val="32"/>
        </w:rPr>
        <w:t>7.1</w:t>
      </w:r>
      <w:r w:rsidRPr="004C66C3">
        <w:rPr>
          <w:b/>
          <w:sz w:val="32"/>
          <w:szCs w:val="32"/>
        </w:rPr>
        <w:t xml:space="preserve"> </w:t>
      </w:r>
      <w:r w:rsidR="00311D5D" w:rsidRPr="004C66C3">
        <w:rPr>
          <w:b/>
          <w:sz w:val="32"/>
          <w:szCs w:val="32"/>
        </w:rPr>
        <w:t xml:space="preserve">Legal Nature of the Registration Privilege  </w:t>
      </w:r>
    </w:p>
    <w:p w14:paraId="0E91EC32" w14:textId="77777777" w:rsidR="004C66C3" w:rsidRPr="004C66C3" w:rsidRDefault="004C66C3" w:rsidP="00311D5D">
      <w:pPr>
        <w:tabs>
          <w:tab w:val="decimal" w:pos="8280"/>
        </w:tabs>
        <w:spacing w:line="276" w:lineRule="auto"/>
        <w:jc w:val="both"/>
        <w:rPr>
          <w:bCs/>
          <w:sz w:val="16"/>
          <w:szCs w:val="16"/>
        </w:rPr>
      </w:pPr>
    </w:p>
    <w:p w14:paraId="0F1EFD61" w14:textId="77777777" w:rsidR="00310410" w:rsidRDefault="00311D5D" w:rsidP="00310410">
      <w:pPr>
        <w:tabs>
          <w:tab w:val="decimal" w:pos="8280"/>
        </w:tabs>
        <w:spacing w:line="276" w:lineRule="auto"/>
        <w:ind w:firstLine="540"/>
        <w:jc w:val="both"/>
        <w:rPr>
          <w:bCs/>
          <w:sz w:val="28"/>
          <w:szCs w:val="28"/>
        </w:rPr>
      </w:pPr>
      <w:r w:rsidRPr="00311D5D">
        <w:rPr>
          <w:bCs/>
          <w:sz w:val="28"/>
          <w:szCs w:val="28"/>
        </w:rPr>
        <w:t>Registration grants its owner a strong legal status known</w:t>
      </w:r>
      <w:r w:rsidR="008905CD">
        <w:rPr>
          <w:bCs/>
          <w:sz w:val="28"/>
          <w:szCs w:val="28"/>
        </w:rPr>
        <w:t xml:space="preserve"> as the "registration privilege,</w:t>
      </w:r>
      <w:r w:rsidRPr="00311D5D">
        <w:rPr>
          <w:bCs/>
          <w:sz w:val="28"/>
          <w:szCs w:val="28"/>
        </w:rPr>
        <w:t>"</w:t>
      </w:r>
      <w:r w:rsidR="008905CD">
        <w:rPr>
          <w:bCs/>
          <w:sz w:val="28"/>
          <w:szCs w:val="28"/>
        </w:rPr>
        <w:t xml:space="preserve"> and t</w:t>
      </w:r>
      <w:r w:rsidRPr="00311D5D">
        <w:rPr>
          <w:bCs/>
          <w:sz w:val="28"/>
          <w:szCs w:val="28"/>
        </w:rPr>
        <w:t>he legal nature of this privilege is manifested in transforming the trademark from mere actual use or a marketing idea into a financial right and an independent intangible property right that can be dealt with in the financial market. This right is characterized by the features of industrial property, as registration grants the owner exclusive monopolistic authority to exploit the trademark in commerce within the territorial scope of the state. It also provides the legal tool to transfer owne</w:t>
      </w:r>
      <w:r w:rsidR="008905CD">
        <w:rPr>
          <w:bCs/>
          <w:sz w:val="28"/>
          <w:szCs w:val="28"/>
        </w:rPr>
        <w:t>rship of this right</w:t>
      </w:r>
      <w:r w:rsidRPr="00311D5D">
        <w:rPr>
          <w:bCs/>
          <w:sz w:val="28"/>
          <w:szCs w:val="28"/>
        </w:rPr>
        <w:t xml:space="preserve">, mortgage it, or impose a lien on it as part of the </w:t>
      </w:r>
      <w:r w:rsidRPr="00311D5D">
        <w:rPr>
          <w:bCs/>
          <w:sz w:val="28"/>
          <w:szCs w:val="28"/>
        </w:rPr>
        <w:lastRenderedPageBreak/>
        <w:t>commercial establishment or independently according to the agreement, as well as granting the right to conclude franchise contracts and license others to exploit the trademark and derive financial returns from it</w:t>
      </w:r>
      <w:r w:rsidR="00AB40F8">
        <w:rPr>
          <w:bCs/>
          <w:sz w:val="28"/>
          <w:szCs w:val="28"/>
        </w:rPr>
        <w:t>.</w:t>
      </w:r>
      <w:r w:rsidR="00AB40F8">
        <w:rPr>
          <w:rStyle w:val="FootnoteReference"/>
          <w:bCs/>
          <w:sz w:val="28"/>
          <w:szCs w:val="28"/>
        </w:rPr>
        <w:footnoteReference w:id="11"/>
      </w:r>
      <w:r w:rsidR="00310410">
        <w:rPr>
          <w:bCs/>
          <w:sz w:val="28"/>
          <w:szCs w:val="28"/>
        </w:rPr>
        <w:t xml:space="preserve"> </w:t>
      </w:r>
    </w:p>
    <w:p w14:paraId="32EB2318" w14:textId="77777777" w:rsidR="007D7821" w:rsidRDefault="007D7821" w:rsidP="007D7821">
      <w:pPr>
        <w:tabs>
          <w:tab w:val="decimal" w:pos="8280"/>
        </w:tabs>
        <w:spacing w:line="276" w:lineRule="auto"/>
        <w:ind w:firstLine="540"/>
        <w:jc w:val="both"/>
        <w:rPr>
          <w:bCs/>
          <w:sz w:val="28"/>
          <w:szCs w:val="28"/>
        </w:rPr>
      </w:pPr>
      <w:r>
        <w:rPr>
          <w:bCs/>
          <w:sz w:val="28"/>
          <w:szCs w:val="28"/>
        </w:rPr>
        <w:t xml:space="preserve">It is quite obvious </w:t>
      </w:r>
      <w:r w:rsidR="00310410">
        <w:rPr>
          <w:bCs/>
          <w:sz w:val="28"/>
          <w:szCs w:val="28"/>
        </w:rPr>
        <w:t xml:space="preserve">that the owner of a registered trademark would be </w:t>
      </w:r>
      <w:r w:rsidR="00CD33E0" w:rsidRPr="00CD33E0">
        <w:rPr>
          <w:bCs/>
          <w:sz w:val="28"/>
          <w:szCs w:val="28"/>
        </w:rPr>
        <w:t xml:space="preserve">entitled to enjoy comprehensive and multi-dimensional protection, which includes </w:t>
      </w:r>
    </w:p>
    <w:p w14:paraId="01AE13AF" w14:textId="77777777" w:rsidR="007D7821" w:rsidRDefault="007D7821" w:rsidP="007D7821">
      <w:pPr>
        <w:pStyle w:val="ListParagraph"/>
        <w:numPr>
          <w:ilvl w:val="0"/>
          <w:numId w:val="38"/>
        </w:numPr>
        <w:tabs>
          <w:tab w:val="decimal" w:pos="8280"/>
        </w:tabs>
        <w:spacing w:line="276" w:lineRule="auto"/>
        <w:jc w:val="both"/>
        <w:rPr>
          <w:bCs/>
          <w:sz w:val="28"/>
          <w:szCs w:val="28"/>
        </w:rPr>
      </w:pPr>
      <w:r>
        <w:rPr>
          <w:bCs/>
          <w:sz w:val="28"/>
          <w:szCs w:val="28"/>
        </w:rPr>
        <w:t>T</w:t>
      </w:r>
      <w:r w:rsidR="00CD33E0" w:rsidRPr="007D7821">
        <w:rPr>
          <w:bCs/>
          <w:sz w:val="28"/>
          <w:szCs w:val="28"/>
        </w:rPr>
        <w:t>he civil aspect</w:t>
      </w:r>
      <w:r w:rsidRPr="007D7821">
        <w:rPr>
          <w:bCs/>
          <w:sz w:val="28"/>
          <w:szCs w:val="28"/>
        </w:rPr>
        <w:t xml:space="preserve">, i.e. </w:t>
      </w:r>
      <w:r w:rsidR="00CD33E0" w:rsidRPr="007D7821">
        <w:rPr>
          <w:bCs/>
          <w:sz w:val="28"/>
          <w:szCs w:val="28"/>
        </w:rPr>
        <w:t>the right to file lawsuits to stop infringement and claim substantial financial compensation according to</w:t>
      </w:r>
      <w:r w:rsidRPr="007D7821">
        <w:rPr>
          <w:bCs/>
          <w:sz w:val="28"/>
          <w:szCs w:val="28"/>
        </w:rPr>
        <w:t xml:space="preserve"> the general rules of liability</w:t>
      </w:r>
      <w:r>
        <w:rPr>
          <w:bCs/>
          <w:sz w:val="28"/>
          <w:szCs w:val="28"/>
        </w:rPr>
        <w:t>;</w:t>
      </w:r>
      <w:r w:rsidR="00CD33E0" w:rsidRPr="007D7821">
        <w:rPr>
          <w:bCs/>
          <w:sz w:val="28"/>
          <w:szCs w:val="28"/>
        </w:rPr>
        <w:t xml:space="preserve"> </w:t>
      </w:r>
    </w:p>
    <w:p w14:paraId="0E35CA63" w14:textId="77777777" w:rsidR="007D7821" w:rsidRDefault="007D7821" w:rsidP="007D7821">
      <w:pPr>
        <w:pStyle w:val="ListParagraph"/>
        <w:numPr>
          <w:ilvl w:val="0"/>
          <w:numId w:val="38"/>
        </w:numPr>
        <w:tabs>
          <w:tab w:val="decimal" w:pos="8280"/>
        </w:tabs>
        <w:spacing w:line="276" w:lineRule="auto"/>
        <w:jc w:val="both"/>
        <w:rPr>
          <w:bCs/>
          <w:sz w:val="28"/>
          <w:szCs w:val="28"/>
        </w:rPr>
      </w:pPr>
      <w:r>
        <w:rPr>
          <w:bCs/>
          <w:sz w:val="28"/>
          <w:szCs w:val="28"/>
        </w:rPr>
        <w:t>T</w:t>
      </w:r>
      <w:r w:rsidR="00CD33E0" w:rsidRPr="007D7821">
        <w:rPr>
          <w:bCs/>
          <w:sz w:val="28"/>
          <w:szCs w:val="28"/>
        </w:rPr>
        <w:t>he administrative aspect</w:t>
      </w:r>
      <w:r>
        <w:rPr>
          <w:bCs/>
          <w:sz w:val="28"/>
          <w:szCs w:val="28"/>
        </w:rPr>
        <w:t xml:space="preserve">, according to which the trademark owner has </w:t>
      </w:r>
      <w:r w:rsidR="00CD33E0" w:rsidRPr="007D7821">
        <w:rPr>
          <w:bCs/>
          <w:sz w:val="28"/>
          <w:szCs w:val="28"/>
        </w:rPr>
        <w:t>the right to request border measures and stop the customs releas</w:t>
      </w:r>
      <w:r>
        <w:rPr>
          <w:bCs/>
          <w:sz w:val="28"/>
          <w:szCs w:val="28"/>
        </w:rPr>
        <w:t>e of imported counterfeit goods;</w:t>
      </w:r>
      <w:r w:rsidR="00CD33E0" w:rsidRPr="007D7821">
        <w:rPr>
          <w:bCs/>
          <w:sz w:val="28"/>
          <w:szCs w:val="28"/>
        </w:rPr>
        <w:t xml:space="preserve"> and </w:t>
      </w:r>
    </w:p>
    <w:p w14:paraId="40A1F915" w14:textId="77777777" w:rsidR="00CD33E0" w:rsidRPr="007D7821" w:rsidRDefault="007D7821" w:rsidP="007D7821">
      <w:pPr>
        <w:pStyle w:val="ListParagraph"/>
        <w:numPr>
          <w:ilvl w:val="0"/>
          <w:numId w:val="38"/>
        </w:numPr>
        <w:tabs>
          <w:tab w:val="decimal" w:pos="8280"/>
        </w:tabs>
        <w:spacing w:line="276" w:lineRule="auto"/>
        <w:jc w:val="both"/>
        <w:rPr>
          <w:bCs/>
          <w:sz w:val="28"/>
          <w:szCs w:val="28"/>
        </w:rPr>
      </w:pPr>
      <w:r>
        <w:rPr>
          <w:bCs/>
          <w:sz w:val="28"/>
          <w:szCs w:val="28"/>
        </w:rPr>
        <w:t>The deterrent criminal aspect:</w:t>
      </w:r>
      <w:r w:rsidR="00CD33E0" w:rsidRPr="007D7821">
        <w:rPr>
          <w:bCs/>
          <w:sz w:val="28"/>
          <w:szCs w:val="28"/>
        </w:rPr>
        <w:t xml:space="preserve"> In the UAE, Article</w:t>
      </w:r>
      <w:r>
        <w:rPr>
          <w:bCs/>
          <w:sz w:val="28"/>
          <w:szCs w:val="28"/>
        </w:rPr>
        <w:t xml:space="preserve"> No.</w:t>
      </w:r>
      <w:r w:rsidR="00CD33E0" w:rsidRPr="007D7821">
        <w:rPr>
          <w:bCs/>
          <w:sz w:val="28"/>
          <w:szCs w:val="28"/>
        </w:rPr>
        <w:t xml:space="preserve"> </w:t>
      </w:r>
      <w:r>
        <w:rPr>
          <w:bCs/>
          <w:sz w:val="28"/>
          <w:szCs w:val="28"/>
        </w:rPr>
        <w:t>49</w:t>
      </w:r>
      <w:r w:rsidR="00CD33E0" w:rsidRPr="007D7821">
        <w:rPr>
          <w:bCs/>
          <w:sz w:val="28"/>
          <w:szCs w:val="28"/>
        </w:rPr>
        <w:t xml:space="preserve"> of Decree-Law No. 36 of 2021 imposes severe penalties, including imprisonment and fines ranging from 100,000 dirhams up to one million dirhams against anyone who forges or imitates the trademark in a way that misleads the public or places it in bad faith on their products</w:t>
      </w:r>
      <w:r>
        <w:rPr>
          <w:bCs/>
          <w:sz w:val="28"/>
          <w:szCs w:val="28"/>
        </w:rPr>
        <w:t>.</w:t>
      </w:r>
      <w:r>
        <w:rPr>
          <w:rStyle w:val="FootnoteReference"/>
          <w:bCs/>
          <w:sz w:val="28"/>
          <w:szCs w:val="28"/>
        </w:rPr>
        <w:footnoteReference w:id="12"/>
      </w:r>
    </w:p>
    <w:p w14:paraId="20DD5F31" w14:textId="77777777" w:rsidR="00310410" w:rsidRPr="00CC515A" w:rsidRDefault="00310410" w:rsidP="00CD33E0">
      <w:pPr>
        <w:tabs>
          <w:tab w:val="decimal" w:pos="8280"/>
        </w:tabs>
        <w:spacing w:line="276" w:lineRule="auto"/>
        <w:jc w:val="both"/>
        <w:rPr>
          <w:bCs/>
          <w:sz w:val="16"/>
          <w:szCs w:val="16"/>
        </w:rPr>
      </w:pPr>
    </w:p>
    <w:p w14:paraId="679995FE" w14:textId="77777777" w:rsidR="00CD33E0" w:rsidRPr="00CC515A" w:rsidRDefault="007D7821" w:rsidP="00CD33E0">
      <w:pPr>
        <w:tabs>
          <w:tab w:val="decimal" w:pos="8280"/>
        </w:tabs>
        <w:spacing w:line="276" w:lineRule="auto"/>
        <w:jc w:val="both"/>
        <w:rPr>
          <w:b/>
          <w:sz w:val="32"/>
          <w:szCs w:val="32"/>
        </w:rPr>
      </w:pPr>
      <w:r w:rsidRPr="00CC515A">
        <w:rPr>
          <w:b/>
          <w:sz w:val="32"/>
          <w:szCs w:val="32"/>
        </w:rPr>
        <w:t xml:space="preserve">2.7.2 </w:t>
      </w:r>
      <w:r w:rsidR="00CC515A" w:rsidRPr="00CC515A">
        <w:rPr>
          <w:b/>
          <w:sz w:val="32"/>
          <w:szCs w:val="32"/>
        </w:rPr>
        <w:t>Enforcement &amp; Opposition vs. Third P</w:t>
      </w:r>
      <w:r w:rsidR="00CD33E0" w:rsidRPr="00CC515A">
        <w:rPr>
          <w:b/>
          <w:sz w:val="32"/>
          <w:szCs w:val="32"/>
        </w:rPr>
        <w:t xml:space="preserve">arties  </w:t>
      </w:r>
    </w:p>
    <w:p w14:paraId="0A1C1E26" w14:textId="77777777" w:rsidR="00CC515A" w:rsidRPr="00CC515A" w:rsidRDefault="00CC515A" w:rsidP="00CD33E0">
      <w:pPr>
        <w:tabs>
          <w:tab w:val="decimal" w:pos="8280"/>
        </w:tabs>
        <w:spacing w:line="276" w:lineRule="auto"/>
        <w:jc w:val="both"/>
        <w:rPr>
          <w:bCs/>
          <w:sz w:val="16"/>
          <w:szCs w:val="16"/>
        </w:rPr>
      </w:pPr>
    </w:p>
    <w:p w14:paraId="73BD485B" w14:textId="77777777" w:rsidR="00CD33E0" w:rsidRPr="00CD33E0" w:rsidRDefault="00CD33E0" w:rsidP="00CC515A">
      <w:pPr>
        <w:tabs>
          <w:tab w:val="decimal" w:pos="8280"/>
        </w:tabs>
        <w:spacing w:line="276" w:lineRule="auto"/>
        <w:ind w:firstLine="540"/>
        <w:jc w:val="both"/>
        <w:rPr>
          <w:bCs/>
          <w:sz w:val="28"/>
          <w:szCs w:val="28"/>
        </w:rPr>
      </w:pPr>
      <w:r w:rsidRPr="00CD33E0">
        <w:rPr>
          <w:bCs/>
          <w:sz w:val="28"/>
          <w:szCs w:val="28"/>
        </w:rPr>
        <w:t>One of the most important effects of registration is that the protection effect retroactively applies to the date of filing t</w:t>
      </w:r>
      <w:r w:rsidR="00CC515A">
        <w:rPr>
          <w:bCs/>
          <w:sz w:val="28"/>
          <w:szCs w:val="28"/>
        </w:rPr>
        <w:t xml:space="preserve">he initial deposit application, </w:t>
      </w:r>
      <w:r w:rsidRPr="00CD33E0">
        <w:rPr>
          <w:bCs/>
          <w:sz w:val="28"/>
          <w:szCs w:val="28"/>
        </w:rPr>
        <w:t>or the date of international priority right based on the Paris Convention and WTO agreements adopted in Article</w:t>
      </w:r>
      <w:r w:rsidR="00CC515A">
        <w:rPr>
          <w:bCs/>
          <w:sz w:val="28"/>
          <w:szCs w:val="28"/>
        </w:rPr>
        <w:t xml:space="preserve"> No. 11 of the UAE law</w:t>
      </w:r>
      <w:r w:rsidRPr="00CD33E0">
        <w:rPr>
          <w:bCs/>
          <w:sz w:val="28"/>
          <w:szCs w:val="28"/>
        </w:rPr>
        <w:t>. No legal act transferring ownership or pledging any lien or enforcement against third parties shall be valid unless officially recorded in the trademark register, which protects bona fide third parties</w:t>
      </w:r>
      <w:r w:rsidR="00CC515A">
        <w:rPr>
          <w:bCs/>
          <w:sz w:val="28"/>
          <w:szCs w:val="28"/>
        </w:rPr>
        <w:t>.</w:t>
      </w:r>
      <w:r w:rsidR="00CC515A">
        <w:rPr>
          <w:rStyle w:val="FootnoteReference"/>
          <w:bCs/>
          <w:sz w:val="28"/>
          <w:szCs w:val="28"/>
        </w:rPr>
        <w:footnoteReference w:id="13"/>
      </w:r>
    </w:p>
    <w:p w14:paraId="3F8DBFDF" w14:textId="77777777" w:rsidR="00CC515A" w:rsidRPr="00CC515A" w:rsidRDefault="00CC515A" w:rsidP="00CD33E0">
      <w:pPr>
        <w:tabs>
          <w:tab w:val="decimal" w:pos="8280"/>
        </w:tabs>
        <w:spacing w:line="276" w:lineRule="auto"/>
        <w:jc w:val="both"/>
        <w:rPr>
          <w:bCs/>
          <w:sz w:val="16"/>
          <w:szCs w:val="16"/>
        </w:rPr>
      </w:pPr>
    </w:p>
    <w:p w14:paraId="3C06AEBF" w14:textId="77777777" w:rsidR="00311D5D" w:rsidRPr="00CC515A" w:rsidRDefault="00CC515A" w:rsidP="00CD33E0">
      <w:pPr>
        <w:tabs>
          <w:tab w:val="decimal" w:pos="8280"/>
        </w:tabs>
        <w:spacing w:line="276" w:lineRule="auto"/>
        <w:jc w:val="both"/>
        <w:rPr>
          <w:b/>
          <w:sz w:val="32"/>
          <w:szCs w:val="32"/>
        </w:rPr>
      </w:pPr>
      <w:r w:rsidRPr="00CC515A">
        <w:rPr>
          <w:b/>
          <w:sz w:val="32"/>
          <w:szCs w:val="32"/>
        </w:rPr>
        <w:t xml:space="preserve">2.7.3 </w:t>
      </w:r>
      <w:r w:rsidR="00CD33E0" w:rsidRPr="00CC515A">
        <w:rPr>
          <w:b/>
          <w:sz w:val="32"/>
          <w:szCs w:val="32"/>
        </w:rPr>
        <w:t>Fortification of ownership by prescription</w:t>
      </w:r>
    </w:p>
    <w:p w14:paraId="676A9BF8" w14:textId="77777777" w:rsidR="00CC515A" w:rsidRDefault="00CC515A" w:rsidP="00CD33E0">
      <w:pPr>
        <w:tabs>
          <w:tab w:val="decimal" w:pos="8280"/>
        </w:tabs>
        <w:spacing w:line="276" w:lineRule="auto"/>
        <w:jc w:val="both"/>
        <w:rPr>
          <w:bCs/>
          <w:sz w:val="28"/>
          <w:szCs w:val="28"/>
        </w:rPr>
      </w:pPr>
    </w:p>
    <w:p w14:paraId="7FEE56FA" w14:textId="77777777" w:rsidR="00CD33E0" w:rsidRPr="00CD33E0" w:rsidRDefault="00CC515A" w:rsidP="00492A01">
      <w:pPr>
        <w:tabs>
          <w:tab w:val="decimal" w:pos="8280"/>
        </w:tabs>
        <w:spacing w:line="276" w:lineRule="auto"/>
        <w:ind w:firstLine="540"/>
        <w:jc w:val="both"/>
        <w:rPr>
          <w:bCs/>
          <w:sz w:val="28"/>
          <w:szCs w:val="28"/>
        </w:rPr>
      </w:pPr>
      <w:r>
        <w:rPr>
          <w:bCs/>
          <w:sz w:val="28"/>
          <w:szCs w:val="28"/>
        </w:rPr>
        <w:t>As a matter of fact t</w:t>
      </w:r>
      <w:r w:rsidR="00CD33E0" w:rsidRPr="00CD33E0">
        <w:rPr>
          <w:bCs/>
          <w:sz w:val="28"/>
          <w:szCs w:val="28"/>
        </w:rPr>
        <w:t xml:space="preserve">his effect is considered the strongest </w:t>
      </w:r>
      <w:r w:rsidR="00492A01">
        <w:rPr>
          <w:bCs/>
          <w:sz w:val="28"/>
          <w:szCs w:val="28"/>
        </w:rPr>
        <w:t xml:space="preserve">protection </w:t>
      </w:r>
      <w:r w:rsidR="00CD33E0" w:rsidRPr="00CD33E0">
        <w:rPr>
          <w:bCs/>
          <w:sz w:val="28"/>
          <w:szCs w:val="28"/>
        </w:rPr>
        <w:t>shield. According to Article</w:t>
      </w:r>
      <w:r w:rsidR="00492A01">
        <w:rPr>
          <w:bCs/>
          <w:sz w:val="28"/>
          <w:szCs w:val="28"/>
        </w:rPr>
        <w:t xml:space="preserve"> No.18 of the UAE Trademark Law </w:t>
      </w:r>
      <w:r w:rsidR="00CD33E0" w:rsidRPr="00CD33E0">
        <w:rPr>
          <w:bCs/>
          <w:sz w:val="28"/>
          <w:szCs w:val="28"/>
        </w:rPr>
        <w:t xml:space="preserve">and its </w:t>
      </w:r>
      <w:r w:rsidR="00492A01">
        <w:rPr>
          <w:bCs/>
          <w:sz w:val="28"/>
          <w:szCs w:val="28"/>
        </w:rPr>
        <w:t>equivalents in comparative laws</w:t>
      </w:r>
      <w:r w:rsidR="00CD33E0" w:rsidRPr="00CD33E0">
        <w:rPr>
          <w:bCs/>
          <w:sz w:val="28"/>
          <w:szCs w:val="28"/>
        </w:rPr>
        <w:t>, if the registration is accompanied by continuous and actual use for five consecutive years without any party succeeding in obtaining a final judicial ruling to annul it, the ownership of the trademark becomes legally protected and immune to future challenges or disputes. At that point, the right of registration transforms from being rebuttable to an absolute and definitive right</w:t>
      </w:r>
      <w:r w:rsidR="00492A01">
        <w:rPr>
          <w:bCs/>
          <w:sz w:val="28"/>
          <w:szCs w:val="28"/>
        </w:rPr>
        <w:t>.</w:t>
      </w:r>
      <w:r w:rsidR="00492A01">
        <w:rPr>
          <w:rStyle w:val="FootnoteReference"/>
          <w:bCs/>
          <w:sz w:val="28"/>
          <w:szCs w:val="28"/>
        </w:rPr>
        <w:footnoteReference w:id="14"/>
      </w:r>
      <w:r w:rsidR="00492A01">
        <w:rPr>
          <w:bCs/>
          <w:sz w:val="28"/>
          <w:szCs w:val="28"/>
        </w:rPr>
        <w:t xml:space="preserve"> </w:t>
      </w:r>
    </w:p>
    <w:p w14:paraId="758BA582" w14:textId="77777777" w:rsidR="00CD33E0" w:rsidRPr="00492A01" w:rsidRDefault="00CD33E0" w:rsidP="00CD33E0">
      <w:pPr>
        <w:tabs>
          <w:tab w:val="decimal" w:pos="8280"/>
        </w:tabs>
        <w:spacing w:line="276" w:lineRule="auto"/>
        <w:jc w:val="both"/>
        <w:rPr>
          <w:bCs/>
          <w:sz w:val="16"/>
          <w:szCs w:val="16"/>
        </w:rPr>
      </w:pPr>
    </w:p>
    <w:p w14:paraId="095973A0" w14:textId="77777777" w:rsidR="00CD33E0" w:rsidRPr="00492A01" w:rsidRDefault="00CD33E0" w:rsidP="00CD33E0">
      <w:pPr>
        <w:tabs>
          <w:tab w:val="decimal" w:pos="8280"/>
        </w:tabs>
        <w:spacing w:line="276" w:lineRule="auto"/>
        <w:jc w:val="both"/>
        <w:rPr>
          <w:b/>
          <w:sz w:val="32"/>
          <w:szCs w:val="32"/>
        </w:rPr>
      </w:pPr>
      <w:r w:rsidRPr="00492A01">
        <w:rPr>
          <w:b/>
          <w:sz w:val="32"/>
          <w:szCs w:val="32"/>
        </w:rPr>
        <w:t xml:space="preserve">2.8 Presumption of Ownership Arising from Registration  </w:t>
      </w:r>
    </w:p>
    <w:p w14:paraId="47B57D4B" w14:textId="77777777" w:rsidR="00492A01" w:rsidRPr="00492A01" w:rsidRDefault="00492A01" w:rsidP="00CD33E0">
      <w:pPr>
        <w:tabs>
          <w:tab w:val="decimal" w:pos="8280"/>
        </w:tabs>
        <w:spacing w:line="276" w:lineRule="auto"/>
        <w:jc w:val="both"/>
        <w:rPr>
          <w:bCs/>
          <w:sz w:val="16"/>
          <w:szCs w:val="16"/>
        </w:rPr>
      </w:pPr>
    </w:p>
    <w:p w14:paraId="18947A9E" w14:textId="6CE8BCB8" w:rsidR="00CD33E0" w:rsidRPr="00CD33E0" w:rsidRDefault="006C40C2" w:rsidP="006C40C2">
      <w:pPr>
        <w:tabs>
          <w:tab w:val="decimal" w:pos="8280"/>
        </w:tabs>
        <w:spacing w:line="276" w:lineRule="auto"/>
        <w:ind w:firstLine="540"/>
        <w:jc w:val="both"/>
        <w:rPr>
          <w:bCs/>
          <w:sz w:val="28"/>
          <w:szCs w:val="28"/>
        </w:rPr>
      </w:pPr>
      <w:r>
        <w:rPr>
          <w:bCs/>
          <w:sz w:val="28"/>
          <w:szCs w:val="28"/>
        </w:rPr>
        <w:t>There is no doubt that t</w:t>
      </w:r>
      <w:r w:rsidR="00CD33E0" w:rsidRPr="00CD33E0">
        <w:rPr>
          <w:bCs/>
          <w:sz w:val="28"/>
          <w:szCs w:val="28"/>
        </w:rPr>
        <w:t xml:space="preserve">he concept of "presumption" is the procedural core in trademark disputes. Registration </w:t>
      </w:r>
      <w:r>
        <w:rPr>
          <w:bCs/>
          <w:sz w:val="28"/>
          <w:szCs w:val="28"/>
        </w:rPr>
        <w:t xml:space="preserve">indeed </w:t>
      </w:r>
      <w:r w:rsidR="00CD33E0" w:rsidRPr="00CD33E0">
        <w:rPr>
          <w:bCs/>
          <w:sz w:val="28"/>
          <w:szCs w:val="28"/>
        </w:rPr>
        <w:t>creates a legal presumption that the person whose name is recorded in the register is the legitimate and sole owner of the trademark. This presumption plays a crucial role in the course of litigation, as it automatically shifts the "</w:t>
      </w:r>
      <w:r w:rsidR="00492A01">
        <w:rPr>
          <w:bCs/>
          <w:sz w:val="28"/>
          <w:szCs w:val="28"/>
        </w:rPr>
        <w:t>proof burden</w:t>
      </w:r>
      <w:r w:rsidR="00CD33E0" w:rsidRPr="00CD33E0">
        <w:rPr>
          <w:bCs/>
          <w:sz w:val="28"/>
          <w:szCs w:val="28"/>
        </w:rPr>
        <w:t>" from the registered owner to any other claimant who alleges that they are the true owner based on prior use. The registrant does not need to prove priority; it is sufficient to present the registration certificate, and the opponent bears the complex burden of rebuttal</w:t>
      </w:r>
      <w:r w:rsidR="00BA6CDA">
        <w:rPr>
          <w:bCs/>
          <w:sz w:val="28"/>
          <w:szCs w:val="28"/>
        </w:rPr>
        <w:t xml:space="preserve"> </w:t>
      </w:r>
      <w:r w:rsidR="00BA6CDA" w:rsidRPr="00BA6CDA">
        <w:rPr>
          <w:bCs/>
          <w:sz w:val="28"/>
          <w:szCs w:val="28"/>
        </w:rPr>
        <w:t>(Almajbari, H. F. M., 2024)</w:t>
      </w:r>
      <w:r w:rsidR="00492A01">
        <w:rPr>
          <w:bCs/>
          <w:sz w:val="28"/>
          <w:szCs w:val="28"/>
        </w:rPr>
        <w:t>.</w:t>
      </w:r>
      <w:r w:rsidR="00CD33E0" w:rsidRPr="00CD33E0">
        <w:rPr>
          <w:bCs/>
          <w:sz w:val="28"/>
          <w:szCs w:val="28"/>
        </w:rPr>
        <w:t xml:space="preserve">As previously explained, this presumption begins as a "simple presumption" that can be rebutted within the first five years, </w:t>
      </w:r>
      <w:r w:rsidRPr="00CD33E0">
        <w:rPr>
          <w:bCs/>
          <w:sz w:val="28"/>
          <w:szCs w:val="28"/>
        </w:rPr>
        <w:t>and then</w:t>
      </w:r>
      <w:r w:rsidR="00CD33E0" w:rsidRPr="00CD33E0">
        <w:rPr>
          <w:bCs/>
          <w:sz w:val="28"/>
          <w:szCs w:val="28"/>
        </w:rPr>
        <w:t xml:space="preserve"> it becomes an "</w:t>
      </w:r>
      <w:r w:rsidR="00747306" w:rsidRPr="00CD33E0">
        <w:rPr>
          <w:bCs/>
          <w:sz w:val="28"/>
          <w:szCs w:val="28"/>
        </w:rPr>
        <w:t>irrefutable</w:t>
      </w:r>
      <w:r w:rsidR="00CD33E0" w:rsidRPr="00CD33E0">
        <w:rPr>
          <w:bCs/>
          <w:sz w:val="28"/>
          <w:szCs w:val="28"/>
        </w:rPr>
        <w:t xml:space="preserve"> presumption" that bars hearing annulment claims, except in cases of documented gross bad faith.  </w:t>
      </w:r>
    </w:p>
    <w:p w14:paraId="1330C71C" w14:textId="77777777" w:rsidR="006C40C2" w:rsidRDefault="00CD33E0" w:rsidP="006C40C2">
      <w:pPr>
        <w:tabs>
          <w:tab w:val="decimal" w:pos="8280"/>
        </w:tabs>
        <w:spacing w:line="276" w:lineRule="auto"/>
        <w:ind w:firstLine="540"/>
        <w:jc w:val="both"/>
        <w:rPr>
          <w:bCs/>
          <w:sz w:val="28"/>
          <w:szCs w:val="28"/>
        </w:rPr>
      </w:pPr>
      <w:r w:rsidRPr="00CD33E0">
        <w:rPr>
          <w:bCs/>
          <w:sz w:val="28"/>
          <w:szCs w:val="28"/>
        </w:rPr>
        <w:t xml:space="preserve">Cases of conflict between prior use and subsequent registration clearly give rise to legal and commercial disputes when a company acquires a substantive right to a mark through its local or international use over years, </w:t>
      </w:r>
      <w:r w:rsidR="00747306">
        <w:rPr>
          <w:bCs/>
          <w:sz w:val="28"/>
          <w:szCs w:val="28"/>
        </w:rPr>
        <w:t>achieving a certain reputation through prior use</w:t>
      </w:r>
      <w:r w:rsidRPr="00CD33E0">
        <w:rPr>
          <w:bCs/>
          <w:sz w:val="28"/>
          <w:szCs w:val="28"/>
        </w:rPr>
        <w:t>, and then a second party comes and exploits the deposit registration system to docu</w:t>
      </w:r>
      <w:r w:rsidR="00747306">
        <w:rPr>
          <w:bCs/>
          <w:sz w:val="28"/>
          <w:szCs w:val="28"/>
        </w:rPr>
        <w:t xml:space="preserve">ment the same mark in its name as a </w:t>
      </w:r>
      <w:r w:rsidRPr="00CD33E0">
        <w:rPr>
          <w:bCs/>
          <w:sz w:val="28"/>
          <w:szCs w:val="28"/>
        </w:rPr>
        <w:t>subsequent registrat</w:t>
      </w:r>
      <w:r w:rsidR="00747306">
        <w:rPr>
          <w:bCs/>
          <w:sz w:val="28"/>
          <w:szCs w:val="28"/>
        </w:rPr>
        <w:t>ion</w:t>
      </w:r>
      <w:r w:rsidRPr="00CD33E0">
        <w:rPr>
          <w:bCs/>
          <w:sz w:val="28"/>
          <w:szCs w:val="28"/>
        </w:rPr>
        <w:t>.</w:t>
      </w:r>
      <w:r w:rsidRPr="00CD33E0">
        <w:t xml:space="preserve"> </w:t>
      </w:r>
      <w:r w:rsidRPr="00CD33E0">
        <w:rPr>
          <w:bCs/>
          <w:sz w:val="28"/>
          <w:szCs w:val="28"/>
        </w:rPr>
        <w:t>There are multiple scenarios of practical conflict in this field.</w:t>
      </w:r>
      <w:r w:rsidR="006C40C2">
        <w:rPr>
          <w:bCs/>
          <w:sz w:val="28"/>
          <w:szCs w:val="28"/>
        </w:rPr>
        <w:t xml:space="preserve"> They are as follows:</w:t>
      </w:r>
      <w:r w:rsidRPr="00CD33E0">
        <w:rPr>
          <w:bCs/>
          <w:sz w:val="28"/>
          <w:szCs w:val="28"/>
        </w:rPr>
        <w:t xml:space="preserve"> </w:t>
      </w:r>
    </w:p>
    <w:p w14:paraId="51532A21" w14:textId="77777777" w:rsidR="006C40C2" w:rsidRPr="006C40C2" w:rsidRDefault="006C40C2" w:rsidP="006C40C2">
      <w:pPr>
        <w:tabs>
          <w:tab w:val="decimal" w:pos="8280"/>
        </w:tabs>
        <w:spacing w:line="276" w:lineRule="auto"/>
        <w:ind w:firstLine="540"/>
        <w:jc w:val="both"/>
        <w:rPr>
          <w:bCs/>
          <w:sz w:val="16"/>
          <w:szCs w:val="16"/>
        </w:rPr>
      </w:pPr>
    </w:p>
    <w:p w14:paraId="7E840D39" w14:textId="420C1511" w:rsidR="006C40C2" w:rsidRDefault="00CD33E0" w:rsidP="006C40C2">
      <w:pPr>
        <w:pStyle w:val="ListParagraph"/>
        <w:numPr>
          <w:ilvl w:val="0"/>
          <w:numId w:val="39"/>
        </w:numPr>
        <w:tabs>
          <w:tab w:val="decimal" w:pos="8280"/>
        </w:tabs>
        <w:spacing w:line="276" w:lineRule="auto"/>
        <w:ind w:left="360"/>
        <w:jc w:val="both"/>
        <w:rPr>
          <w:bCs/>
          <w:sz w:val="28"/>
          <w:szCs w:val="28"/>
        </w:rPr>
      </w:pPr>
      <w:r w:rsidRPr="006C40C2">
        <w:rPr>
          <w:bCs/>
          <w:sz w:val="28"/>
          <w:szCs w:val="28"/>
        </w:rPr>
        <w:t>Registration in bad faith by the agent or distributor: This is the most common scenario, where a local distributor or business partner registers the trademark of the foreign parent company in his own name in the country, exploiting the absence of official registration by the parent company, in order to extort it later or forcibly monopolize the distribution of its products</w:t>
      </w:r>
      <w:r w:rsidR="006A1C11">
        <w:rPr>
          <w:bCs/>
          <w:sz w:val="28"/>
          <w:szCs w:val="28"/>
        </w:rPr>
        <w:t xml:space="preserve"> </w:t>
      </w:r>
      <w:r w:rsidR="006A1C11" w:rsidRPr="006A1C11">
        <w:rPr>
          <w:bCs/>
          <w:sz w:val="28"/>
          <w:szCs w:val="28"/>
        </w:rPr>
        <w:t>(Al Tamimi &amp; Company, 2016)</w:t>
      </w:r>
      <w:r w:rsidR="00B54890">
        <w:rPr>
          <w:bCs/>
          <w:sz w:val="28"/>
          <w:szCs w:val="28"/>
        </w:rPr>
        <w:t xml:space="preserve">. </w:t>
      </w:r>
    </w:p>
    <w:p w14:paraId="2AFC50B9" w14:textId="2DF060EE" w:rsidR="006C40C2" w:rsidRDefault="00CD33E0" w:rsidP="006C40C2">
      <w:pPr>
        <w:pStyle w:val="ListParagraph"/>
        <w:numPr>
          <w:ilvl w:val="0"/>
          <w:numId w:val="39"/>
        </w:numPr>
        <w:tabs>
          <w:tab w:val="decimal" w:pos="8280"/>
        </w:tabs>
        <w:spacing w:line="276" w:lineRule="auto"/>
        <w:ind w:left="360"/>
        <w:jc w:val="both"/>
        <w:rPr>
          <w:bCs/>
          <w:sz w:val="28"/>
          <w:szCs w:val="28"/>
        </w:rPr>
      </w:pPr>
      <w:r w:rsidRPr="006C40C2">
        <w:rPr>
          <w:bCs/>
          <w:sz w:val="28"/>
          <w:szCs w:val="28"/>
        </w:rPr>
        <w:t>Independent conflict or concurrent use in good faith: This conflict rarely occurs when two companies in different geographical regions (or countries) independently create the same mark and use it in good faith for years. When one of the companies expands geographically to begin registration procedures within the scope of the other company, a real conflict arises between the prior use right of the first and the subsequent registration right of the second</w:t>
      </w:r>
      <w:r w:rsidR="00DA6AC0">
        <w:rPr>
          <w:bCs/>
          <w:sz w:val="28"/>
          <w:szCs w:val="28"/>
        </w:rPr>
        <w:t xml:space="preserve"> </w:t>
      </w:r>
      <w:r w:rsidR="00DA6AC0" w:rsidRPr="00DA6AC0">
        <w:rPr>
          <w:bCs/>
          <w:sz w:val="28"/>
          <w:szCs w:val="28"/>
        </w:rPr>
        <w:t>(Muhaisen, S. Z. &amp; Abd, S. O, 2014)</w:t>
      </w:r>
      <w:r w:rsidR="00B54890">
        <w:rPr>
          <w:bCs/>
          <w:sz w:val="28"/>
          <w:szCs w:val="28"/>
        </w:rPr>
        <w:t xml:space="preserve">. </w:t>
      </w:r>
    </w:p>
    <w:p w14:paraId="2CB19D34" w14:textId="77777777" w:rsidR="00CD33E0" w:rsidRPr="006C40C2" w:rsidRDefault="00CD33E0" w:rsidP="006C40C2">
      <w:pPr>
        <w:pStyle w:val="ListParagraph"/>
        <w:numPr>
          <w:ilvl w:val="0"/>
          <w:numId w:val="39"/>
        </w:numPr>
        <w:tabs>
          <w:tab w:val="decimal" w:pos="8280"/>
        </w:tabs>
        <w:spacing w:line="276" w:lineRule="auto"/>
        <w:ind w:left="360"/>
        <w:jc w:val="both"/>
        <w:rPr>
          <w:bCs/>
          <w:sz w:val="28"/>
          <w:szCs w:val="28"/>
        </w:rPr>
      </w:pPr>
      <w:r w:rsidRPr="006C40C2">
        <w:rPr>
          <w:bCs/>
          <w:sz w:val="28"/>
          <w:szCs w:val="28"/>
        </w:rPr>
        <w:t xml:space="preserve">Proactive registration of famous marks: Entities </w:t>
      </w:r>
      <w:r w:rsidR="00416358">
        <w:rPr>
          <w:bCs/>
          <w:sz w:val="28"/>
          <w:szCs w:val="28"/>
        </w:rPr>
        <w:t xml:space="preserve">might get </w:t>
      </w:r>
      <w:r w:rsidRPr="006C40C2">
        <w:rPr>
          <w:bCs/>
          <w:sz w:val="28"/>
          <w:szCs w:val="28"/>
        </w:rPr>
        <w:t>engaged in opportunistic registration of trademarks enjoying global fame, but whose owners have not yet operated in the local market.</w:t>
      </w:r>
    </w:p>
    <w:p w14:paraId="34E89F1F" w14:textId="77777777" w:rsidR="006C40C2" w:rsidRPr="00416358" w:rsidRDefault="006C40C2" w:rsidP="00CD33E0">
      <w:pPr>
        <w:tabs>
          <w:tab w:val="decimal" w:pos="8280"/>
        </w:tabs>
        <w:spacing w:line="276" w:lineRule="auto"/>
        <w:jc w:val="both"/>
        <w:rPr>
          <w:bCs/>
          <w:sz w:val="16"/>
          <w:szCs w:val="16"/>
        </w:rPr>
      </w:pPr>
    </w:p>
    <w:p w14:paraId="5B2D29D3" w14:textId="77777777" w:rsidR="00686571" w:rsidRPr="00416358" w:rsidRDefault="00686571" w:rsidP="00686571">
      <w:pPr>
        <w:tabs>
          <w:tab w:val="decimal" w:pos="8280"/>
        </w:tabs>
        <w:spacing w:line="276" w:lineRule="auto"/>
        <w:jc w:val="both"/>
        <w:rPr>
          <w:b/>
          <w:sz w:val="32"/>
          <w:szCs w:val="32"/>
        </w:rPr>
      </w:pPr>
      <w:r w:rsidRPr="00416358">
        <w:rPr>
          <w:b/>
          <w:sz w:val="32"/>
          <w:szCs w:val="32"/>
        </w:rPr>
        <w:t xml:space="preserve">2.9 The Position of UAE Law on This Conflict  </w:t>
      </w:r>
    </w:p>
    <w:p w14:paraId="6EAA5B04" w14:textId="77777777" w:rsidR="00416358" w:rsidRPr="00416358" w:rsidRDefault="00416358" w:rsidP="00686571">
      <w:pPr>
        <w:tabs>
          <w:tab w:val="decimal" w:pos="8280"/>
        </w:tabs>
        <w:spacing w:line="276" w:lineRule="auto"/>
        <w:jc w:val="both"/>
        <w:rPr>
          <w:bCs/>
          <w:sz w:val="16"/>
          <w:szCs w:val="16"/>
        </w:rPr>
      </w:pPr>
    </w:p>
    <w:p w14:paraId="1872A0B7" w14:textId="77777777" w:rsidR="00686571" w:rsidRPr="00686571" w:rsidRDefault="00416358" w:rsidP="00416358">
      <w:pPr>
        <w:tabs>
          <w:tab w:val="decimal" w:pos="8280"/>
        </w:tabs>
        <w:spacing w:line="276" w:lineRule="auto"/>
        <w:ind w:firstLine="540"/>
        <w:jc w:val="both"/>
        <w:rPr>
          <w:bCs/>
          <w:sz w:val="28"/>
          <w:szCs w:val="28"/>
        </w:rPr>
      </w:pPr>
      <w:r>
        <w:rPr>
          <w:bCs/>
          <w:sz w:val="28"/>
          <w:szCs w:val="28"/>
        </w:rPr>
        <w:t>UAE law and administrative as well as</w:t>
      </w:r>
      <w:r w:rsidR="00686571" w:rsidRPr="00686571">
        <w:rPr>
          <w:bCs/>
          <w:sz w:val="28"/>
          <w:szCs w:val="28"/>
        </w:rPr>
        <w:t xml:space="preserve"> judicial authorities address cases of conflict through a set of effective leg</w:t>
      </w:r>
      <w:r>
        <w:rPr>
          <w:bCs/>
          <w:sz w:val="28"/>
          <w:szCs w:val="28"/>
        </w:rPr>
        <w:t>al mechanisms to ensure justice. These legal mechanisms are as follows:</w:t>
      </w:r>
      <w:r w:rsidR="00686571" w:rsidRPr="00686571">
        <w:rPr>
          <w:bCs/>
          <w:sz w:val="28"/>
          <w:szCs w:val="28"/>
        </w:rPr>
        <w:t xml:space="preserve">  </w:t>
      </w:r>
    </w:p>
    <w:p w14:paraId="008C547E" w14:textId="77777777" w:rsidR="00416358" w:rsidRDefault="00416358" w:rsidP="00416358">
      <w:pPr>
        <w:pStyle w:val="ListParagraph"/>
        <w:numPr>
          <w:ilvl w:val="0"/>
          <w:numId w:val="40"/>
        </w:numPr>
        <w:tabs>
          <w:tab w:val="decimal" w:pos="8280"/>
        </w:tabs>
        <w:spacing w:line="276" w:lineRule="auto"/>
        <w:ind w:left="450"/>
        <w:jc w:val="both"/>
        <w:rPr>
          <w:bCs/>
          <w:sz w:val="28"/>
          <w:szCs w:val="28"/>
        </w:rPr>
      </w:pPr>
      <w:r w:rsidRPr="009B3ECB">
        <w:rPr>
          <w:b/>
          <w:sz w:val="28"/>
          <w:szCs w:val="28"/>
        </w:rPr>
        <w:lastRenderedPageBreak/>
        <w:t>Administrative Objection &amp;</w:t>
      </w:r>
      <w:r w:rsidR="0033137A">
        <w:rPr>
          <w:b/>
          <w:sz w:val="28"/>
          <w:szCs w:val="28"/>
        </w:rPr>
        <w:t xml:space="preserve"> </w:t>
      </w:r>
      <w:r w:rsidR="00686571" w:rsidRPr="009B3ECB">
        <w:rPr>
          <w:b/>
          <w:sz w:val="28"/>
          <w:szCs w:val="28"/>
        </w:rPr>
        <w:t>Grievance Committee</w:t>
      </w:r>
      <w:r w:rsidR="00686571" w:rsidRPr="00416358">
        <w:rPr>
          <w:bCs/>
          <w:sz w:val="28"/>
          <w:szCs w:val="28"/>
        </w:rPr>
        <w:t>: In the event that the Ministry of Economy publishes its acceptance of a trademark registration application, the prior user, if they notice the matter early, has the right to submit an administrative objection to the ministry. If a decision is issued, the dispute is referred to the administrative "Grievance Committee" formed under the law, which is responsible for resolving the conflict. The administrative office initially tends to apply the principle of first-to-file, but if conclusive evidence of bad faith and infringement on prior rights is presented, the subsequent registration is rejected</w:t>
      </w:r>
      <w:r w:rsidR="009B3ECB">
        <w:rPr>
          <w:bCs/>
          <w:sz w:val="28"/>
          <w:szCs w:val="28"/>
        </w:rPr>
        <w:t>.</w:t>
      </w:r>
      <w:r w:rsidR="009B3ECB">
        <w:rPr>
          <w:rStyle w:val="FootnoteReference"/>
          <w:bCs/>
          <w:sz w:val="28"/>
          <w:szCs w:val="28"/>
        </w:rPr>
        <w:footnoteReference w:id="15"/>
      </w:r>
      <w:r w:rsidR="009B3ECB">
        <w:rPr>
          <w:bCs/>
          <w:sz w:val="28"/>
          <w:szCs w:val="28"/>
        </w:rPr>
        <w:t xml:space="preserve"> </w:t>
      </w:r>
    </w:p>
    <w:p w14:paraId="2292083E" w14:textId="77777777" w:rsidR="00416358" w:rsidRDefault="009B3ECB" w:rsidP="00416358">
      <w:pPr>
        <w:pStyle w:val="ListParagraph"/>
        <w:numPr>
          <w:ilvl w:val="0"/>
          <w:numId w:val="40"/>
        </w:numPr>
        <w:tabs>
          <w:tab w:val="decimal" w:pos="8280"/>
        </w:tabs>
        <w:spacing w:line="276" w:lineRule="auto"/>
        <w:ind w:left="450"/>
        <w:jc w:val="both"/>
        <w:rPr>
          <w:bCs/>
          <w:sz w:val="28"/>
          <w:szCs w:val="28"/>
        </w:rPr>
      </w:pPr>
      <w:r w:rsidRPr="009B3ECB">
        <w:rPr>
          <w:b/>
          <w:sz w:val="28"/>
          <w:szCs w:val="28"/>
        </w:rPr>
        <w:t>Resorting to the Judiciary &amp; Filing for Cancellation and I</w:t>
      </w:r>
      <w:r w:rsidR="00686571" w:rsidRPr="009B3ECB">
        <w:rPr>
          <w:b/>
          <w:sz w:val="28"/>
          <w:szCs w:val="28"/>
        </w:rPr>
        <w:t>nvalidation</w:t>
      </w:r>
      <w:r w:rsidR="00686571" w:rsidRPr="00416358">
        <w:rPr>
          <w:bCs/>
          <w:sz w:val="28"/>
          <w:szCs w:val="28"/>
        </w:rPr>
        <w:t xml:space="preserve">: The law allows the prior user, after the opponent completes the registration process, to resort to the competent court to file a cancellation lawsuit, based on the priority of use accompanied by good faith, benefiting from a grace period estimated at five years.  </w:t>
      </w:r>
    </w:p>
    <w:p w14:paraId="5752FB47" w14:textId="77777777" w:rsidR="00CD33E0" w:rsidRPr="00416358" w:rsidRDefault="00686571" w:rsidP="009B3ECB">
      <w:pPr>
        <w:pStyle w:val="ListParagraph"/>
        <w:numPr>
          <w:ilvl w:val="0"/>
          <w:numId w:val="40"/>
        </w:numPr>
        <w:tabs>
          <w:tab w:val="decimal" w:pos="8280"/>
        </w:tabs>
        <w:spacing w:line="276" w:lineRule="auto"/>
        <w:ind w:left="450"/>
        <w:jc w:val="both"/>
        <w:rPr>
          <w:bCs/>
          <w:sz w:val="28"/>
          <w:szCs w:val="28"/>
        </w:rPr>
      </w:pPr>
      <w:r w:rsidRPr="0033137A">
        <w:rPr>
          <w:b/>
          <w:sz w:val="28"/>
          <w:szCs w:val="28"/>
        </w:rPr>
        <w:t>Suspen</w:t>
      </w:r>
      <w:r w:rsidR="009B3ECB" w:rsidRPr="0033137A">
        <w:rPr>
          <w:b/>
          <w:sz w:val="28"/>
          <w:szCs w:val="28"/>
        </w:rPr>
        <w:t xml:space="preserve">sion </w:t>
      </w:r>
      <w:r w:rsidR="00137005" w:rsidRPr="0033137A">
        <w:rPr>
          <w:b/>
          <w:sz w:val="28"/>
          <w:szCs w:val="28"/>
        </w:rPr>
        <w:t xml:space="preserve">of </w:t>
      </w:r>
      <w:r w:rsidR="009B3ECB" w:rsidRPr="0033137A">
        <w:rPr>
          <w:b/>
          <w:sz w:val="28"/>
          <w:szCs w:val="28"/>
        </w:rPr>
        <w:t>Pending Dispute R</w:t>
      </w:r>
      <w:r w:rsidRPr="0033137A">
        <w:rPr>
          <w:b/>
          <w:sz w:val="28"/>
          <w:szCs w:val="28"/>
        </w:rPr>
        <w:t>esolution:</w:t>
      </w:r>
      <w:r w:rsidRPr="00416358">
        <w:rPr>
          <w:bCs/>
          <w:sz w:val="28"/>
          <w:szCs w:val="28"/>
        </w:rPr>
        <w:t xml:space="preserve"> According to Article</w:t>
      </w:r>
      <w:r w:rsidR="009B3ECB">
        <w:rPr>
          <w:bCs/>
          <w:sz w:val="28"/>
          <w:szCs w:val="28"/>
        </w:rPr>
        <w:t xml:space="preserve"> No. 10</w:t>
      </w:r>
      <w:r w:rsidRPr="00416358">
        <w:rPr>
          <w:bCs/>
          <w:sz w:val="28"/>
          <w:szCs w:val="28"/>
        </w:rPr>
        <w:t xml:space="preserve"> of the Decree-Law, if two or more persons simultaneously a</w:t>
      </w:r>
      <w:r w:rsidR="009B3ECB">
        <w:rPr>
          <w:bCs/>
          <w:sz w:val="28"/>
          <w:szCs w:val="28"/>
        </w:rPr>
        <w:t xml:space="preserve">pply to register the same mark, </w:t>
      </w:r>
      <w:r w:rsidRPr="00416358">
        <w:rPr>
          <w:bCs/>
          <w:sz w:val="28"/>
          <w:szCs w:val="28"/>
        </w:rPr>
        <w:t xml:space="preserve">or highly </w:t>
      </w:r>
      <w:r w:rsidR="009B3ECB">
        <w:rPr>
          <w:bCs/>
          <w:sz w:val="28"/>
          <w:szCs w:val="28"/>
        </w:rPr>
        <w:t>similar marks causing confusion,</w:t>
      </w:r>
      <w:r w:rsidRPr="00416358">
        <w:rPr>
          <w:bCs/>
          <w:sz w:val="28"/>
          <w:szCs w:val="28"/>
        </w:rPr>
        <w:t xml:space="preserve"> for the same category of goods, the procedures are completely suspended until one of them withdraws in favor of the other, or until a final judicial ruling is issued determining the rightful owner based on considerations of prior use and justice</w:t>
      </w:r>
      <w:r w:rsidR="009B3ECB">
        <w:rPr>
          <w:bCs/>
          <w:sz w:val="28"/>
          <w:szCs w:val="28"/>
        </w:rPr>
        <w:t>.</w:t>
      </w:r>
      <w:r w:rsidR="009B3ECB">
        <w:rPr>
          <w:rStyle w:val="FootnoteReference"/>
          <w:bCs/>
          <w:sz w:val="28"/>
          <w:szCs w:val="28"/>
        </w:rPr>
        <w:footnoteReference w:id="16"/>
      </w:r>
      <w:r w:rsidR="009B3ECB">
        <w:rPr>
          <w:bCs/>
          <w:sz w:val="28"/>
          <w:szCs w:val="28"/>
        </w:rPr>
        <w:t xml:space="preserve"> </w:t>
      </w:r>
    </w:p>
    <w:p w14:paraId="257EC672" w14:textId="77777777" w:rsidR="00686571" w:rsidRPr="009B3ECB" w:rsidRDefault="00686571" w:rsidP="00CD33E0">
      <w:pPr>
        <w:tabs>
          <w:tab w:val="decimal" w:pos="8280"/>
        </w:tabs>
        <w:spacing w:line="276" w:lineRule="auto"/>
        <w:jc w:val="both"/>
        <w:rPr>
          <w:bCs/>
          <w:sz w:val="16"/>
          <w:szCs w:val="16"/>
        </w:rPr>
      </w:pPr>
    </w:p>
    <w:p w14:paraId="0B8FD803" w14:textId="77777777" w:rsidR="00686571" w:rsidRPr="00416358" w:rsidRDefault="00747306" w:rsidP="00686571">
      <w:pPr>
        <w:tabs>
          <w:tab w:val="decimal" w:pos="8280"/>
        </w:tabs>
        <w:spacing w:line="276" w:lineRule="auto"/>
        <w:jc w:val="both"/>
        <w:rPr>
          <w:b/>
          <w:sz w:val="32"/>
          <w:szCs w:val="32"/>
        </w:rPr>
      </w:pPr>
      <w:r w:rsidRPr="00416358">
        <w:rPr>
          <w:b/>
          <w:sz w:val="32"/>
          <w:szCs w:val="32"/>
        </w:rPr>
        <w:t>2.</w:t>
      </w:r>
      <w:r w:rsidR="00686571" w:rsidRPr="00416358">
        <w:rPr>
          <w:b/>
          <w:sz w:val="32"/>
          <w:szCs w:val="32"/>
        </w:rPr>
        <w:t xml:space="preserve">10 Limits on the Prevalence of Registration over Use  </w:t>
      </w:r>
    </w:p>
    <w:p w14:paraId="285EA157" w14:textId="77777777" w:rsidR="00416358" w:rsidRPr="009B3ECB" w:rsidRDefault="00416358" w:rsidP="00686571">
      <w:pPr>
        <w:tabs>
          <w:tab w:val="decimal" w:pos="8280"/>
        </w:tabs>
        <w:spacing w:line="276" w:lineRule="auto"/>
        <w:jc w:val="both"/>
        <w:rPr>
          <w:bCs/>
          <w:sz w:val="16"/>
          <w:szCs w:val="16"/>
        </w:rPr>
      </w:pPr>
    </w:p>
    <w:p w14:paraId="07FC95AF" w14:textId="19099001" w:rsidR="00FE4212" w:rsidRDefault="00686571" w:rsidP="00303374">
      <w:pPr>
        <w:tabs>
          <w:tab w:val="decimal" w:pos="8280"/>
        </w:tabs>
        <w:spacing w:line="276" w:lineRule="auto"/>
        <w:ind w:firstLine="540"/>
        <w:jc w:val="both"/>
        <w:rPr>
          <w:bCs/>
          <w:sz w:val="28"/>
          <w:szCs w:val="28"/>
        </w:rPr>
      </w:pPr>
      <w:r w:rsidRPr="00686571">
        <w:rPr>
          <w:bCs/>
          <w:sz w:val="28"/>
          <w:szCs w:val="28"/>
        </w:rPr>
        <w:t>The UAE legal s</w:t>
      </w:r>
      <w:r w:rsidR="00680F61">
        <w:rPr>
          <w:bCs/>
          <w:sz w:val="28"/>
          <w:szCs w:val="28"/>
        </w:rPr>
        <w:t>ystem as well as</w:t>
      </w:r>
      <w:r w:rsidRPr="00686571">
        <w:rPr>
          <w:bCs/>
          <w:sz w:val="28"/>
          <w:szCs w:val="28"/>
        </w:rPr>
        <w:t xml:space="preserve"> comparative law</w:t>
      </w:r>
      <w:r w:rsidR="00680F61">
        <w:rPr>
          <w:bCs/>
          <w:sz w:val="28"/>
          <w:szCs w:val="28"/>
        </w:rPr>
        <w:t>s</w:t>
      </w:r>
      <w:r w:rsidRPr="00686571">
        <w:rPr>
          <w:bCs/>
          <w:sz w:val="28"/>
          <w:szCs w:val="28"/>
        </w:rPr>
        <w:t xml:space="preserve"> set strict limits that the registration system cannot exceed, as the evidentiary value of registration collapses and the protection granted to the registrant falls away in certain cases, the most i</w:t>
      </w:r>
      <w:r w:rsidR="00137005">
        <w:rPr>
          <w:bCs/>
          <w:sz w:val="28"/>
          <w:szCs w:val="28"/>
        </w:rPr>
        <w:t xml:space="preserve">mportant of which is bad faith, being deemed </w:t>
      </w:r>
      <w:r w:rsidRPr="00686571">
        <w:rPr>
          <w:bCs/>
          <w:sz w:val="28"/>
          <w:szCs w:val="28"/>
        </w:rPr>
        <w:t>the greatest exception that breaks the five-year limitation barrier for fortifying registration. If the trademark registration is accompanied by bad faith, such as proving that</w:t>
      </w:r>
      <w:r w:rsidR="00137005">
        <w:rPr>
          <w:bCs/>
          <w:sz w:val="28"/>
          <w:szCs w:val="28"/>
        </w:rPr>
        <w:t xml:space="preserve"> the registrant has</w:t>
      </w:r>
      <w:r w:rsidRPr="00686571">
        <w:rPr>
          <w:bCs/>
          <w:sz w:val="28"/>
          <w:szCs w:val="28"/>
        </w:rPr>
        <w:t xml:space="preserve"> prior certain and documented knowledge of the existence of the mark and </w:t>
      </w:r>
      <w:r w:rsidR="00137005">
        <w:rPr>
          <w:bCs/>
          <w:sz w:val="28"/>
          <w:szCs w:val="28"/>
        </w:rPr>
        <w:t>that it is</w:t>
      </w:r>
      <w:r w:rsidRPr="00686571">
        <w:rPr>
          <w:bCs/>
          <w:sz w:val="28"/>
          <w:szCs w:val="28"/>
        </w:rPr>
        <w:t xml:space="preserve"> o</w:t>
      </w:r>
      <w:r w:rsidR="00137005">
        <w:rPr>
          <w:bCs/>
          <w:sz w:val="28"/>
          <w:szCs w:val="28"/>
        </w:rPr>
        <w:t xml:space="preserve">wned and used by another party, </w:t>
      </w:r>
      <w:r w:rsidRPr="00686571">
        <w:rPr>
          <w:bCs/>
          <w:sz w:val="28"/>
          <w:szCs w:val="28"/>
        </w:rPr>
        <w:t>whethe</w:t>
      </w:r>
      <w:r w:rsidR="00137005">
        <w:rPr>
          <w:bCs/>
          <w:sz w:val="28"/>
          <w:szCs w:val="28"/>
        </w:rPr>
        <w:t>r inside or outside the country</w:t>
      </w:r>
      <w:r w:rsidRPr="00686571">
        <w:rPr>
          <w:bCs/>
          <w:sz w:val="28"/>
          <w:szCs w:val="28"/>
        </w:rPr>
        <w:t xml:space="preserve">, </w:t>
      </w:r>
      <w:r w:rsidR="00137005">
        <w:rPr>
          <w:bCs/>
          <w:sz w:val="28"/>
          <w:szCs w:val="28"/>
        </w:rPr>
        <w:t xml:space="preserve">having prior intention to block or extort that party, </w:t>
      </w:r>
      <w:r w:rsidRPr="00686571">
        <w:rPr>
          <w:bCs/>
          <w:sz w:val="28"/>
          <w:szCs w:val="28"/>
        </w:rPr>
        <w:t>then the limitation condition is nullified according to the jurisprudential rule</w:t>
      </w:r>
      <w:r w:rsidR="00137005">
        <w:rPr>
          <w:bCs/>
          <w:sz w:val="28"/>
          <w:szCs w:val="28"/>
        </w:rPr>
        <w:t>, which stipulates that</w:t>
      </w:r>
      <w:r w:rsidRPr="00686571">
        <w:rPr>
          <w:bCs/>
          <w:sz w:val="28"/>
          <w:szCs w:val="28"/>
        </w:rPr>
        <w:t xml:space="preserve"> "fraud corrupts everything," and the door for annulment and cancellation challenges remains open forever to protect public order and commercial integrity</w:t>
      </w:r>
      <w:r w:rsidR="00D72312">
        <w:rPr>
          <w:bCs/>
          <w:sz w:val="28"/>
          <w:szCs w:val="28"/>
        </w:rPr>
        <w:t xml:space="preserve"> </w:t>
      </w:r>
      <w:r w:rsidR="00D72312" w:rsidRPr="00D72312">
        <w:rPr>
          <w:bCs/>
          <w:sz w:val="28"/>
          <w:szCs w:val="28"/>
        </w:rPr>
        <w:t>(Al Tamimi &amp; Company, 2016)</w:t>
      </w:r>
      <w:r w:rsidR="00137005">
        <w:rPr>
          <w:bCs/>
          <w:sz w:val="28"/>
          <w:szCs w:val="28"/>
        </w:rPr>
        <w:t>.</w:t>
      </w:r>
    </w:p>
    <w:p w14:paraId="51604D90" w14:textId="607BC9E1" w:rsidR="00137005" w:rsidRDefault="00137005" w:rsidP="00303374">
      <w:pPr>
        <w:tabs>
          <w:tab w:val="decimal" w:pos="8280"/>
        </w:tabs>
        <w:spacing w:line="276" w:lineRule="auto"/>
        <w:ind w:firstLine="540"/>
        <w:jc w:val="both"/>
        <w:rPr>
          <w:bCs/>
          <w:sz w:val="28"/>
          <w:szCs w:val="28"/>
        </w:rPr>
      </w:pPr>
      <w:r>
        <w:rPr>
          <w:bCs/>
          <w:sz w:val="28"/>
          <w:szCs w:val="28"/>
        </w:rPr>
        <w:t xml:space="preserve"> </w:t>
      </w:r>
    </w:p>
    <w:p w14:paraId="768C67AC" w14:textId="77777777" w:rsidR="00686571" w:rsidRPr="002102E7" w:rsidRDefault="00686571" w:rsidP="00137005">
      <w:pPr>
        <w:tabs>
          <w:tab w:val="decimal" w:pos="8280"/>
        </w:tabs>
        <w:spacing w:line="276" w:lineRule="auto"/>
        <w:jc w:val="both"/>
        <w:rPr>
          <w:bCs/>
          <w:sz w:val="16"/>
          <w:szCs w:val="16"/>
        </w:rPr>
      </w:pPr>
      <w:r w:rsidRPr="00686571">
        <w:rPr>
          <w:bCs/>
          <w:sz w:val="28"/>
          <w:szCs w:val="28"/>
        </w:rPr>
        <w:t xml:space="preserve">  </w:t>
      </w:r>
    </w:p>
    <w:p w14:paraId="037233F0" w14:textId="77777777" w:rsidR="00686571" w:rsidRPr="002102E7" w:rsidRDefault="00686571" w:rsidP="00686571">
      <w:pPr>
        <w:tabs>
          <w:tab w:val="decimal" w:pos="8280"/>
        </w:tabs>
        <w:spacing w:line="276" w:lineRule="auto"/>
        <w:jc w:val="both"/>
        <w:rPr>
          <w:b/>
          <w:sz w:val="32"/>
          <w:szCs w:val="32"/>
        </w:rPr>
      </w:pPr>
      <w:r w:rsidRPr="002102E7">
        <w:rPr>
          <w:b/>
          <w:sz w:val="32"/>
          <w:szCs w:val="32"/>
        </w:rPr>
        <w:t>2.11 Evalua</w:t>
      </w:r>
      <w:r w:rsidR="002102E7">
        <w:rPr>
          <w:b/>
          <w:sz w:val="32"/>
          <w:szCs w:val="32"/>
        </w:rPr>
        <w:t xml:space="preserve">tion of </w:t>
      </w:r>
      <w:r w:rsidR="002102E7" w:rsidRPr="002102E7">
        <w:rPr>
          <w:b/>
          <w:sz w:val="32"/>
          <w:szCs w:val="32"/>
        </w:rPr>
        <w:t>Legal Regulation &amp;</w:t>
      </w:r>
      <w:r w:rsidRPr="002102E7">
        <w:rPr>
          <w:b/>
          <w:sz w:val="32"/>
          <w:szCs w:val="32"/>
        </w:rPr>
        <w:t xml:space="preserve"> Legislative Development Proposals  </w:t>
      </w:r>
    </w:p>
    <w:p w14:paraId="4F3F3ACE" w14:textId="77777777" w:rsidR="002102E7" w:rsidRPr="002102E7" w:rsidRDefault="002102E7" w:rsidP="00686571">
      <w:pPr>
        <w:tabs>
          <w:tab w:val="decimal" w:pos="8280"/>
        </w:tabs>
        <w:spacing w:line="276" w:lineRule="auto"/>
        <w:jc w:val="both"/>
        <w:rPr>
          <w:bCs/>
          <w:sz w:val="16"/>
          <w:szCs w:val="16"/>
        </w:rPr>
      </w:pPr>
    </w:p>
    <w:p w14:paraId="47BFC8A7" w14:textId="77777777" w:rsidR="009961CB" w:rsidRDefault="002102E7" w:rsidP="00303374">
      <w:pPr>
        <w:tabs>
          <w:tab w:val="decimal" w:pos="8280"/>
        </w:tabs>
        <w:spacing w:line="276" w:lineRule="auto"/>
        <w:ind w:firstLine="540"/>
        <w:jc w:val="both"/>
        <w:rPr>
          <w:bCs/>
          <w:sz w:val="28"/>
          <w:szCs w:val="28"/>
        </w:rPr>
      </w:pPr>
      <w:r>
        <w:rPr>
          <w:bCs/>
          <w:sz w:val="28"/>
          <w:szCs w:val="28"/>
        </w:rPr>
        <w:lastRenderedPageBreak/>
        <w:t>A</w:t>
      </w:r>
      <w:r w:rsidR="00686571" w:rsidRPr="00686571">
        <w:rPr>
          <w:bCs/>
          <w:sz w:val="28"/>
          <w:szCs w:val="28"/>
        </w:rPr>
        <w:t>dvanced anal</w:t>
      </w:r>
      <w:r>
        <w:rPr>
          <w:bCs/>
          <w:sz w:val="28"/>
          <w:szCs w:val="28"/>
        </w:rPr>
        <w:t>ysis of Federal Decree-Law No.36 of 2021 as well as</w:t>
      </w:r>
      <w:r w:rsidR="00686571" w:rsidRPr="00686571">
        <w:rPr>
          <w:bCs/>
          <w:sz w:val="28"/>
          <w:szCs w:val="28"/>
        </w:rPr>
        <w:t xml:space="preserve"> comparative legislations</w:t>
      </w:r>
      <w:r>
        <w:rPr>
          <w:bCs/>
          <w:sz w:val="28"/>
          <w:szCs w:val="28"/>
        </w:rPr>
        <w:t xml:space="preserve">, </w:t>
      </w:r>
      <w:r w:rsidR="00686571" w:rsidRPr="00686571">
        <w:rPr>
          <w:bCs/>
          <w:sz w:val="28"/>
          <w:szCs w:val="28"/>
        </w:rPr>
        <w:t>such as Egyptian Law No. 82 of 2002, Jordanian Law No. 33 of 1952, and Iraqi leg</w:t>
      </w:r>
      <w:r>
        <w:rPr>
          <w:bCs/>
          <w:sz w:val="28"/>
          <w:szCs w:val="28"/>
        </w:rPr>
        <w:t>islation, has clarified</w:t>
      </w:r>
      <w:r w:rsidR="00686571" w:rsidRPr="00686571">
        <w:rPr>
          <w:bCs/>
          <w:sz w:val="28"/>
          <w:szCs w:val="28"/>
        </w:rPr>
        <w:t xml:space="preserve"> that the UAE legislator has largely succeeded in addressing the issues of trademarks with legislative professional</w:t>
      </w:r>
      <w:r>
        <w:rPr>
          <w:bCs/>
          <w:sz w:val="28"/>
          <w:szCs w:val="28"/>
        </w:rPr>
        <w:t>ism that aligns with the State</w:t>
      </w:r>
      <w:r w:rsidR="00686571" w:rsidRPr="00686571">
        <w:rPr>
          <w:bCs/>
          <w:sz w:val="28"/>
          <w:szCs w:val="28"/>
        </w:rPr>
        <w:t xml:space="preserve"> obligations under the TRIPS Agreement and the Paris Convention, providing commendable flexibility</w:t>
      </w:r>
      <w:r>
        <w:rPr>
          <w:bCs/>
          <w:sz w:val="28"/>
          <w:szCs w:val="28"/>
        </w:rPr>
        <w:t xml:space="preserve"> to the Ministry of Economy,</w:t>
      </w:r>
      <w:r w:rsidR="00686571" w:rsidRPr="00686571">
        <w:rPr>
          <w:bCs/>
          <w:sz w:val="28"/>
          <w:szCs w:val="28"/>
        </w:rPr>
        <w:t xml:space="preserve"> Appeals Committee, and the judiciary to handle complex disputes</w:t>
      </w:r>
      <w:r>
        <w:rPr>
          <w:bCs/>
          <w:sz w:val="28"/>
          <w:szCs w:val="28"/>
        </w:rPr>
        <w:t>.</w:t>
      </w:r>
      <w:r>
        <w:rPr>
          <w:rStyle w:val="FootnoteReference"/>
          <w:bCs/>
          <w:sz w:val="28"/>
          <w:szCs w:val="28"/>
        </w:rPr>
        <w:footnoteReference w:id="17"/>
      </w:r>
      <w:r w:rsidR="00686571" w:rsidRPr="00686571">
        <w:rPr>
          <w:bCs/>
          <w:sz w:val="28"/>
          <w:szCs w:val="28"/>
        </w:rPr>
        <w:t xml:space="preserve">To ensure the stability of the innovation and investment environment and keep pace with the rapid developments brought about by recent judicial rulings and the challenges of e-commerce, the following legislative recommendations can be proposed to develop the system: </w:t>
      </w:r>
    </w:p>
    <w:p w14:paraId="23818403" w14:textId="77777777" w:rsidR="00686571" w:rsidRPr="00303374" w:rsidRDefault="00686571" w:rsidP="002102E7">
      <w:pPr>
        <w:tabs>
          <w:tab w:val="decimal" w:pos="8280"/>
        </w:tabs>
        <w:spacing w:line="276" w:lineRule="auto"/>
        <w:jc w:val="both"/>
        <w:rPr>
          <w:bCs/>
          <w:sz w:val="16"/>
          <w:szCs w:val="16"/>
        </w:rPr>
      </w:pPr>
      <w:r w:rsidRPr="00686571">
        <w:rPr>
          <w:bCs/>
          <w:sz w:val="28"/>
          <w:szCs w:val="28"/>
        </w:rPr>
        <w:t xml:space="preserve"> </w:t>
      </w:r>
    </w:p>
    <w:p w14:paraId="3AB23CA9" w14:textId="77777777" w:rsidR="00686571" w:rsidRPr="009961CB" w:rsidRDefault="00686571" w:rsidP="00303374">
      <w:pPr>
        <w:pStyle w:val="ListParagraph"/>
        <w:numPr>
          <w:ilvl w:val="0"/>
          <w:numId w:val="41"/>
        </w:numPr>
        <w:tabs>
          <w:tab w:val="decimal" w:pos="8280"/>
        </w:tabs>
        <w:spacing w:line="276" w:lineRule="auto"/>
        <w:ind w:left="360"/>
        <w:jc w:val="both"/>
        <w:rPr>
          <w:bCs/>
          <w:sz w:val="28"/>
          <w:szCs w:val="28"/>
        </w:rPr>
      </w:pPr>
      <w:r w:rsidRPr="009961CB">
        <w:rPr>
          <w:bCs/>
          <w:sz w:val="28"/>
          <w:szCs w:val="28"/>
        </w:rPr>
        <w:t xml:space="preserve">Explicit stipulation on the protection of prior use as an original defense  </w:t>
      </w:r>
    </w:p>
    <w:p w14:paraId="62CDE381" w14:textId="77777777" w:rsidR="00303374" w:rsidRPr="00303374" w:rsidRDefault="00303374" w:rsidP="00686571">
      <w:pPr>
        <w:tabs>
          <w:tab w:val="decimal" w:pos="8280"/>
        </w:tabs>
        <w:spacing w:line="276" w:lineRule="auto"/>
        <w:jc w:val="both"/>
        <w:rPr>
          <w:bCs/>
          <w:sz w:val="16"/>
          <w:szCs w:val="16"/>
        </w:rPr>
      </w:pPr>
    </w:p>
    <w:p w14:paraId="0F9DA9FA" w14:textId="77777777" w:rsidR="00686571" w:rsidRDefault="00686571" w:rsidP="00303374">
      <w:pPr>
        <w:tabs>
          <w:tab w:val="decimal" w:pos="8280"/>
        </w:tabs>
        <w:spacing w:line="276" w:lineRule="auto"/>
        <w:ind w:firstLine="540"/>
        <w:jc w:val="both"/>
        <w:rPr>
          <w:bCs/>
          <w:sz w:val="28"/>
          <w:szCs w:val="28"/>
        </w:rPr>
      </w:pPr>
      <w:r w:rsidRPr="00686571">
        <w:rPr>
          <w:bCs/>
          <w:sz w:val="28"/>
          <w:szCs w:val="28"/>
        </w:rPr>
        <w:t>Owners of prior use of unregistered trademarks suffer from the absence of an explicit provision granting them the legal right to rely on prior use "as an explicit and robust defense" against infringement claims filed against them by the registered owner</w:t>
      </w:r>
      <w:r w:rsidR="003A3834">
        <w:rPr>
          <w:rStyle w:val="FootnoteReference"/>
          <w:bCs/>
          <w:sz w:val="28"/>
          <w:szCs w:val="28"/>
        </w:rPr>
        <w:footnoteReference w:id="18"/>
      </w:r>
      <w:r w:rsidRPr="00686571">
        <w:rPr>
          <w:bCs/>
          <w:sz w:val="28"/>
          <w:szCs w:val="28"/>
        </w:rPr>
        <w:t xml:space="preserve"> Currently, the prior user finds themselves compelled to take an offensive position by filing a "counterclaim for cancellation" to repel the accusation of infringement. It is proposed to amend the law to explicitl</w:t>
      </w:r>
      <w:r w:rsidR="003A3834">
        <w:rPr>
          <w:bCs/>
          <w:sz w:val="28"/>
          <w:szCs w:val="28"/>
        </w:rPr>
        <w:t>y stipulate an exceptional rule stating that "t</w:t>
      </w:r>
      <w:r w:rsidRPr="00686571">
        <w:rPr>
          <w:bCs/>
          <w:sz w:val="28"/>
          <w:szCs w:val="28"/>
        </w:rPr>
        <w:t>he owner of the registered trademark may not prevent others from continuing to use an unregistered mark within its usual geographical and qualitative scope, pro</w:t>
      </w:r>
      <w:r w:rsidR="003A3834">
        <w:rPr>
          <w:bCs/>
          <w:sz w:val="28"/>
          <w:szCs w:val="28"/>
        </w:rPr>
        <w:t>vided that this other party beg</w:t>
      </w:r>
      <w:r w:rsidR="008C736A">
        <w:rPr>
          <w:bCs/>
          <w:sz w:val="28"/>
          <w:szCs w:val="28"/>
        </w:rPr>
        <w:t>an</w:t>
      </w:r>
      <w:r w:rsidRPr="00686571">
        <w:rPr>
          <w:bCs/>
          <w:sz w:val="28"/>
          <w:szCs w:val="28"/>
        </w:rPr>
        <w:t xml:space="preserve"> </w:t>
      </w:r>
      <w:r w:rsidR="003A3834">
        <w:rPr>
          <w:bCs/>
          <w:sz w:val="28"/>
          <w:szCs w:val="28"/>
        </w:rPr>
        <w:t>using it in good faith</w:t>
      </w:r>
      <w:r w:rsidRPr="00686571">
        <w:rPr>
          <w:bCs/>
          <w:sz w:val="28"/>
          <w:szCs w:val="28"/>
        </w:rPr>
        <w:t>, and continuously in the State before the date of filing the registered trademark application."</w:t>
      </w:r>
    </w:p>
    <w:p w14:paraId="2E8E94B1" w14:textId="77777777" w:rsidR="00686571" w:rsidRPr="008C736A" w:rsidRDefault="00686571" w:rsidP="00686571">
      <w:pPr>
        <w:tabs>
          <w:tab w:val="decimal" w:pos="8280"/>
        </w:tabs>
        <w:spacing w:line="276" w:lineRule="auto"/>
        <w:jc w:val="both"/>
        <w:rPr>
          <w:bCs/>
          <w:sz w:val="16"/>
          <w:szCs w:val="16"/>
          <w:vertAlign w:val="subscript"/>
        </w:rPr>
      </w:pPr>
    </w:p>
    <w:p w14:paraId="2EEB1EF9" w14:textId="77777777" w:rsidR="009961CB" w:rsidRDefault="00686571" w:rsidP="00FB1B7A">
      <w:pPr>
        <w:pStyle w:val="ListParagraph"/>
        <w:numPr>
          <w:ilvl w:val="0"/>
          <w:numId w:val="41"/>
        </w:numPr>
        <w:tabs>
          <w:tab w:val="decimal" w:pos="8280"/>
        </w:tabs>
        <w:spacing w:line="276" w:lineRule="auto"/>
        <w:ind w:left="360"/>
        <w:jc w:val="both"/>
        <w:rPr>
          <w:bCs/>
          <w:sz w:val="28"/>
          <w:szCs w:val="28"/>
        </w:rPr>
      </w:pPr>
      <w:r w:rsidRPr="009961CB">
        <w:rPr>
          <w:bCs/>
          <w:sz w:val="28"/>
          <w:szCs w:val="28"/>
        </w:rPr>
        <w:t>Definition and Establishment of Clear Obje</w:t>
      </w:r>
      <w:r w:rsidR="009961CB">
        <w:rPr>
          <w:bCs/>
          <w:sz w:val="28"/>
          <w:szCs w:val="28"/>
        </w:rPr>
        <w:t>ctive Criteria for "Bad Faith"</w:t>
      </w:r>
    </w:p>
    <w:p w14:paraId="0D0FF3AD" w14:textId="77777777" w:rsidR="00303374" w:rsidRPr="008C736A" w:rsidRDefault="00303374" w:rsidP="009961CB">
      <w:pPr>
        <w:tabs>
          <w:tab w:val="decimal" w:pos="8280"/>
        </w:tabs>
        <w:spacing w:line="276" w:lineRule="auto"/>
        <w:jc w:val="both"/>
        <w:rPr>
          <w:bCs/>
          <w:sz w:val="16"/>
          <w:szCs w:val="16"/>
          <w:vertAlign w:val="subscript"/>
        </w:rPr>
      </w:pPr>
    </w:p>
    <w:p w14:paraId="3803F6AF" w14:textId="34265E5C" w:rsidR="00FB1B7A" w:rsidRDefault="00686571" w:rsidP="008C736A">
      <w:pPr>
        <w:tabs>
          <w:tab w:val="decimal" w:pos="8280"/>
        </w:tabs>
        <w:spacing w:line="276" w:lineRule="auto"/>
        <w:ind w:firstLine="540"/>
        <w:jc w:val="both"/>
        <w:rPr>
          <w:bCs/>
          <w:sz w:val="28"/>
          <w:szCs w:val="28"/>
        </w:rPr>
      </w:pPr>
      <w:r w:rsidRPr="009961CB">
        <w:rPr>
          <w:bCs/>
          <w:sz w:val="28"/>
          <w:szCs w:val="28"/>
        </w:rPr>
        <w:t>Since "bad faith" is considered the strongest exception that undermines the validity of registration and destroys the immunity of the five-year period, Arab laws, including the UAE</w:t>
      </w:r>
      <w:r w:rsidR="008C736A">
        <w:rPr>
          <w:bCs/>
          <w:sz w:val="28"/>
          <w:szCs w:val="28"/>
        </w:rPr>
        <w:t xml:space="preserve"> L</w:t>
      </w:r>
      <w:r w:rsidRPr="009961CB">
        <w:rPr>
          <w:bCs/>
          <w:sz w:val="28"/>
          <w:szCs w:val="28"/>
        </w:rPr>
        <w:t xml:space="preserve">aw, </w:t>
      </w:r>
      <w:r w:rsidR="008C736A">
        <w:rPr>
          <w:bCs/>
          <w:sz w:val="28"/>
          <w:szCs w:val="28"/>
        </w:rPr>
        <w:t xml:space="preserve">do </w:t>
      </w:r>
      <w:r w:rsidRPr="009961CB">
        <w:rPr>
          <w:bCs/>
          <w:sz w:val="28"/>
          <w:szCs w:val="28"/>
        </w:rPr>
        <w:t>lack a comprehensive and precise definition of the concept of "bad faith" in this context, leaving it to judicial discretion</w:t>
      </w:r>
      <w:r w:rsidR="00EE20A0">
        <w:rPr>
          <w:bCs/>
          <w:sz w:val="28"/>
          <w:szCs w:val="28"/>
        </w:rPr>
        <w:t xml:space="preserve"> </w:t>
      </w:r>
      <w:r w:rsidR="00EE20A0" w:rsidRPr="00EE20A0">
        <w:rPr>
          <w:bCs/>
          <w:sz w:val="28"/>
          <w:szCs w:val="28"/>
        </w:rPr>
        <w:t>(Al Tamimi &amp; Company, 2012)</w:t>
      </w:r>
      <w:r w:rsidR="008C736A">
        <w:rPr>
          <w:bCs/>
          <w:sz w:val="28"/>
          <w:szCs w:val="28"/>
        </w:rPr>
        <w:t>.</w:t>
      </w:r>
    </w:p>
    <w:p w14:paraId="0B1B7251" w14:textId="77777777" w:rsidR="008C736A" w:rsidRPr="008C736A" w:rsidRDefault="008C736A" w:rsidP="008C736A">
      <w:pPr>
        <w:tabs>
          <w:tab w:val="decimal" w:pos="8280"/>
        </w:tabs>
        <w:spacing w:line="276" w:lineRule="auto"/>
        <w:ind w:firstLine="540"/>
        <w:jc w:val="both"/>
        <w:rPr>
          <w:bCs/>
          <w:sz w:val="16"/>
          <w:szCs w:val="16"/>
          <w:vertAlign w:val="subscript"/>
        </w:rPr>
      </w:pPr>
    </w:p>
    <w:p w14:paraId="36FD3FA1" w14:textId="77777777" w:rsidR="009961CB" w:rsidRDefault="00686571" w:rsidP="00FB1B7A">
      <w:pPr>
        <w:pStyle w:val="ListParagraph"/>
        <w:numPr>
          <w:ilvl w:val="0"/>
          <w:numId w:val="41"/>
        </w:numPr>
        <w:tabs>
          <w:tab w:val="decimal" w:pos="8280"/>
        </w:tabs>
        <w:spacing w:line="276" w:lineRule="auto"/>
        <w:ind w:left="360"/>
        <w:jc w:val="both"/>
        <w:rPr>
          <w:bCs/>
          <w:sz w:val="28"/>
          <w:szCs w:val="28"/>
        </w:rPr>
      </w:pPr>
      <w:r w:rsidRPr="009961CB">
        <w:rPr>
          <w:bCs/>
          <w:sz w:val="28"/>
          <w:szCs w:val="28"/>
        </w:rPr>
        <w:t>A legislative text should be introduced detail</w:t>
      </w:r>
      <w:r w:rsidR="009961CB">
        <w:rPr>
          <w:bCs/>
          <w:sz w:val="28"/>
          <w:szCs w:val="28"/>
        </w:rPr>
        <w:t>ing presumed cases of bad faith</w:t>
      </w:r>
      <w:r w:rsidRPr="009961CB">
        <w:rPr>
          <w:bCs/>
          <w:sz w:val="28"/>
          <w:szCs w:val="28"/>
        </w:rPr>
        <w:t xml:space="preserve"> </w:t>
      </w:r>
    </w:p>
    <w:p w14:paraId="2C7ED1CA" w14:textId="77777777" w:rsidR="00FB1B7A" w:rsidRPr="008C736A" w:rsidRDefault="00FB1B7A" w:rsidP="009961CB">
      <w:pPr>
        <w:tabs>
          <w:tab w:val="decimal" w:pos="8280"/>
        </w:tabs>
        <w:spacing w:line="276" w:lineRule="auto"/>
        <w:jc w:val="both"/>
        <w:rPr>
          <w:bCs/>
          <w:sz w:val="16"/>
          <w:szCs w:val="16"/>
        </w:rPr>
      </w:pPr>
    </w:p>
    <w:p w14:paraId="1843051B" w14:textId="77777777" w:rsidR="00FB1B7A" w:rsidRDefault="00FB1B7A" w:rsidP="003B7F43">
      <w:pPr>
        <w:tabs>
          <w:tab w:val="decimal" w:pos="8280"/>
        </w:tabs>
        <w:spacing w:line="276" w:lineRule="auto"/>
        <w:ind w:firstLine="720"/>
        <w:jc w:val="both"/>
        <w:rPr>
          <w:bCs/>
          <w:sz w:val="28"/>
          <w:szCs w:val="28"/>
        </w:rPr>
      </w:pPr>
      <w:r>
        <w:rPr>
          <w:bCs/>
          <w:sz w:val="28"/>
          <w:szCs w:val="28"/>
        </w:rPr>
        <w:t>This text might refer to "</w:t>
      </w:r>
      <w:r w:rsidR="00686571" w:rsidRPr="009961CB">
        <w:rPr>
          <w:bCs/>
          <w:sz w:val="28"/>
          <w:szCs w:val="28"/>
        </w:rPr>
        <w:t>proving the registrant's prior knowledge of the original owner's dealings outside the country with an explicit intention of extortion, or exploiting previous contractual relationships such as agency or distribution to secretly register th</w:t>
      </w:r>
      <w:r>
        <w:rPr>
          <w:bCs/>
          <w:sz w:val="28"/>
          <w:szCs w:val="28"/>
        </w:rPr>
        <w:t>e mark for monopolistic purposes</w:t>
      </w:r>
      <w:r w:rsidR="00686571" w:rsidRPr="009961CB">
        <w:rPr>
          <w:bCs/>
          <w:sz w:val="28"/>
          <w:szCs w:val="28"/>
        </w:rPr>
        <w:t>.</w:t>
      </w:r>
      <w:r>
        <w:rPr>
          <w:bCs/>
          <w:sz w:val="28"/>
          <w:szCs w:val="28"/>
        </w:rPr>
        <w:t>"</w:t>
      </w:r>
    </w:p>
    <w:p w14:paraId="5E27A4AA" w14:textId="77777777" w:rsidR="00303374" w:rsidRPr="008C736A" w:rsidRDefault="00686571" w:rsidP="00FB1B7A">
      <w:pPr>
        <w:tabs>
          <w:tab w:val="decimal" w:pos="8280"/>
        </w:tabs>
        <w:spacing w:line="276" w:lineRule="auto"/>
        <w:jc w:val="both"/>
        <w:rPr>
          <w:bCs/>
          <w:sz w:val="16"/>
          <w:szCs w:val="16"/>
        </w:rPr>
      </w:pPr>
      <w:r w:rsidRPr="009961CB">
        <w:rPr>
          <w:bCs/>
          <w:sz w:val="28"/>
          <w:szCs w:val="28"/>
        </w:rPr>
        <w:t xml:space="preserve"> </w:t>
      </w:r>
    </w:p>
    <w:p w14:paraId="31E4EF04" w14:textId="77777777" w:rsidR="00303374" w:rsidRDefault="008C736A" w:rsidP="00FB1B7A">
      <w:pPr>
        <w:pStyle w:val="ListParagraph"/>
        <w:numPr>
          <w:ilvl w:val="0"/>
          <w:numId w:val="41"/>
        </w:numPr>
        <w:tabs>
          <w:tab w:val="decimal" w:pos="8280"/>
        </w:tabs>
        <w:spacing w:line="276" w:lineRule="auto"/>
        <w:ind w:left="360"/>
        <w:jc w:val="both"/>
        <w:rPr>
          <w:bCs/>
          <w:sz w:val="28"/>
          <w:szCs w:val="28"/>
        </w:rPr>
      </w:pPr>
      <w:r>
        <w:rPr>
          <w:bCs/>
          <w:sz w:val="28"/>
          <w:szCs w:val="28"/>
        </w:rPr>
        <w:lastRenderedPageBreak/>
        <w:t>Implementation</w:t>
      </w:r>
      <w:r w:rsidR="00303374">
        <w:rPr>
          <w:bCs/>
          <w:sz w:val="28"/>
          <w:szCs w:val="28"/>
        </w:rPr>
        <w:t xml:space="preserve"> of</w:t>
      </w:r>
      <w:r w:rsidR="00686571" w:rsidRPr="00303374">
        <w:rPr>
          <w:bCs/>
          <w:sz w:val="28"/>
          <w:szCs w:val="28"/>
        </w:rPr>
        <w:t xml:space="preserve"> the Anglo-Saxon principle known as "acquiescence coupled with tolerance." </w:t>
      </w:r>
    </w:p>
    <w:p w14:paraId="36B23D74" w14:textId="77777777" w:rsidR="00FB1B7A" w:rsidRPr="008C736A" w:rsidRDefault="00FB1B7A" w:rsidP="00303374">
      <w:pPr>
        <w:tabs>
          <w:tab w:val="decimal" w:pos="8280"/>
        </w:tabs>
        <w:spacing w:line="276" w:lineRule="auto"/>
        <w:jc w:val="both"/>
        <w:rPr>
          <w:bCs/>
          <w:sz w:val="16"/>
          <w:szCs w:val="16"/>
        </w:rPr>
      </w:pPr>
    </w:p>
    <w:p w14:paraId="6EEC4C2D" w14:textId="0A55B914" w:rsidR="00686571" w:rsidRDefault="008C736A" w:rsidP="003B7F43">
      <w:pPr>
        <w:tabs>
          <w:tab w:val="decimal" w:pos="8280"/>
        </w:tabs>
        <w:spacing w:line="276" w:lineRule="auto"/>
        <w:ind w:firstLine="720"/>
        <w:jc w:val="both"/>
      </w:pPr>
      <w:r>
        <w:rPr>
          <w:bCs/>
          <w:sz w:val="28"/>
          <w:szCs w:val="28"/>
        </w:rPr>
        <w:t>If the original prior user know</w:t>
      </w:r>
      <w:r w:rsidR="00680F61">
        <w:rPr>
          <w:bCs/>
          <w:sz w:val="28"/>
          <w:szCs w:val="28"/>
        </w:rPr>
        <w:t>s</w:t>
      </w:r>
      <w:r w:rsidR="00686571" w:rsidRPr="00303374">
        <w:rPr>
          <w:bCs/>
          <w:sz w:val="28"/>
          <w:szCs w:val="28"/>
        </w:rPr>
        <w:t xml:space="preserve"> of the competitor's r</w:t>
      </w:r>
      <w:r>
        <w:rPr>
          <w:bCs/>
          <w:sz w:val="28"/>
          <w:szCs w:val="28"/>
        </w:rPr>
        <w:t>egistration of the mark and begi</w:t>
      </w:r>
      <w:r w:rsidR="00686571" w:rsidRPr="00303374">
        <w:rPr>
          <w:bCs/>
          <w:sz w:val="28"/>
          <w:szCs w:val="28"/>
        </w:rPr>
        <w:t>n</w:t>
      </w:r>
      <w:r>
        <w:rPr>
          <w:bCs/>
          <w:sz w:val="28"/>
          <w:szCs w:val="28"/>
        </w:rPr>
        <w:t>s</w:t>
      </w:r>
      <w:r w:rsidR="00686571" w:rsidRPr="00303374">
        <w:rPr>
          <w:bCs/>
          <w:sz w:val="28"/>
          <w:szCs w:val="28"/>
        </w:rPr>
        <w:t xml:space="preserve"> to exploit it commercially,</w:t>
      </w:r>
      <w:r>
        <w:rPr>
          <w:bCs/>
          <w:sz w:val="28"/>
          <w:szCs w:val="28"/>
        </w:rPr>
        <w:t xml:space="preserve"> and the original owner remains</w:t>
      </w:r>
      <w:r w:rsidR="00686571" w:rsidRPr="00303374">
        <w:rPr>
          <w:bCs/>
          <w:sz w:val="28"/>
          <w:szCs w:val="28"/>
        </w:rPr>
        <w:t xml:space="preserve"> silent and tolerant of this registration and public use for several consecutive years (even if less than the legal limitation period), which le</w:t>
      </w:r>
      <w:r w:rsidR="003B7F43">
        <w:rPr>
          <w:bCs/>
          <w:sz w:val="28"/>
          <w:szCs w:val="28"/>
        </w:rPr>
        <w:t>a</w:t>
      </w:r>
      <w:r w:rsidR="00686571" w:rsidRPr="00303374">
        <w:rPr>
          <w:bCs/>
          <w:sz w:val="28"/>
          <w:szCs w:val="28"/>
        </w:rPr>
        <w:t>d</w:t>
      </w:r>
      <w:r w:rsidR="003B7F43">
        <w:rPr>
          <w:bCs/>
          <w:sz w:val="28"/>
          <w:szCs w:val="28"/>
        </w:rPr>
        <w:t>s</w:t>
      </w:r>
      <w:r w:rsidR="00686571" w:rsidRPr="00303374">
        <w:rPr>
          <w:bCs/>
          <w:sz w:val="28"/>
          <w:szCs w:val="28"/>
        </w:rPr>
        <w:t xml:space="preserve"> the second registrant to make substantial investments based on this implicit silence, the first user's right to claim cancellation and compensation should be forfeited, to protect the economic stability of the good-faith registrant who </w:t>
      </w:r>
      <w:r w:rsidR="003B7F43">
        <w:rPr>
          <w:bCs/>
          <w:sz w:val="28"/>
          <w:szCs w:val="28"/>
        </w:rPr>
        <w:t xml:space="preserve">has </w:t>
      </w:r>
      <w:r w:rsidR="00686571" w:rsidRPr="00303374">
        <w:rPr>
          <w:bCs/>
          <w:sz w:val="28"/>
          <w:szCs w:val="28"/>
        </w:rPr>
        <w:t>relied on that tolerance</w:t>
      </w:r>
      <w:r w:rsidR="006C6488">
        <w:rPr>
          <w:bCs/>
          <w:sz w:val="28"/>
          <w:szCs w:val="28"/>
        </w:rPr>
        <w:t xml:space="preserve"> </w:t>
      </w:r>
      <w:r w:rsidR="007B3308" w:rsidRPr="007B3308">
        <w:rPr>
          <w:bCs/>
          <w:sz w:val="28"/>
          <w:szCs w:val="28"/>
        </w:rPr>
        <w:t>(Al Tamimi &amp; Company, 2012)</w:t>
      </w:r>
      <w:r w:rsidR="003B7F43">
        <w:rPr>
          <w:bCs/>
          <w:sz w:val="28"/>
          <w:szCs w:val="28"/>
        </w:rPr>
        <w:t>.</w:t>
      </w:r>
      <w:r w:rsidR="003B7F43">
        <w:rPr>
          <w:rStyle w:val="FootnoteReference"/>
          <w:bCs/>
          <w:sz w:val="28"/>
          <w:szCs w:val="28"/>
        </w:rPr>
        <w:footnoteReference w:id="19"/>
      </w:r>
    </w:p>
    <w:p w14:paraId="7A334DA9" w14:textId="77777777" w:rsidR="00FB1B7A" w:rsidRPr="003B7F43" w:rsidRDefault="00FB1B7A" w:rsidP="00303374">
      <w:pPr>
        <w:tabs>
          <w:tab w:val="decimal" w:pos="8280"/>
        </w:tabs>
        <w:spacing w:line="276" w:lineRule="auto"/>
        <w:jc w:val="both"/>
        <w:rPr>
          <w:bCs/>
          <w:sz w:val="16"/>
          <w:szCs w:val="16"/>
        </w:rPr>
      </w:pPr>
    </w:p>
    <w:p w14:paraId="1D373B37" w14:textId="77777777" w:rsidR="00303374" w:rsidRDefault="00686571" w:rsidP="003B7F43">
      <w:pPr>
        <w:pStyle w:val="ListParagraph"/>
        <w:numPr>
          <w:ilvl w:val="0"/>
          <w:numId w:val="41"/>
        </w:numPr>
        <w:tabs>
          <w:tab w:val="decimal" w:pos="8280"/>
        </w:tabs>
        <w:spacing w:line="276" w:lineRule="auto"/>
        <w:ind w:left="360"/>
        <w:jc w:val="both"/>
        <w:rPr>
          <w:bCs/>
          <w:sz w:val="28"/>
          <w:szCs w:val="28"/>
        </w:rPr>
      </w:pPr>
      <w:r w:rsidRPr="00303374">
        <w:rPr>
          <w:bCs/>
          <w:sz w:val="28"/>
          <w:szCs w:val="28"/>
        </w:rPr>
        <w:t xml:space="preserve">Expanding </w:t>
      </w:r>
      <w:r w:rsidR="003B7F43">
        <w:rPr>
          <w:bCs/>
          <w:sz w:val="28"/>
          <w:szCs w:val="28"/>
        </w:rPr>
        <w:t>&amp;</w:t>
      </w:r>
      <w:r w:rsidRPr="00303374">
        <w:rPr>
          <w:bCs/>
          <w:sz w:val="28"/>
          <w:szCs w:val="28"/>
        </w:rPr>
        <w:t xml:space="preserve"> Regulating the Scope of Civil Protection (Unfair Competition Lawsuit) </w:t>
      </w:r>
    </w:p>
    <w:p w14:paraId="6AE77955" w14:textId="77777777" w:rsidR="00FB1B7A" w:rsidRPr="003B7F43" w:rsidRDefault="00FB1B7A" w:rsidP="00303374">
      <w:pPr>
        <w:tabs>
          <w:tab w:val="decimal" w:pos="8280"/>
        </w:tabs>
        <w:spacing w:line="276" w:lineRule="auto"/>
        <w:jc w:val="both"/>
        <w:rPr>
          <w:bCs/>
          <w:sz w:val="16"/>
          <w:szCs w:val="16"/>
        </w:rPr>
      </w:pPr>
    </w:p>
    <w:p w14:paraId="4D268F3D" w14:textId="599DFD3D" w:rsidR="00686571" w:rsidRPr="00303374" w:rsidRDefault="003B7F43" w:rsidP="003B7F43">
      <w:pPr>
        <w:tabs>
          <w:tab w:val="decimal" w:pos="8280"/>
        </w:tabs>
        <w:spacing w:line="276" w:lineRule="auto"/>
        <w:ind w:firstLine="810"/>
        <w:jc w:val="both"/>
        <w:rPr>
          <w:bCs/>
          <w:sz w:val="28"/>
          <w:szCs w:val="28"/>
        </w:rPr>
      </w:pPr>
      <w:r>
        <w:rPr>
          <w:bCs/>
          <w:sz w:val="28"/>
          <w:szCs w:val="28"/>
        </w:rPr>
        <w:t>The legislator is required to</w:t>
      </w:r>
      <w:r w:rsidR="00686571" w:rsidRPr="00303374">
        <w:rPr>
          <w:bCs/>
          <w:sz w:val="28"/>
          <w:szCs w:val="28"/>
        </w:rPr>
        <w:t xml:space="preserve"> strengthen the provisions related to tort liability in competition protection laws </w:t>
      </w:r>
      <w:r>
        <w:rPr>
          <w:bCs/>
          <w:sz w:val="28"/>
          <w:szCs w:val="28"/>
        </w:rPr>
        <w:t xml:space="preserve">so as </w:t>
      </w:r>
      <w:r w:rsidR="00686571" w:rsidRPr="00303374">
        <w:rPr>
          <w:bCs/>
          <w:sz w:val="28"/>
          <w:szCs w:val="28"/>
        </w:rPr>
        <w:t>to ensure the right of the owner using an unregistered trademark to obtain fair and adequate compensation whenever actual infringement on their market share is proven. This requires overcoming the legislative defi</w:t>
      </w:r>
      <w:r>
        <w:rPr>
          <w:bCs/>
          <w:sz w:val="28"/>
          <w:szCs w:val="28"/>
        </w:rPr>
        <w:t xml:space="preserve">ciencies in some regional laws, </w:t>
      </w:r>
      <w:r w:rsidR="00686571" w:rsidRPr="00303374">
        <w:rPr>
          <w:bCs/>
          <w:sz w:val="28"/>
          <w:szCs w:val="28"/>
        </w:rPr>
        <w:t>such as Article</w:t>
      </w:r>
      <w:r>
        <w:rPr>
          <w:bCs/>
          <w:sz w:val="28"/>
          <w:szCs w:val="28"/>
        </w:rPr>
        <w:t xml:space="preserve"> No. 33 of the Jordanian law</w:t>
      </w:r>
      <w:r w:rsidR="00686571" w:rsidRPr="00303374">
        <w:rPr>
          <w:bCs/>
          <w:sz w:val="28"/>
          <w:szCs w:val="28"/>
        </w:rPr>
        <w:t xml:space="preserve"> that restrict</w:t>
      </w:r>
      <w:r>
        <w:rPr>
          <w:bCs/>
          <w:sz w:val="28"/>
          <w:szCs w:val="28"/>
        </w:rPr>
        <w:t>s</w:t>
      </w:r>
      <w:r w:rsidR="00686571" w:rsidRPr="00303374">
        <w:rPr>
          <w:bCs/>
          <w:sz w:val="28"/>
          <w:szCs w:val="28"/>
        </w:rPr>
        <w:t xml:space="preserve"> the right to claim compensation and make it exclusive to registered trademark owners only, a trend that increasingly conflicts with the requirements of free trade and the directions of the international "TRIPS" agreement</w:t>
      </w:r>
      <w:r w:rsidR="00402379">
        <w:rPr>
          <w:bCs/>
          <w:sz w:val="28"/>
          <w:szCs w:val="28"/>
        </w:rPr>
        <w:t xml:space="preserve"> </w:t>
      </w:r>
      <w:r w:rsidR="00402379" w:rsidRPr="00402379">
        <w:rPr>
          <w:bCs/>
          <w:sz w:val="28"/>
          <w:szCs w:val="28"/>
        </w:rPr>
        <w:t xml:space="preserve"> (Al-Jabareen, I.M.F, 2010)</w:t>
      </w:r>
      <w:r>
        <w:rPr>
          <w:bCs/>
          <w:sz w:val="28"/>
          <w:szCs w:val="28"/>
        </w:rPr>
        <w:t>.</w:t>
      </w:r>
      <w:r w:rsidR="00DF45FF">
        <w:rPr>
          <w:bCs/>
          <w:sz w:val="28"/>
          <w:szCs w:val="28"/>
        </w:rPr>
        <w:t xml:space="preserve"> </w:t>
      </w:r>
    </w:p>
    <w:p w14:paraId="5B51FD70" w14:textId="77777777" w:rsidR="00686571" w:rsidRPr="00686571" w:rsidRDefault="00686571" w:rsidP="00686571">
      <w:pPr>
        <w:tabs>
          <w:tab w:val="decimal" w:pos="8280"/>
        </w:tabs>
        <w:spacing w:line="276" w:lineRule="auto"/>
        <w:jc w:val="both"/>
        <w:rPr>
          <w:bCs/>
          <w:sz w:val="28"/>
          <w:szCs w:val="28"/>
        </w:rPr>
      </w:pPr>
    </w:p>
    <w:p w14:paraId="73748933" w14:textId="77777777" w:rsidR="00303374" w:rsidRPr="00303374" w:rsidRDefault="00303374" w:rsidP="00686571">
      <w:pPr>
        <w:tabs>
          <w:tab w:val="decimal" w:pos="8280"/>
        </w:tabs>
        <w:spacing w:line="276" w:lineRule="auto"/>
        <w:jc w:val="both"/>
        <w:rPr>
          <w:b/>
          <w:sz w:val="32"/>
          <w:szCs w:val="32"/>
        </w:rPr>
      </w:pPr>
      <w:r w:rsidRPr="00303374">
        <w:rPr>
          <w:b/>
          <w:sz w:val="32"/>
          <w:szCs w:val="32"/>
        </w:rPr>
        <w:t xml:space="preserve">3. </w:t>
      </w:r>
      <w:r w:rsidR="00686571" w:rsidRPr="00303374">
        <w:rPr>
          <w:b/>
          <w:sz w:val="32"/>
          <w:szCs w:val="32"/>
        </w:rPr>
        <w:t>Methodology</w:t>
      </w:r>
    </w:p>
    <w:p w14:paraId="58C06FB9" w14:textId="77777777" w:rsidR="00686571" w:rsidRPr="00686571" w:rsidRDefault="00686571" w:rsidP="00686571">
      <w:pPr>
        <w:tabs>
          <w:tab w:val="decimal" w:pos="8280"/>
        </w:tabs>
        <w:spacing w:line="276" w:lineRule="auto"/>
        <w:jc w:val="both"/>
        <w:rPr>
          <w:bCs/>
          <w:sz w:val="28"/>
          <w:szCs w:val="28"/>
        </w:rPr>
      </w:pPr>
      <w:r w:rsidRPr="00686571">
        <w:rPr>
          <w:bCs/>
          <w:sz w:val="28"/>
          <w:szCs w:val="28"/>
        </w:rPr>
        <w:t xml:space="preserve">  </w:t>
      </w:r>
    </w:p>
    <w:p w14:paraId="698AF255" w14:textId="77777777" w:rsidR="00686571" w:rsidRDefault="00686571" w:rsidP="00680F61">
      <w:pPr>
        <w:tabs>
          <w:tab w:val="decimal" w:pos="8280"/>
        </w:tabs>
        <w:spacing w:line="276" w:lineRule="auto"/>
        <w:ind w:firstLine="540"/>
        <w:jc w:val="both"/>
        <w:rPr>
          <w:bCs/>
          <w:sz w:val="28"/>
          <w:szCs w:val="28"/>
        </w:rPr>
      </w:pPr>
      <w:r w:rsidRPr="00686571">
        <w:rPr>
          <w:bCs/>
          <w:sz w:val="28"/>
          <w:szCs w:val="28"/>
        </w:rPr>
        <w:t xml:space="preserve">This study </w:t>
      </w:r>
      <w:r w:rsidR="00680F61">
        <w:rPr>
          <w:bCs/>
          <w:sz w:val="28"/>
          <w:szCs w:val="28"/>
        </w:rPr>
        <w:t>has mainly relied</w:t>
      </w:r>
      <w:r w:rsidRPr="00686571">
        <w:rPr>
          <w:bCs/>
          <w:sz w:val="28"/>
          <w:szCs w:val="28"/>
        </w:rPr>
        <w:t xml:space="preserve"> on the analytical inductive approach within the framework of theoretical legal res</w:t>
      </w:r>
      <w:r w:rsidR="00680F61">
        <w:rPr>
          <w:bCs/>
          <w:sz w:val="28"/>
          <w:szCs w:val="28"/>
        </w:rPr>
        <w:t>earch</w:t>
      </w:r>
      <w:r w:rsidRPr="00686571">
        <w:rPr>
          <w:bCs/>
          <w:sz w:val="28"/>
          <w:szCs w:val="28"/>
        </w:rPr>
        <w:t xml:space="preserve">, by analyzing the legislative texts </w:t>
      </w:r>
      <w:r w:rsidR="00680F61">
        <w:rPr>
          <w:bCs/>
          <w:sz w:val="28"/>
          <w:szCs w:val="28"/>
        </w:rPr>
        <w:t>that regulate the legal foundations of</w:t>
      </w:r>
      <w:r w:rsidRPr="00686571">
        <w:rPr>
          <w:bCs/>
          <w:sz w:val="28"/>
          <w:szCs w:val="28"/>
        </w:rPr>
        <w:t xml:space="preserve"> trademark protection in the United Arab Emirates, and extracting the governing</w:t>
      </w:r>
      <w:r w:rsidR="00D01563">
        <w:rPr>
          <w:bCs/>
          <w:sz w:val="28"/>
          <w:szCs w:val="28"/>
        </w:rPr>
        <w:t xml:space="preserve"> rules in light of recent </w:t>
      </w:r>
      <w:r w:rsidRPr="00686571">
        <w:rPr>
          <w:bCs/>
          <w:sz w:val="28"/>
          <w:szCs w:val="28"/>
        </w:rPr>
        <w:t>developments. The inductive method in this context is based on studying relevant legislative and judicial particulars, then deducing the general principles governing the at</w:t>
      </w:r>
      <w:r w:rsidR="00D01563">
        <w:rPr>
          <w:bCs/>
          <w:sz w:val="28"/>
          <w:szCs w:val="28"/>
        </w:rPr>
        <w:t>tribution of legal liability of</w:t>
      </w:r>
      <w:r w:rsidRPr="00686571">
        <w:rPr>
          <w:bCs/>
          <w:sz w:val="28"/>
          <w:szCs w:val="28"/>
        </w:rPr>
        <w:t xml:space="preserve"> trademark protection in modern markets. Induction here is not limited to collecting texts but extends to analyzing them in light of judicial applications and regulatory practices, allowing for monitoring the general legislative trend in reshaping the concepts of fault, damage, and causation.</w:t>
      </w:r>
    </w:p>
    <w:p w14:paraId="127F96D3" w14:textId="77777777" w:rsidR="00686571" w:rsidRPr="00686571" w:rsidRDefault="00D01563" w:rsidP="00D01563">
      <w:pPr>
        <w:tabs>
          <w:tab w:val="decimal" w:pos="8280"/>
        </w:tabs>
        <w:spacing w:line="276" w:lineRule="auto"/>
        <w:ind w:firstLine="540"/>
        <w:jc w:val="both"/>
        <w:rPr>
          <w:bCs/>
          <w:sz w:val="28"/>
          <w:szCs w:val="28"/>
        </w:rPr>
      </w:pPr>
      <w:r>
        <w:rPr>
          <w:bCs/>
          <w:sz w:val="28"/>
          <w:szCs w:val="28"/>
        </w:rPr>
        <w:t>This approach has been</w:t>
      </w:r>
      <w:r w:rsidR="00686571" w:rsidRPr="00686571">
        <w:rPr>
          <w:bCs/>
          <w:sz w:val="28"/>
          <w:szCs w:val="28"/>
        </w:rPr>
        <w:t xml:space="preserve"> employed due to its suitability for the nature of the study, </w:t>
      </w:r>
      <w:r>
        <w:rPr>
          <w:bCs/>
          <w:sz w:val="28"/>
          <w:szCs w:val="28"/>
        </w:rPr>
        <w:t xml:space="preserve">with </w:t>
      </w:r>
      <w:r w:rsidR="00686571" w:rsidRPr="00686571">
        <w:rPr>
          <w:bCs/>
          <w:sz w:val="28"/>
          <w:szCs w:val="28"/>
        </w:rPr>
        <w:t>the legal basis for trademark protection in modern markets requires a thorough examination of the legal system</w:t>
      </w:r>
      <w:r>
        <w:rPr>
          <w:bCs/>
          <w:sz w:val="28"/>
          <w:szCs w:val="28"/>
        </w:rPr>
        <w:t xml:space="preserve">, being </w:t>
      </w:r>
      <w:r w:rsidR="00686571" w:rsidRPr="00686571">
        <w:rPr>
          <w:bCs/>
          <w:sz w:val="28"/>
          <w:szCs w:val="28"/>
        </w:rPr>
        <w:t xml:space="preserve">an interconnected framework, rather than merely analyzing isolated texts, along with studying the extent of interaction among them in forming an integrated </w:t>
      </w:r>
      <w:r w:rsidR="00686571" w:rsidRPr="00686571">
        <w:rPr>
          <w:bCs/>
          <w:sz w:val="28"/>
          <w:szCs w:val="28"/>
        </w:rPr>
        <w:lastRenderedPageBreak/>
        <w:t xml:space="preserve">framework for the legal basis of trademark protection. The study </w:t>
      </w:r>
      <w:r>
        <w:rPr>
          <w:bCs/>
          <w:sz w:val="28"/>
          <w:szCs w:val="28"/>
        </w:rPr>
        <w:t xml:space="preserve">has </w:t>
      </w:r>
      <w:r w:rsidR="00686571" w:rsidRPr="00686571">
        <w:rPr>
          <w:bCs/>
          <w:sz w:val="28"/>
          <w:szCs w:val="28"/>
        </w:rPr>
        <w:t>also made limited use of comparative analysis to support the interpretation, by referencing some modern jurisprudential trend</w:t>
      </w:r>
      <w:r>
        <w:rPr>
          <w:bCs/>
          <w:sz w:val="28"/>
          <w:szCs w:val="28"/>
        </w:rPr>
        <w:t>s related to the legal basis of</w:t>
      </w:r>
      <w:r w:rsidR="00686571" w:rsidRPr="00686571">
        <w:rPr>
          <w:bCs/>
          <w:sz w:val="28"/>
          <w:szCs w:val="28"/>
        </w:rPr>
        <w:t xml:space="preserve"> trademark protection in modern markets, with the aim of enhancing the analytical structure without departing from the scope of the UAE legislation under study.</w:t>
      </w:r>
    </w:p>
    <w:p w14:paraId="43C9DE5D" w14:textId="77777777" w:rsidR="00686571" w:rsidRPr="00686571" w:rsidRDefault="00686571" w:rsidP="00686571">
      <w:pPr>
        <w:tabs>
          <w:tab w:val="decimal" w:pos="8280"/>
        </w:tabs>
        <w:spacing w:line="276" w:lineRule="auto"/>
        <w:jc w:val="both"/>
        <w:rPr>
          <w:bCs/>
          <w:sz w:val="28"/>
          <w:szCs w:val="28"/>
        </w:rPr>
      </w:pPr>
    </w:p>
    <w:p w14:paraId="32647B17" w14:textId="77777777" w:rsidR="00CD33E0" w:rsidRDefault="007D0278" w:rsidP="007D0278">
      <w:pPr>
        <w:tabs>
          <w:tab w:val="decimal" w:pos="8280"/>
        </w:tabs>
        <w:spacing w:line="276" w:lineRule="auto"/>
        <w:ind w:firstLine="540"/>
        <w:jc w:val="both"/>
        <w:rPr>
          <w:bCs/>
          <w:sz w:val="28"/>
          <w:szCs w:val="28"/>
        </w:rPr>
      </w:pPr>
      <w:r>
        <w:rPr>
          <w:bCs/>
          <w:sz w:val="28"/>
          <w:szCs w:val="28"/>
        </w:rPr>
        <w:t>T</w:t>
      </w:r>
      <w:r w:rsidR="00686571" w:rsidRPr="00686571">
        <w:rPr>
          <w:bCs/>
          <w:sz w:val="28"/>
          <w:szCs w:val="28"/>
        </w:rPr>
        <w:t xml:space="preserve">he research </w:t>
      </w:r>
      <w:r>
        <w:rPr>
          <w:bCs/>
          <w:sz w:val="28"/>
          <w:szCs w:val="28"/>
        </w:rPr>
        <w:t xml:space="preserve">has also </w:t>
      </w:r>
      <w:r w:rsidR="00686571" w:rsidRPr="00686571">
        <w:rPr>
          <w:bCs/>
          <w:sz w:val="28"/>
          <w:szCs w:val="28"/>
        </w:rPr>
        <w:t xml:space="preserve">relied on secondary data analyzed within an organized methodological framework, primarily consisting of official legislative texts issued in the United Arab Emirates, including federal laws and relevant executive regulations concerning trademark protection. </w:t>
      </w:r>
      <w:r>
        <w:rPr>
          <w:bCs/>
          <w:sz w:val="28"/>
          <w:szCs w:val="28"/>
        </w:rPr>
        <w:t xml:space="preserve">Moreover, </w:t>
      </w:r>
      <w:r w:rsidR="00686571" w:rsidRPr="00686571">
        <w:rPr>
          <w:bCs/>
          <w:sz w:val="28"/>
          <w:szCs w:val="28"/>
        </w:rPr>
        <w:t>judicial rulings issued by federal</w:t>
      </w:r>
      <w:r>
        <w:rPr>
          <w:bCs/>
          <w:sz w:val="28"/>
          <w:szCs w:val="28"/>
        </w:rPr>
        <w:t xml:space="preserve"> courts and courts of cassation have been exploited,</w:t>
      </w:r>
      <w:r w:rsidR="00686571" w:rsidRPr="00686571">
        <w:rPr>
          <w:bCs/>
          <w:sz w:val="28"/>
          <w:szCs w:val="28"/>
        </w:rPr>
        <w:t xml:space="preserve"> as these reflect the practical application of legal texts and reveal judicial trends in interpreting the elements of legal li</w:t>
      </w:r>
      <w:r>
        <w:rPr>
          <w:bCs/>
          <w:sz w:val="28"/>
          <w:szCs w:val="28"/>
        </w:rPr>
        <w:t>ability</w:t>
      </w:r>
      <w:r w:rsidR="00686571" w:rsidRPr="00686571">
        <w:rPr>
          <w:bCs/>
          <w:sz w:val="28"/>
          <w:szCs w:val="28"/>
        </w:rPr>
        <w:t>.</w:t>
      </w:r>
      <w:r w:rsidR="00686571">
        <w:rPr>
          <w:bCs/>
          <w:sz w:val="28"/>
          <w:szCs w:val="28"/>
        </w:rPr>
        <w:t xml:space="preserve"> </w:t>
      </w:r>
      <w:r>
        <w:rPr>
          <w:bCs/>
          <w:sz w:val="28"/>
          <w:szCs w:val="28"/>
        </w:rPr>
        <w:t>In addition, r</w:t>
      </w:r>
      <w:r w:rsidR="00AC6F1C" w:rsidRPr="00AC6F1C">
        <w:rPr>
          <w:bCs/>
          <w:sz w:val="28"/>
          <w:szCs w:val="28"/>
        </w:rPr>
        <w:t xml:space="preserve">eference </w:t>
      </w:r>
      <w:r w:rsidR="005E71FB">
        <w:rPr>
          <w:bCs/>
          <w:sz w:val="28"/>
          <w:szCs w:val="28"/>
        </w:rPr>
        <w:t xml:space="preserve">has also been </w:t>
      </w:r>
      <w:r w:rsidR="00AC6F1C" w:rsidRPr="00AC6F1C">
        <w:rPr>
          <w:bCs/>
          <w:sz w:val="28"/>
          <w:szCs w:val="28"/>
        </w:rPr>
        <w:t>made to peer-reviewed academic stu</w:t>
      </w:r>
      <w:r w:rsidR="005E71FB">
        <w:rPr>
          <w:bCs/>
          <w:sz w:val="28"/>
          <w:szCs w:val="28"/>
        </w:rPr>
        <w:t>dies and research that address</w:t>
      </w:r>
      <w:r w:rsidR="00AC6F1C" w:rsidRPr="00AC6F1C">
        <w:rPr>
          <w:bCs/>
          <w:sz w:val="28"/>
          <w:szCs w:val="28"/>
        </w:rPr>
        <w:t xml:space="preserve"> the responsibility for protecting the trademark, with the aim of building a scientific analysis based</w:t>
      </w:r>
      <w:r w:rsidR="005E71FB">
        <w:rPr>
          <w:bCs/>
          <w:sz w:val="28"/>
          <w:szCs w:val="28"/>
        </w:rPr>
        <w:t xml:space="preserve"> on contemporary literature, </w:t>
      </w:r>
      <w:r w:rsidR="00AC6F1C" w:rsidRPr="00AC6F1C">
        <w:rPr>
          <w:bCs/>
          <w:sz w:val="28"/>
          <w:szCs w:val="28"/>
        </w:rPr>
        <w:t xml:space="preserve">balancing between the theoretical framework and practical application. This methodological framework </w:t>
      </w:r>
      <w:r w:rsidR="005E71FB">
        <w:rPr>
          <w:bCs/>
          <w:sz w:val="28"/>
          <w:szCs w:val="28"/>
        </w:rPr>
        <w:t xml:space="preserve">has </w:t>
      </w:r>
      <w:r w:rsidR="00AC6F1C" w:rsidRPr="00AC6F1C">
        <w:rPr>
          <w:bCs/>
          <w:sz w:val="28"/>
          <w:szCs w:val="28"/>
        </w:rPr>
        <w:t xml:space="preserve">allowed for an assessment of the adequacy of the current legislative regulation in facing emerging risks, monitoring the strengths and weaknesses in the distribution of responsibility among actors within the markets, leading to the provision of an analytical reading that </w:t>
      </w:r>
      <w:r w:rsidR="005E71FB">
        <w:rPr>
          <w:bCs/>
          <w:sz w:val="28"/>
          <w:szCs w:val="28"/>
        </w:rPr>
        <w:t>would contribute</w:t>
      </w:r>
      <w:r w:rsidR="00AC6F1C" w:rsidRPr="00AC6F1C">
        <w:rPr>
          <w:bCs/>
          <w:sz w:val="28"/>
          <w:szCs w:val="28"/>
        </w:rPr>
        <w:t xml:space="preserve"> to the de</w:t>
      </w:r>
      <w:r w:rsidR="005E71FB">
        <w:rPr>
          <w:bCs/>
          <w:sz w:val="28"/>
          <w:szCs w:val="28"/>
        </w:rPr>
        <w:t>velopment of the legal basis of</w:t>
      </w:r>
      <w:r w:rsidR="00AC6F1C" w:rsidRPr="00AC6F1C">
        <w:rPr>
          <w:bCs/>
          <w:sz w:val="28"/>
          <w:szCs w:val="28"/>
        </w:rPr>
        <w:t xml:space="preserve"> trademark protection.</w:t>
      </w:r>
    </w:p>
    <w:p w14:paraId="53D2EB02" w14:textId="77777777" w:rsidR="00CD33E0" w:rsidRPr="005E71FB" w:rsidRDefault="00CD33E0" w:rsidP="00CD33E0">
      <w:pPr>
        <w:tabs>
          <w:tab w:val="decimal" w:pos="8280"/>
        </w:tabs>
        <w:spacing w:line="276" w:lineRule="auto"/>
        <w:jc w:val="both"/>
        <w:rPr>
          <w:bCs/>
          <w:sz w:val="16"/>
          <w:szCs w:val="16"/>
        </w:rPr>
      </w:pPr>
    </w:p>
    <w:p w14:paraId="5D8E9AC5" w14:textId="77777777" w:rsidR="005E71FB" w:rsidRPr="005E71FB" w:rsidRDefault="005E71FB" w:rsidP="00D8201E">
      <w:pPr>
        <w:tabs>
          <w:tab w:val="decimal" w:pos="8280"/>
        </w:tabs>
        <w:spacing w:line="276" w:lineRule="auto"/>
        <w:jc w:val="both"/>
        <w:rPr>
          <w:b/>
          <w:sz w:val="32"/>
          <w:szCs w:val="32"/>
        </w:rPr>
      </w:pPr>
      <w:r w:rsidRPr="005E71FB">
        <w:rPr>
          <w:b/>
          <w:sz w:val="32"/>
          <w:szCs w:val="32"/>
        </w:rPr>
        <w:t>4. Results &amp;</w:t>
      </w:r>
      <w:r w:rsidR="00D8201E" w:rsidRPr="005E71FB">
        <w:rPr>
          <w:b/>
          <w:sz w:val="32"/>
          <w:szCs w:val="32"/>
        </w:rPr>
        <w:t xml:space="preserve"> Discussion</w:t>
      </w:r>
    </w:p>
    <w:p w14:paraId="42D458C0" w14:textId="77777777" w:rsidR="00D8201E" w:rsidRPr="005E71FB" w:rsidRDefault="00D8201E" w:rsidP="00D8201E">
      <w:pPr>
        <w:tabs>
          <w:tab w:val="decimal" w:pos="8280"/>
        </w:tabs>
        <w:spacing w:line="276" w:lineRule="auto"/>
        <w:jc w:val="both"/>
        <w:rPr>
          <w:bCs/>
          <w:sz w:val="16"/>
          <w:szCs w:val="16"/>
        </w:rPr>
      </w:pPr>
      <w:r w:rsidRPr="00D8201E">
        <w:rPr>
          <w:bCs/>
          <w:sz w:val="28"/>
          <w:szCs w:val="28"/>
        </w:rPr>
        <w:t xml:space="preserve">  </w:t>
      </w:r>
    </w:p>
    <w:p w14:paraId="675D87C7" w14:textId="77777777" w:rsidR="00CD33E0" w:rsidRDefault="00D8201E" w:rsidP="002C5BF9">
      <w:pPr>
        <w:tabs>
          <w:tab w:val="decimal" w:pos="8280"/>
        </w:tabs>
        <w:spacing w:line="276" w:lineRule="auto"/>
        <w:ind w:firstLine="540"/>
        <w:jc w:val="both"/>
        <w:rPr>
          <w:bCs/>
          <w:sz w:val="28"/>
          <w:szCs w:val="28"/>
        </w:rPr>
      </w:pPr>
      <w:r w:rsidRPr="00D8201E">
        <w:rPr>
          <w:bCs/>
          <w:sz w:val="28"/>
          <w:szCs w:val="28"/>
        </w:rPr>
        <w:t xml:space="preserve">The legislative and comparative analysis of the legal system for trademark protection in </w:t>
      </w:r>
      <w:r w:rsidR="007D0278">
        <w:rPr>
          <w:bCs/>
          <w:sz w:val="28"/>
          <w:szCs w:val="28"/>
        </w:rPr>
        <w:t xml:space="preserve">the </w:t>
      </w:r>
      <w:r w:rsidRPr="00D8201E">
        <w:rPr>
          <w:bCs/>
          <w:sz w:val="28"/>
          <w:szCs w:val="28"/>
        </w:rPr>
        <w:t xml:space="preserve">UAE law </w:t>
      </w:r>
      <w:r w:rsidR="007D0278">
        <w:rPr>
          <w:bCs/>
          <w:sz w:val="28"/>
          <w:szCs w:val="28"/>
        </w:rPr>
        <w:t xml:space="preserve">has </w:t>
      </w:r>
      <w:r w:rsidRPr="00D8201E">
        <w:rPr>
          <w:bCs/>
          <w:sz w:val="28"/>
          <w:szCs w:val="28"/>
        </w:rPr>
        <w:t>yielded a set of essential findings that clarify the nature of the relationship between the priority of use and the privilege of registration. The study showed that UAE legislation does not adopt absolutely either the system of priority of use or the system of registration privilege, but rather relies on a mixed system combining both. Registration grants a strong legal presumption of ownership of the mark, but this presumption is not absolute and may be rebutted by proving actual and continuous prior use of the trademark. Priority of use represents a substantive basis for the emergence of the right in the trademark. The results confirmed that actual and serious use of the trademark generates a substantive right in its ownership even before its registration, because the economic value of the mark arises from its actual association with the product or service in the public’s mind, not merely from its entry in the official register. Registration provides strong procedural legal protection</w:t>
      </w:r>
      <w:r w:rsidR="002C5BF9">
        <w:rPr>
          <w:bCs/>
          <w:sz w:val="28"/>
          <w:szCs w:val="28"/>
        </w:rPr>
        <w:t>,</w:t>
      </w:r>
      <w:r w:rsidRPr="00D8201E">
        <w:rPr>
          <w:bCs/>
          <w:sz w:val="28"/>
          <w:szCs w:val="28"/>
        </w:rPr>
        <w:t xml:space="preserve"> but </w:t>
      </w:r>
      <w:r w:rsidR="002C5BF9">
        <w:rPr>
          <w:bCs/>
          <w:sz w:val="28"/>
          <w:szCs w:val="28"/>
        </w:rPr>
        <w:t xml:space="preserve">it </w:t>
      </w:r>
      <w:r w:rsidRPr="00D8201E">
        <w:rPr>
          <w:bCs/>
          <w:sz w:val="28"/>
          <w:szCs w:val="28"/>
        </w:rPr>
        <w:t>is not an absolute cr</w:t>
      </w:r>
      <w:r w:rsidR="002C5BF9">
        <w:rPr>
          <w:bCs/>
          <w:sz w:val="28"/>
          <w:szCs w:val="28"/>
        </w:rPr>
        <w:t>eator of the right. In fact, it</w:t>
      </w:r>
      <w:r w:rsidRPr="00D8201E">
        <w:rPr>
          <w:bCs/>
          <w:sz w:val="28"/>
          <w:szCs w:val="28"/>
        </w:rPr>
        <w:t xml:space="preserve"> offers broad legal protection and grants the registered owner effective legal tools such as preventing others from using the mark and claiming compensation. However, registration is essentially a declaratory and confirmatory </w:t>
      </w:r>
      <w:r w:rsidRPr="00D8201E">
        <w:rPr>
          <w:bCs/>
          <w:sz w:val="28"/>
          <w:szCs w:val="28"/>
        </w:rPr>
        <w:lastRenderedPageBreak/>
        <w:t>procedure of the right rather</w:t>
      </w:r>
      <w:r w:rsidR="002C5BF9">
        <w:rPr>
          <w:bCs/>
          <w:sz w:val="28"/>
          <w:szCs w:val="28"/>
        </w:rPr>
        <w:t xml:space="preserve"> being its creator</w:t>
      </w:r>
      <w:r w:rsidRPr="00D8201E">
        <w:rPr>
          <w:bCs/>
          <w:sz w:val="28"/>
          <w:szCs w:val="28"/>
        </w:rPr>
        <w:t>,</w:t>
      </w:r>
      <w:r w:rsidR="002C5BF9">
        <w:rPr>
          <w:bCs/>
          <w:sz w:val="28"/>
          <w:szCs w:val="28"/>
        </w:rPr>
        <w:t xml:space="preserve"> especially if it is proved that the registration has been</w:t>
      </w:r>
      <w:r w:rsidRPr="00D8201E">
        <w:rPr>
          <w:bCs/>
          <w:sz w:val="28"/>
          <w:szCs w:val="28"/>
        </w:rPr>
        <w:t xml:space="preserve"> made in bad faith or in the presence of prior use of the mark by another person. </w:t>
      </w:r>
    </w:p>
    <w:p w14:paraId="0A2EC8D2" w14:textId="77777777" w:rsidR="002C5BF9" w:rsidRPr="002C5BF9" w:rsidRDefault="002C5BF9" w:rsidP="002C5BF9">
      <w:pPr>
        <w:tabs>
          <w:tab w:val="decimal" w:pos="8280"/>
        </w:tabs>
        <w:spacing w:line="276" w:lineRule="auto"/>
        <w:ind w:firstLine="540"/>
        <w:jc w:val="both"/>
        <w:rPr>
          <w:bCs/>
          <w:sz w:val="16"/>
          <w:szCs w:val="16"/>
        </w:rPr>
      </w:pPr>
    </w:p>
    <w:p w14:paraId="3FDAC681" w14:textId="77777777" w:rsidR="00237434" w:rsidRDefault="00D8201E" w:rsidP="002C5BF9">
      <w:pPr>
        <w:tabs>
          <w:tab w:val="decimal" w:pos="8280"/>
        </w:tabs>
        <w:spacing w:line="276" w:lineRule="auto"/>
        <w:ind w:firstLine="540"/>
        <w:jc w:val="both"/>
        <w:rPr>
          <w:bCs/>
          <w:sz w:val="28"/>
          <w:szCs w:val="28"/>
        </w:rPr>
      </w:pPr>
      <w:r w:rsidRPr="00D8201E">
        <w:rPr>
          <w:bCs/>
          <w:sz w:val="28"/>
          <w:szCs w:val="28"/>
        </w:rPr>
        <w:t xml:space="preserve">The study </w:t>
      </w:r>
      <w:r w:rsidR="002C5BF9">
        <w:rPr>
          <w:bCs/>
          <w:sz w:val="28"/>
          <w:szCs w:val="28"/>
        </w:rPr>
        <w:t xml:space="preserve">has </w:t>
      </w:r>
      <w:r w:rsidRPr="00D8201E">
        <w:rPr>
          <w:bCs/>
          <w:sz w:val="28"/>
          <w:szCs w:val="28"/>
        </w:rPr>
        <w:t>revealed that legislations, including the UAE law, impose a specific limitation period (usually five years) for asserting priority of use against registration, aiming to balance the protection of rights acquired through use and ensuring the stability of commercial transactions. The</w:t>
      </w:r>
      <w:r w:rsidR="002C5BF9">
        <w:rPr>
          <w:bCs/>
          <w:sz w:val="28"/>
          <w:szCs w:val="28"/>
        </w:rPr>
        <w:t xml:space="preserve"> judiciary indeed has a decisive role</w:t>
      </w:r>
      <w:r w:rsidRPr="00D8201E">
        <w:rPr>
          <w:bCs/>
          <w:sz w:val="28"/>
          <w:szCs w:val="28"/>
        </w:rPr>
        <w:t xml:space="preserve"> in establishing priority of use as a fundamental criterio</w:t>
      </w:r>
      <w:r w:rsidR="002C5BF9">
        <w:rPr>
          <w:bCs/>
          <w:sz w:val="28"/>
          <w:szCs w:val="28"/>
        </w:rPr>
        <w:t>n for ownership, playing</w:t>
      </w:r>
      <w:r w:rsidRPr="00D8201E">
        <w:rPr>
          <w:bCs/>
          <w:sz w:val="28"/>
          <w:szCs w:val="28"/>
        </w:rPr>
        <w:t xml:space="preserve"> a pivotal role in consolidating the principle that trademark ownership is primarily based on priority of use, and that registration does not prevent chall</w:t>
      </w:r>
      <w:r w:rsidR="002C5BF9">
        <w:rPr>
          <w:bCs/>
          <w:sz w:val="28"/>
          <w:szCs w:val="28"/>
        </w:rPr>
        <w:t>enging ownership if it is proved</w:t>
      </w:r>
      <w:r w:rsidRPr="00D8201E">
        <w:rPr>
          <w:bCs/>
          <w:sz w:val="28"/>
          <w:szCs w:val="28"/>
        </w:rPr>
        <w:t xml:space="preserve"> that the prior user is the true owner of the mark. The requirement of seriousness and continuity in use to acquire legal p</w:t>
      </w:r>
      <w:r w:rsidR="00237434">
        <w:rPr>
          <w:bCs/>
          <w:sz w:val="28"/>
          <w:szCs w:val="28"/>
        </w:rPr>
        <w:t>rotection has been</w:t>
      </w:r>
      <w:r w:rsidRPr="00D8201E">
        <w:rPr>
          <w:bCs/>
          <w:sz w:val="28"/>
          <w:szCs w:val="28"/>
        </w:rPr>
        <w:t xml:space="preserve"> confirmed. </w:t>
      </w:r>
    </w:p>
    <w:p w14:paraId="46FE0EC4" w14:textId="77777777" w:rsidR="00237434" w:rsidRDefault="00237434" w:rsidP="002C5BF9">
      <w:pPr>
        <w:tabs>
          <w:tab w:val="decimal" w:pos="8280"/>
        </w:tabs>
        <w:spacing w:line="276" w:lineRule="auto"/>
        <w:ind w:firstLine="540"/>
        <w:jc w:val="both"/>
        <w:rPr>
          <w:bCs/>
          <w:sz w:val="28"/>
          <w:szCs w:val="28"/>
        </w:rPr>
      </w:pPr>
      <w:r>
        <w:rPr>
          <w:bCs/>
          <w:sz w:val="28"/>
          <w:szCs w:val="28"/>
        </w:rPr>
        <w:t xml:space="preserve">It has been </w:t>
      </w:r>
      <w:r w:rsidR="00D8201E" w:rsidRPr="00D8201E">
        <w:rPr>
          <w:bCs/>
          <w:sz w:val="28"/>
          <w:szCs w:val="28"/>
        </w:rPr>
        <w:t>emphasized</w:t>
      </w:r>
      <w:r>
        <w:rPr>
          <w:bCs/>
          <w:sz w:val="28"/>
          <w:szCs w:val="28"/>
        </w:rPr>
        <w:t xml:space="preserve"> as well</w:t>
      </w:r>
      <w:r w:rsidR="00D8201E" w:rsidRPr="00D8201E">
        <w:rPr>
          <w:bCs/>
          <w:sz w:val="28"/>
          <w:szCs w:val="28"/>
        </w:rPr>
        <w:t xml:space="preserve"> that mere formal or occasional use of the mark is insufficient to gain legal protection; rather, the use must be actual, public, and continuous, leading to the formation of an association between the mark and the product in the public's m</w:t>
      </w:r>
      <w:r>
        <w:rPr>
          <w:bCs/>
          <w:sz w:val="28"/>
          <w:szCs w:val="28"/>
        </w:rPr>
        <w:t>ind. T</w:t>
      </w:r>
      <w:r w:rsidR="00D8201E" w:rsidRPr="00D8201E">
        <w:rPr>
          <w:bCs/>
          <w:sz w:val="28"/>
          <w:szCs w:val="28"/>
        </w:rPr>
        <w:t>he modern legislative trend is moving towards achieving a balance between formal considerations related to registration and substantive considerations related to the actual use of the trademark. This approach reflects a legal and economic philosophy aimed at achieving commercial justice without harming transaction stability. On one hand, registration represents a necessary tool to ensure legal stability, as it provides a clear and reliable means to prove trademark ownership and facilitates others in verifying its legal status.</w:t>
      </w:r>
      <w:r w:rsidR="00D8201E">
        <w:rPr>
          <w:bCs/>
          <w:sz w:val="28"/>
          <w:szCs w:val="28"/>
        </w:rPr>
        <w:t xml:space="preserve"> </w:t>
      </w:r>
    </w:p>
    <w:p w14:paraId="1B894F1F" w14:textId="77777777" w:rsidR="00D8201E" w:rsidRPr="00D8201E" w:rsidRDefault="00237434" w:rsidP="00237434">
      <w:pPr>
        <w:tabs>
          <w:tab w:val="decimal" w:pos="8280"/>
        </w:tabs>
        <w:spacing w:line="276" w:lineRule="auto"/>
        <w:ind w:firstLine="540"/>
        <w:jc w:val="both"/>
        <w:rPr>
          <w:bCs/>
          <w:sz w:val="28"/>
          <w:szCs w:val="28"/>
        </w:rPr>
      </w:pPr>
      <w:r>
        <w:rPr>
          <w:bCs/>
          <w:sz w:val="28"/>
          <w:szCs w:val="28"/>
        </w:rPr>
        <w:t>As a matter of fact, such procedure would reduce</w:t>
      </w:r>
      <w:r w:rsidR="00D8201E" w:rsidRPr="00D8201E">
        <w:rPr>
          <w:bCs/>
          <w:sz w:val="28"/>
          <w:szCs w:val="28"/>
        </w:rPr>
        <w:t xml:space="preserve"> disputes and enhances confidence in the investment environment. </w:t>
      </w:r>
      <w:r>
        <w:rPr>
          <w:bCs/>
          <w:sz w:val="28"/>
          <w:szCs w:val="28"/>
        </w:rPr>
        <w:t>There is no doubt that g</w:t>
      </w:r>
      <w:r w:rsidR="00D8201E" w:rsidRPr="00D8201E">
        <w:rPr>
          <w:bCs/>
          <w:sz w:val="28"/>
          <w:szCs w:val="28"/>
        </w:rPr>
        <w:t xml:space="preserve">ranting registration a legal presumption of ownership </w:t>
      </w:r>
      <w:r w:rsidR="008B1002">
        <w:rPr>
          <w:bCs/>
          <w:sz w:val="28"/>
          <w:szCs w:val="28"/>
        </w:rPr>
        <w:t>would encourage</w:t>
      </w:r>
      <w:r w:rsidR="00D8201E" w:rsidRPr="00D8201E">
        <w:rPr>
          <w:bCs/>
          <w:sz w:val="28"/>
          <w:szCs w:val="28"/>
        </w:rPr>
        <w:t xml:space="preserve"> business owners to register their marks, contributing to market regulation and intellectual property protection. On the other hand, granting priority of use legal value </w:t>
      </w:r>
      <w:r w:rsidR="008B1002">
        <w:rPr>
          <w:bCs/>
          <w:sz w:val="28"/>
          <w:szCs w:val="28"/>
        </w:rPr>
        <w:t>would undoubtedly reflect</w:t>
      </w:r>
      <w:r w:rsidR="00D8201E" w:rsidRPr="00D8201E">
        <w:rPr>
          <w:bCs/>
          <w:sz w:val="28"/>
          <w:szCs w:val="28"/>
        </w:rPr>
        <w:t xml:space="preserve"> the legislator's recognition of the importance of protecting rights actually acquired as a result of legitimate economic activity. Depriving the first user of their right merely because the mark was not registered may lead to unfair outcomes, especially if someone else registers the mark in bad faith to benefit from an already established reputation.</w:t>
      </w:r>
    </w:p>
    <w:p w14:paraId="7DAD0A89" w14:textId="77777777" w:rsidR="00311D5D" w:rsidRDefault="00D8201E" w:rsidP="008B1002">
      <w:pPr>
        <w:tabs>
          <w:tab w:val="decimal" w:pos="8280"/>
        </w:tabs>
        <w:spacing w:line="276" w:lineRule="auto"/>
        <w:ind w:firstLine="540"/>
        <w:jc w:val="both"/>
        <w:rPr>
          <w:bCs/>
          <w:sz w:val="28"/>
          <w:szCs w:val="28"/>
        </w:rPr>
      </w:pPr>
      <w:r w:rsidRPr="00D8201E">
        <w:rPr>
          <w:bCs/>
          <w:sz w:val="28"/>
          <w:szCs w:val="28"/>
        </w:rPr>
        <w:t>As the analysis shows, the judiciary plays an important complementary role in achieving this balance by interpreting legal texts in</w:t>
      </w:r>
      <w:r w:rsidR="008B1002">
        <w:rPr>
          <w:bCs/>
          <w:sz w:val="28"/>
          <w:szCs w:val="28"/>
        </w:rPr>
        <w:t xml:space="preserve"> a way that guarantees</w:t>
      </w:r>
      <w:r w:rsidRPr="00D8201E">
        <w:rPr>
          <w:bCs/>
          <w:sz w:val="28"/>
          <w:szCs w:val="28"/>
        </w:rPr>
        <w:t xml:space="preserve"> the protection of substantive rights without undermining the stability of transactions. Recent judicial rulings have confirmed that registration cannot be a means to legitimize the unlawful seizure of a trademark that is actually in use. In light of this, it can be said that the mixed legal system represents an effective middle ground, granting registration significant legal force without disregarding rights acquired from prior use. However, this system imposes a heavy burden on </w:t>
      </w:r>
      <w:r w:rsidRPr="00D8201E">
        <w:rPr>
          <w:bCs/>
          <w:sz w:val="28"/>
          <w:szCs w:val="28"/>
        </w:rPr>
        <w:lastRenderedPageBreak/>
        <w:t>the prior user to prove their precedence, which underscores the importance of registration as a preventive measure to avoid legal disputes.</w:t>
      </w:r>
    </w:p>
    <w:p w14:paraId="727A2566" w14:textId="77777777" w:rsidR="00311D5D" w:rsidRDefault="00311D5D" w:rsidP="00311D5D">
      <w:pPr>
        <w:tabs>
          <w:tab w:val="decimal" w:pos="8280"/>
        </w:tabs>
        <w:spacing w:line="276" w:lineRule="auto"/>
        <w:jc w:val="both"/>
        <w:rPr>
          <w:bCs/>
          <w:sz w:val="28"/>
          <w:szCs w:val="28"/>
        </w:rPr>
      </w:pPr>
    </w:p>
    <w:p w14:paraId="52F9AF04" w14:textId="77777777" w:rsidR="00D8201E" w:rsidRPr="005E71FB" w:rsidRDefault="005E71FB" w:rsidP="00D8201E">
      <w:pPr>
        <w:tabs>
          <w:tab w:val="decimal" w:pos="8280"/>
        </w:tabs>
        <w:spacing w:line="276" w:lineRule="auto"/>
        <w:jc w:val="both"/>
        <w:rPr>
          <w:b/>
          <w:sz w:val="32"/>
          <w:szCs w:val="32"/>
        </w:rPr>
      </w:pPr>
      <w:r w:rsidRPr="005E71FB">
        <w:rPr>
          <w:b/>
          <w:sz w:val="32"/>
          <w:szCs w:val="32"/>
        </w:rPr>
        <w:t xml:space="preserve">5. </w:t>
      </w:r>
      <w:r w:rsidR="00D8201E" w:rsidRPr="005E71FB">
        <w:rPr>
          <w:b/>
          <w:sz w:val="32"/>
          <w:szCs w:val="32"/>
        </w:rPr>
        <w:t xml:space="preserve">Recommendations  </w:t>
      </w:r>
    </w:p>
    <w:p w14:paraId="4FBC1B1F" w14:textId="77777777" w:rsidR="005E71FB" w:rsidRPr="00D8201E" w:rsidRDefault="005E71FB" w:rsidP="00D8201E">
      <w:pPr>
        <w:tabs>
          <w:tab w:val="decimal" w:pos="8280"/>
        </w:tabs>
        <w:spacing w:line="276" w:lineRule="auto"/>
        <w:jc w:val="both"/>
        <w:rPr>
          <w:bCs/>
          <w:sz w:val="28"/>
          <w:szCs w:val="28"/>
        </w:rPr>
      </w:pPr>
    </w:p>
    <w:p w14:paraId="7E6958F6" w14:textId="77777777" w:rsidR="00D8201E" w:rsidRPr="00D8201E" w:rsidRDefault="00D8201E" w:rsidP="00D8201E">
      <w:pPr>
        <w:tabs>
          <w:tab w:val="decimal" w:pos="8280"/>
        </w:tabs>
        <w:spacing w:line="276" w:lineRule="auto"/>
        <w:jc w:val="both"/>
        <w:rPr>
          <w:bCs/>
          <w:sz w:val="28"/>
          <w:szCs w:val="28"/>
        </w:rPr>
      </w:pPr>
      <w:r w:rsidRPr="00D8201E">
        <w:rPr>
          <w:bCs/>
          <w:sz w:val="28"/>
          <w:szCs w:val="28"/>
        </w:rPr>
        <w:t xml:space="preserve">In light of the results reached by the study regarding the relationship between the priority of use and the privilege of registration in the protection of trademarks, and considering the practical challenges imposed by the modern business environment, </w:t>
      </w:r>
      <w:r w:rsidR="00C23DC7">
        <w:rPr>
          <w:bCs/>
          <w:sz w:val="28"/>
          <w:szCs w:val="28"/>
        </w:rPr>
        <w:t xml:space="preserve">we do list </w:t>
      </w:r>
      <w:r w:rsidRPr="00D8201E">
        <w:rPr>
          <w:bCs/>
          <w:sz w:val="28"/>
          <w:szCs w:val="28"/>
        </w:rPr>
        <w:t>the follo</w:t>
      </w:r>
      <w:r w:rsidR="00C23DC7">
        <w:rPr>
          <w:bCs/>
          <w:sz w:val="28"/>
          <w:szCs w:val="28"/>
        </w:rPr>
        <w:t>wing recommendations</w:t>
      </w:r>
      <w:r w:rsidRPr="00D8201E">
        <w:rPr>
          <w:bCs/>
          <w:sz w:val="28"/>
          <w:szCs w:val="28"/>
        </w:rPr>
        <w:t xml:space="preserve">:  </w:t>
      </w:r>
    </w:p>
    <w:p w14:paraId="2A86DA5E" w14:textId="77777777" w:rsidR="00D8201E" w:rsidRPr="00C23DC7" w:rsidRDefault="007F2CDA" w:rsidP="007F2CDA">
      <w:pPr>
        <w:pStyle w:val="ListParagraph"/>
        <w:numPr>
          <w:ilvl w:val="0"/>
          <w:numId w:val="42"/>
        </w:numPr>
        <w:tabs>
          <w:tab w:val="decimal" w:pos="8280"/>
        </w:tabs>
        <w:spacing w:line="276" w:lineRule="auto"/>
        <w:ind w:left="360"/>
        <w:jc w:val="both"/>
        <w:rPr>
          <w:bCs/>
          <w:sz w:val="28"/>
          <w:szCs w:val="28"/>
        </w:rPr>
      </w:pPr>
      <w:r>
        <w:rPr>
          <w:bCs/>
          <w:sz w:val="28"/>
          <w:szCs w:val="28"/>
        </w:rPr>
        <w:t>T</w:t>
      </w:r>
      <w:r w:rsidR="00D8201E" w:rsidRPr="00C23DC7">
        <w:rPr>
          <w:bCs/>
          <w:sz w:val="28"/>
          <w:szCs w:val="28"/>
        </w:rPr>
        <w:t>he legislation</w:t>
      </w:r>
      <w:r>
        <w:rPr>
          <w:bCs/>
          <w:sz w:val="28"/>
          <w:szCs w:val="28"/>
        </w:rPr>
        <w:t xml:space="preserve"> should </w:t>
      </w:r>
      <w:r w:rsidR="00D8201E" w:rsidRPr="00C23DC7">
        <w:rPr>
          <w:bCs/>
          <w:sz w:val="28"/>
          <w:szCs w:val="28"/>
        </w:rPr>
        <w:t xml:space="preserve">include an explicit provision confirming that the priority of serious and continuous use of the trademark is a substantive basis for </w:t>
      </w:r>
      <w:r>
        <w:rPr>
          <w:bCs/>
          <w:sz w:val="28"/>
          <w:szCs w:val="28"/>
        </w:rPr>
        <w:t>g</w:t>
      </w:r>
      <w:r w:rsidR="00D8201E" w:rsidRPr="00C23DC7">
        <w:rPr>
          <w:bCs/>
          <w:sz w:val="28"/>
          <w:szCs w:val="28"/>
        </w:rPr>
        <w:t xml:space="preserve">ranting the prior user the right to invoke their use as a direct defense against infringement claims, without always obliging them to file a counterclaim to cancel the registration.  </w:t>
      </w:r>
    </w:p>
    <w:p w14:paraId="12740B83" w14:textId="77777777" w:rsidR="00C23DC7" w:rsidRDefault="007F2CDA" w:rsidP="00C23DC7">
      <w:pPr>
        <w:pStyle w:val="ListParagraph"/>
        <w:numPr>
          <w:ilvl w:val="0"/>
          <w:numId w:val="42"/>
        </w:numPr>
        <w:tabs>
          <w:tab w:val="decimal" w:pos="8280"/>
        </w:tabs>
        <w:spacing w:line="276" w:lineRule="auto"/>
        <w:ind w:left="360"/>
        <w:jc w:val="both"/>
        <w:rPr>
          <w:bCs/>
          <w:sz w:val="28"/>
          <w:szCs w:val="28"/>
        </w:rPr>
      </w:pPr>
      <w:r>
        <w:rPr>
          <w:bCs/>
          <w:sz w:val="28"/>
          <w:szCs w:val="28"/>
        </w:rPr>
        <w:t>A</w:t>
      </w:r>
      <w:r w:rsidR="00D8201E" w:rsidRPr="00C23DC7">
        <w:rPr>
          <w:bCs/>
          <w:sz w:val="28"/>
          <w:szCs w:val="28"/>
        </w:rPr>
        <w:t xml:space="preserve"> legal provision</w:t>
      </w:r>
      <w:r>
        <w:rPr>
          <w:bCs/>
          <w:sz w:val="28"/>
          <w:szCs w:val="28"/>
        </w:rPr>
        <w:t xml:space="preserve"> is required for</w:t>
      </w:r>
      <w:r w:rsidR="00D8201E" w:rsidRPr="00C23DC7">
        <w:rPr>
          <w:bCs/>
          <w:sz w:val="28"/>
          <w:szCs w:val="28"/>
        </w:rPr>
        <w:t xml:space="preserve"> defining cases of bad faith, such as registering the mark with prior knowledge of its use by others, or registration by an agent or distributor without authorization from the original owner, in order to enhance legal certainty and reduce reliance on judicial interpretation.  </w:t>
      </w:r>
    </w:p>
    <w:p w14:paraId="08EA5F62" w14:textId="77777777" w:rsidR="006C7888" w:rsidRPr="00C23DC7" w:rsidRDefault="007F2CDA" w:rsidP="002262F6">
      <w:pPr>
        <w:pStyle w:val="ListParagraph"/>
        <w:numPr>
          <w:ilvl w:val="0"/>
          <w:numId w:val="42"/>
        </w:numPr>
        <w:tabs>
          <w:tab w:val="decimal" w:pos="8280"/>
        </w:tabs>
        <w:spacing w:line="276" w:lineRule="auto"/>
        <w:ind w:left="360"/>
        <w:jc w:val="both"/>
        <w:rPr>
          <w:bCs/>
          <w:sz w:val="28"/>
          <w:szCs w:val="28"/>
        </w:rPr>
      </w:pPr>
      <w:r>
        <w:rPr>
          <w:bCs/>
          <w:sz w:val="28"/>
          <w:szCs w:val="28"/>
        </w:rPr>
        <w:t>C</w:t>
      </w:r>
      <w:r w:rsidR="00D8201E" w:rsidRPr="00C23DC7">
        <w:rPr>
          <w:bCs/>
          <w:sz w:val="28"/>
          <w:szCs w:val="28"/>
        </w:rPr>
        <w:t>lear regulatory rules</w:t>
      </w:r>
      <w:r>
        <w:rPr>
          <w:bCs/>
          <w:sz w:val="28"/>
          <w:szCs w:val="28"/>
        </w:rPr>
        <w:t xml:space="preserve"> should be enacted</w:t>
      </w:r>
      <w:r w:rsidR="002262F6">
        <w:rPr>
          <w:bCs/>
          <w:sz w:val="28"/>
          <w:szCs w:val="28"/>
        </w:rPr>
        <w:t xml:space="preserve"> through which prior use is proved, </w:t>
      </w:r>
      <w:r w:rsidR="00D8201E" w:rsidRPr="00C23DC7">
        <w:rPr>
          <w:bCs/>
          <w:sz w:val="28"/>
          <w:szCs w:val="28"/>
        </w:rPr>
        <w:t xml:space="preserve">such as invoices, commercial advertisements, commercial contracts, and tax records, </w:t>
      </w:r>
      <w:r w:rsidR="002262F6">
        <w:rPr>
          <w:bCs/>
          <w:sz w:val="28"/>
          <w:szCs w:val="28"/>
        </w:rPr>
        <w:t>and thus disputes could be resolved.</w:t>
      </w:r>
    </w:p>
    <w:p w14:paraId="2259EE52" w14:textId="77777777" w:rsidR="00D8201E" w:rsidRPr="00C23DC7" w:rsidRDefault="002262F6" w:rsidP="002262F6">
      <w:pPr>
        <w:pStyle w:val="ListParagraph"/>
        <w:numPr>
          <w:ilvl w:val="0"/>
          <w:numId w:val="42"/>
        </w:numPr>
        <w:tabs>
          <w:tab w:val="decimal" w:pos="8280"/>
        </w:tabs>
        <w:spacing w:line="276" w:lineRule="auto"/>
        <w:ind w:left="360"/>
        <w:jc w:val="both"/>
        <w:rPr>
          <w:bCs/>
          <w:sz w:val="28"/>
          <w:szCs w:val="28"/>
        </w:rPr>
      </w:pPr>
      <w:r>
        <w:rPr>
          <w:bCs/>
          <w:sz w:val="28"/>
          <w:szCs w:val="28"/>
        </w:rPr>
        <w:t xml:space="preserve">Scope of civil protection of unregistered trademarks could be expanded by enabling </w:t>
      </w:r>
      <w:r w:rsidR="00D8201E" w:rsidRPr="00C23DC7">
        <w:rPr>
          <w:bCs/>
          <w:sz w:val="28"/>
          <w:szCs w:val="28"/>
        </w:rPr>
        <w:t>prior user</w:t>
      </w:r>
      <w:r>
        <w:rPr>
          <w:bCs/>
          <w:sz w:val="28"/>
          <w:szCs w:val="28"/>
        </w:rPr>
        <w:t>s</w:t>
      </w:r>
      <w:r w:rsidR="00D8201E" w:rsidRPr="00C23DC7">
        <w:rPr>
          <w:bCs/>
          <w:sz w:val="28"/>
          <w:szCs w:val="28"/>
        </w:rPr>
        <w:t xml:space="preserve"> to claim compensation for damages resulting from unfair competition, whenever actual use and damage caused by infringement are proven.</w:t>
      </w:r>
    </w:p>
    <w:p w14:paraId="6F1890B6" w14:textId="77777777" w:rsidR="00D8201E" w:rsidRPr="00D8201E" w:rsidRDefault="00D8201E" w:rsidP="00D8201E">
      <w:pPr>
        <w:tabs>
          <w:tab w:val="decimal" w:pos="8280"/>
        </w:tabs>
        <w:spacing w:line="276" w:lineRule="auto"/>
        <w:jc w:val="both"/>
        <w:rPr>
          <w:bCs/>
          <w:sz w:val="28"/>
          <w:szCs w:val="28"/>
        </w:rPr>
      </w:pPr>
    </w:p>
    <w:p w14:paraId="1C74768D" w14:textId="77777777" w:rsidR="00D8201E" w:rsidRPr="00C23DC7" w:rsidRDefault="00781517" w:rsidP="00D8201E">
      <w:pPr>
        <w:pStyle w:val="ListParagraph"/>
        <w:numPr>
          <w:ilvl w:val="0"/>
          <w:numId w:val="42"/>
        </w:numPr>
        <w:tabs>
          <w:tab w:val="decimal" w:pos="8280"/>
        </w:tabs>
        <w:spacing w:line="276" w:lineRule="auto"/>
        <w:ind w:left="360"/>
        <w:jc w:val="both"/>
        <w:rPr>
          <w:bCs/>
          <w:sz w:val="28"/>
          <w:szCs w:val="28"/>
        </w:rPr>
      </w:pPr>
      <w:r>
        <w:rPr>
          <w:bCs/>
          <w:sz w:val="28"/>
          <w:szCs w:val="28"/>
        </w:rPr>
        <w:t>P</w:t>
      </w:r>
      <w:r w:rsidR="00D8201E" w:rsidRPr="00C23DC7">
        <w:rPr>
          <w:bCs/>
          <w:sz w:val="28"/>
          <w:szCs w:val="28"/>
        </w:rPr>
        <w:t>re-examination mechanisms</w:t>
      </w:r>
      <w:r>
        <w:rPr>
          <w:bCs/>
          <w:sz w:val="28"/>
          <w:szCs w:val="28"/>
        </w:rPr>
        <w:t xml:space="preserve"> shall be developed</w:t>
      </w:r>
      <w:r w:rsidR="00D8201E" w:rsidRPr="00C23DC7">
        <w:rPr>
          <w:bCs/>
          <w:sz w:val="28"/>
          <w:szCs w:val="28"/>
        </w:rPr>
        <w:t xml:space="preserve"> within the competent authority </w:t>
      </w:r>
      <w:r>
        <w:rPr>
          <w:bCs/>
          <w:sz w:val="28"/>
          <w:szCs w:val="28"/>
        </w:rPr>
        <w:t xml:space="preserve">that is </w:t>
      </w:r>
      <w:r w:rsidR="00D8201E" w:rsidRPr="00C23DC7">
        <w:rPr>
          <w:bCs/>
          <w:sz w:val="28"/>
          <w:szCs w:val="28"/>
        </w:rPr>
        <w:t xml:space="preserve">responsible for registering trademarks, including extensive searches for trademarks actually used in the market, not only </w:t>
      </w:r>
      <w:r>
        <w:rPr>
          <w:bCs/>
          <w:sz w:val="28"/>
          <w:szCs w:val="28"/>
        </w:rPr>
        <w:t>the registered ones</w:t>
      </w:r>
      <w:r w:rsidR="00D8201E" w:rsidRPr="00C23DC7">
        <w:rPr>
          <w:bCs/>
          <w:sz w:val="28"/>
          <w:szCs w:val="28"/>
        </w:rPr>
        <w:t>, in order to reduce future disputes.</w:t>
      </w:r>
    </w:p>
    <w:p w14:paraId="3AF4D05F" w14:textId="77777777" w:rsidR="00D8201E" w:rsidRPr="00C23DC7" w:rsidRDefault="00250892" w:rsidP="00D8201E">
      <w:pPr>
        <w:pStyle w:val="ListParagraph"/>
        <w:numPr>
          <w:ilvl w:val="0"/>
          <w:numId w:val="42"/>
        </w:numPr>
        <w:tabs>
          <w:tab w:val="decimal" w:pos="8280"/>
        </w:tabs>
        <w:spacing w:line="276" w:lineRule="auto"/>
        <w:ind w:left="360"/>
        <w:jc w:val="both"/>
        <w:rPr>
          <w:bCs/>
          <w:sz w:val="28"/>
          <w:szCs w:val="28"/>
        </w:rPr>
      </w:pPr>
      <w:r>
        <w:rPr>
          <w:bCs/>
          <w:sz w:val="28"/>
          <w:szCs w:val="28"/>
        </w:rPr>
        <w:t>H</w:t>
      </w:r>
      <w:r w:rsidR="00D8201E" w:rsidRPr="00C23DC7">
        <w:rPr>
          <w:bCs/>
          <w:sz w:val="28"/>
          <w:szCs w:val="28"/>
        </w:rPr>
        <w:t xml:space="preserve">igher judicial authorities </w:t>
      </w:r>
      <w:r>
        <w:rPr>
          <w:bCs/>
          <w:sz w:val="28"/>
          <w:szCs w:val="28"/>
        </w:rPr>
        <w:t xml:space="preserve">should </w:t>
      </w:r>
      <w:r w:rsidR="00D8201E" w:rsidRPr="00C23DC7">
        <w:rPr>
          <w:bCs/>
          <w:sz w:val="28"/>
          <w:szCs w:val="28"/>
        </w:rPr>
        <w:t>work</w:t>
      </w:r>
      <w:r>
        <w:rPr>
          <w:bCs/>
          <w:sz w:val="28"/>
          <w:szCs w:val="28"/>
        </w:rPr>
        <w:t xml:space="preserve"> on establishing clear and appropriate </w:t>
      </w:r>
      <w:r w:rsidR="00D8201E" w:rsidRPr="00C23DC7">
        <w:rPr>
          <w:bCs/>
          <w:sz w:val="28"/>
          <w:szCs w:val="28"/>
        </w:rPr>
        <w:t>principles regarding the relationship between use and registration, contributing to unifying judicial jurisprudence and enhancing legal stability.</w:t>
      </w:r>
    </w:p>
    <w:p w14:paraId="5CEA9B7C" w14:textId="77777777" w:rsidR="00D8201E" w:rsidRPr="00C23DC7" w:rsidRDefault="0098382B" w:rsidP="00D8201E">
      <w:pPr>
        <w:pStyle w:val="ListParagraph"/>
        <w:numPr>
          <w:ilvl w:val="0"/>
          <w:numId w:val="42"/>
        </w:numPr>
        <w:tabs>
          <w:tab w:val="decimal" w:pos="8280"/>
        </w:tabs>
        <w:spacing w:line="276" w:lineRule="auto"/>
        <w:ind w:left="360"/>
        <w:jc w:val="both"/>
        <w:rPr>
          <w:bCs/>
          <w:sz w:val="28"/>
          <w:szCs w:val="28"/>
        </w:rPr>
      </w:pPr>
      <w:r>
        <w:rPr>
          <w:bCs/>
          <w:sz w:val="28"/>
          <w:szCs w:val="28"/>
        </w:rPr>
        <w:t>C</w:t>
      </w:r>
      <w:r w:rsidR="00D8201E" w:rsidRPr="00C23DC7">
        <w:rPr>
          <w:bCs/>
          <w:sz w:val="28"/>
          <w:szCs w:val="28"/>
        </w:rPr>
        <w:t xml:space="preserve">oordination mechanisms between the administrative bodies </w:t>
      </w:r>
      <w:r>
        <w:rPr>
          <w:bCs/>
          <w:sz w:val="28"/>
          <w:szCs w:val="28"/>
        </w:rPr>
        <w:t xml:space="preserve">that are </w:t>
      </w:r>
      <w:r w:rsidR="00D8201E" w:rsidRPr="00C23DC7">
        <w:rPr>
          <w:bCs/>
          <w:sz w:val="28"/>
          <w:szCs w:val="28"/>
        </w:rPr>
        <w:t>responsible for trademark regis</w:t>
      </w:r>
      <w:r>
        <w:rPr>
          <w:bCs/>
          <w:sz w:val="28"/>
          <w:szCs w:val="28"/>
        </w:rPr>
        <w:t>tration and the judicial bodies should be promoted</w:t>
      </w:r>
      <w:r w:rsidR="00D8201E" w:rsidRPr="00C23DC7">
        <w:rPr>
          <w:bCs/>
          <w:sz w:val="28"/>
          <w:szCs w:val="28"/>
        </w:rPr>
        <w:t xml:space="preserve"> </w:t>
      </w:r>
      <w:r>
        <w:rPr>
          <w:bCs/>
          <w:sz w:val="28"/>
          <w:szCs w:val="28"/>
        </w:rPr>
        <w:t>to ensure</w:t>
      </w:r>
      <w:r w:rsidR="00D8201E" w:rsidRPr="00C23DC7">
        <w:rPr>
          <w:bCs/>
          <w:sz w:val="28"/>
          <w:szCs w:val="28"/>
        </w:rPr>
        <w:t xml:space="preserve"> swift reso</w:t>
      </w:r>
      <w:r>
        <w:rPr>
          <w:bCs/>
          <w:sz w:val="28"/>
          <w:szCs w:val="28"/>
        </w:rPr>
        <w:t>lution of disputes and provide</w:t>
      </w:r>
      <w:r w:rsidR="00D8201E" w:rsidRPr="00C23DC7">
        <w:rPr>
          <w:bCs/>
          <w:sz w:val="28"/>
          <w:szCs w:val="28"/>
        </w:rPr>
        <w:t xml:space="preserve"> effective protection of rights.</w:t>
      </w:r>
    </w:p>
    <w:p w14:paraId="2F5BCF1F" w14:textId="77777777" w:rsidR="00890EF3" w:rsidRPr="00C23DC7" w:rsidRDefault="00890EF3" w:rsidP="00C23DC7">
      <w:pPr>
        <w:pStyle w:val="ListParagraph"/>
        <w:numPr>
          <w:ilvl w:val="0"/>
          <w:numId w:val="42"/>
        </w:numPr>
        <w:tabs>
          <w:tab w:val="decimal" w:pos="8280"/>
        </w:tabs>
        <w:spacing w:line="276" w:lineRule="auto"/>
        <w:ind w:left="360"/>
        <w:jc w:val="both"/>
        <w:rPr>
          <w:bCs/>
          <w:sz w:val="28"/>
          <w:szCs w:val="28"/>
        </w:rPr>
      </w:pPr>
      <w:r w:rsidRPr="00C23DC7">
        <w:rPr>
          <w:bCs/>
          <w:sz w:val="28"/>
          <w:szCs w:val="28"/>
        </w:rPr>
        <w:t xml:space="preserve">Business owners are advised to register their trademarks immediately upon starting to use them, in order to provide strong legal protection and avoid potential disputes.  </w:t>
      </w:r>
    </w:p>
    <w:p w14:paraId="7025A164" w14:textId="77777777" w:rsidR="00890EF3" w:rsidRPr="00C23DC7" w:rsidRDefault="0098382B" w:rsidP="0098382B">
      <w:pPr>
        <w:pStyle w:val="ListParagraph"/>
        <w:numPr>
          <w:ilvl w:val="0"/>
          <w:numId w:val="42"/>
        </w:numPr>
        <w:tabs>
          <w:tab w:val="decimal" w:pos="8280"/>
        </w:tabs>
        <w:spacing w:line="276" w:lineRule="auto"/>
        <w:ind w:left="360"/>
        <w:jc w:val="both"/>
        <w:rPr>
          <w:bCs/>
          <w:sz w:val="28"/>
          <w:szCs w:val="28"/>
        </w:rPr>
      </w:pPr>
      <w:r>
        <w:rPr>
          <w:bCs/>
          <w:sz w:val="28"/>
          <w:szCs w:val="28"/>
        </w:rPr>
        <w:lastRenderedPageBreak/>
        <w:t>A</w:t>
      </w:r>
      <w:r w:rsidR="00890EF3" w:rsidRPr="00C23DC7">
        <w:rPr>
          <w:bCs/>
          <w:sz w:val="28"/>
          <w:szCs w:val="28"/>
        </w:rPr>
        <w:t xml:space="preserve">ccurate records </w:t>
      </w:r>
      <w:r>
        <w:rPr>
          <w:bCs/>
          <w:sz w:val="28"/>
          <w:szCs w:val="28"/>
        </w:rPr>
        <w:t>that prove</w:t>
      </w:r>
      <w:r w:rsidR="00890EF3" w:rsidRPr="00C23DC7">
        <w:rPr>
          <w:bCs/>
          <w:sz w:val="28"/>
          <w:szCs w:val="28"/>
        </w:rPr>
        <w:t xml:space="preserve"> actual use of the trademark</w:t>
      </w:r>
      <w:r>
        <w:rPr>
          <w:bCs/>
          <w:sz w:val="28"/>
          <w:szCs w:val="28"/>
        </w:rPr>
        <w:t xml:space="preserve"> should be kept by owners; including </w:t>
      </w:r>
      <w:r w:rsidR="00890EF3" w:rsidRPr="00C23DC7">
        <w:rPr>
          <w:bCs/>
          <w:sz w:val="28"/>
          <w:szCs w:val="28"/>
        </w:rPr>
        <w:t>invoices, contracts,</w:t>
      </w:r>
      <w:r>
        <w:rPr>
          <w:bCs/>
          <w:sz w:val="28"/>
          <w:szCs w:val="28"/>
        </w:rPr>
        <w:t xml:space="preserve"> and advertisements, as they are</w:t>
      </w:r>
      <w:r w:rsidR="00890EF3" w:rsidRPr="00C23DC7">
        <w:rPr>
          <w:bCs/>
          <w:sz w:val="28"/>
          <w:szCs w:val="28"/>
        </w:rPr>
        <w:t xml:space="preserve"> of great importance in proving priority of use in case a legal dispute arises.  </w:t>
      </w:r>
    </w:p>
    <w:p w14:paraId="6EAD5DF4" w14:textId="77777777" w:rsidR="00890EF3" w:rsidRPr="00C23DC7" w:rsidRDefault="00890EF3" w:rsidP="002E4ACC">
      <w:pPr>
        <w:pStyle w:val="ListParagraph"/>
        <w:numPr>
          <w:ilvl w:val="0"/>
          <w:numId w:val="42"/>
        </w:numPr>
        <w:tabs>
          <w:tab w:val="decimal" w:pos="8280"/>
        </w:tabs>
        <w:spacing w:line="276" w:lineRule="auto"/>
        <w:ind w:left="360"/>
        <w:jc w:val="both"/>
        <w:rPr>
          <w:bCs/>
          <w:sz w:val="28"/>
          <w:szCs w:val="28"/>
        </w:rPr>
      </w:pPr>
      <w:r w:rsidRPr="00C23DC7">
        <w:rPr>
          <w:bCs/>
          <w:sz w:val="28"/>
          <w:szCs w:val="28"/>
        </w:rPr>
        <w:t>Enhancing legal awareness of the importance of trademark protection</w:t>
      </w:r>
      <w:r w:rsidR="00C23DC7" w:rsidRPr="00C23DC7">
        <w:rPr>
          <w:bCs/>
          <w:sz w:val="28"/>
          <w:szCs w:val="28"/>
        </w:rPr>
        <w:t xml:space="preserve">: </w:t>
      </w:r>
      <w:r w:rsidR="002E4ACC">
        <w:rPr>
          <w:bCs/>
          <w:sz w:val="28"/>
          <w:szCs w:val="28"/>
        </w:rPr>
        <w:t>It is recommended to intensify A</w:t>
      </w:r>
      <w:r w:rsidRPr="00C23DC7">
        <w:rPr>
          <w:bCs/>
          <w:sz w:val="28"/>
          <w:szCs w:val="28"/>
        </w:rPr>
        <w:t>wareness programs</w:t>
      </w:r>
      <w:r w:rsidR="002E4ACC">
        <w:rPr>
          <w:bCs/>
          <w:sz w:val="28"/>
          <w:szCs w:val="28"/>
        </w:rPr>
        <w:t xml:space="preserve"> that focus on </w:t>
      </w:r>
      <w:r w:rsidRPr="00C23DC7">
        <w:rPr>
          <w:bCs/>
          <w:sz w:val="28"/>
          <w:szCs w:val="28"/>
        </w:rPr>
        <w:t>the importance of registering trademarks</w:t>
      </w:r>
      <w:r w:rsidR="002E4ACC">
        <w:rPr>
          <w:bCs/>
          <w:sz w:val="28"/>
          <w:szCs w:val="28"/>
        </w:rPr>
        <w:t xml:space="preserve"> are highly required due to its essential effect on protecting the owners' </w:t>
      </w:r>
      <w:r w:rsidRPr="00C23DC7">
        <w:rPr>
          <w:bCs/>
          <w:sz w:val="28"/>
          <w:szCs w:val="28"/>
        </w:rPr>
        <w:t xml:space="preserve">rights.  </w:t>
      </w:r>
    </w:p>
    <w:p w14:paraId="0BFA57C0" w14:textId="77777777" w:rsidR="002E4ACC" w:rsidRDefault="002E4ACC" w:rsidP="002E4ACC">
      <w:pPr>
        <w:pStyle w:val="ListParagraph"/>
        <w:numPr>
          <w:ilvl w:val="0"/>
          <w:numId w:val="42"/>
        </w:numPr>
        <w:tabs>
          <w:tab w:val="decimal" w:pos="8280"/>
        </w:tabs>
        <w:spacing w:line="276" w:lineRule="auto"/>
        <w:ind w:left="360"/>
        <w:jc w:val="both"/>
        <w:rPr>
          <w:bCs/>
          <w:sz w:val="28"/>
          <w:szCs w:val="28"/>
        </w:rPr>
      </w:pPr>
      <w:r>
        <w:rPr>
          <w:bCs/>
          <w:sz w:val="28"/>
          <w:szCs w:val="28"/>
        </w:rPr>
        <w:t>National L</w:t>
      </w:r>
      <w:r w:rsidR="00890EF3" w:rsidRPr="00C23DC7">
        <w:rPr>
          <w:bCs/>
          <w:sz w:val="28"/>
          <w:szCs w:val="28"/>
        </w:rPr>
        <w:t>egislation</w:t>
      </w:r>
      <w:r>
        <w:rPr>
          <w:bCs/>
          <w:sz w:val="28"/>
          <w:szCs w:val="28"/>
        </w:rPr>
        <w:t xml:space="preserve"> should be kept</w:t>
      </w:r>
      <w:r w:rsidR="00890EF3" w:rsidRPr="00C23DC7">
        <w:rPr>
          <w:bCs/>
          <w:sz w:val="28"/>
          <w:szCs w:val="28"/>
        </w:rPr>
        <w:t xml:space="preserve"> up to date with international developments in the field of trademark protection</w:t>
      </w:r>
      <w:r>
        <w:rPr>
          <w:bCs/>
          <w:sz w:val="28"/>
          <w:szCs w:val="28"/>
        </w:rPr>
        <w:t>.</w:t>
      </w:r>
      <w:r w:rsidR="00890EF3" w:rsidRPr="00C23DC7">
        <w:rPr>
          <w:bCs/>
          <w:sz w:val="28"/>
          <w:szCs w:val="28"/>
        </w:rPr>
        <w:t xml:space="preserve">  </w:t>
      </w:r>
    </w:p>
    <w:p w14:paraId="1E0508D7" w14:textId="77777777" w:rsidR="00890EF3" w:rsidRPr="002E4ACC" w:rsidRDefault="00890EF3" w:rsidP="002E4ACC">
      <w:pPr>
        <w:pStyle w:val="ListParagraph"/>
        <w:numPr>
          <w:ilvl w:val="0"/>
          <w:numId w:val="42"/>
        </w:numPr>
        <w:tabs>
          <w:tab w:val="decimal" w:pos="8280"/>
        </w:tabs>
        <w:spacing w:line="276" w:lineRule="auto"/>
        <w:ind w:left="360"/>
        <w:jc w:val="both"/>
        <w:rPr>
          <w:bCs/>
          <w:sz w:val="28"/>
          <w:szCs w:val="28"/>
        </w:rPr>
      </w:pPr>
      <w:r w:rsidRPr="002E4ACC">
        <w:rPr>
          <w:bCs/>
          <w:sz w:val="28"/>
          <w:szCs w:val="28"/>
        </w:rPr>
        <w:t xml:space="preserve">It is </w:t>
      </w:r>
      <w:r w:rsidR="002E4ACC" w:rsidRPr="002E4ACC">
        <w:rPr>
          <w:bCs/>
          <w:sz w:val="28"/>
          <w:szCs w:val="28"/>
        </w:rPr>
        <w:t xml:space="preserve">highly </w:t>
      </w:r>
      <w:r w:rsidRPr="002E4ACC">
        <w:rPr>
          <w:bCs/>
          <w:sz w:val="28"/>
          <w:szCs w:val="28"/>
        </w:rPr>
        <w:t xml:space="preserve">recommended to develop integrated electronic databases that facilitate searching for trademarks and help in early detection of potential conflicts.  </w:t>
      </w:r>
    </w:p>
    <w:p w14:paraId="4230DA66" w14:textId="77777777" w:rsidR="00890EF3" w:rsidRPr="00890EF3" w:rsidRDefault="00890EF3" w:rsidP="00890EF3">
      <w:pPr>
        <w:tabs>
          <w:tab w:val="decimal" w:pos="8280"/>
        </w:tabs>
        <w:spacing w:line="276" w:lineRule="auto"/>
        <w:jc w:val="both"/>
        <w:rPr>
          <w:bCs/>
          <w:sz w:val="28"/>
          <w:szCs w:val="28"/>
        </w:rPr>
      </w:pPr>
    </w:p>
    <w:p w14:paraId="67376108" w14:textId="77777777" w:rsidR="00890EF3" w:rsidRPr="00890EF3" w:rsidRDefault="00890EF3" w:rsidP="002E4ACC">
      <w:pPr>
        <w:tabs>
          <w:tab w:val="decimal" w:pos="8280"/>
        </w:tabs>
        <w:spacing w:line="276" w:lineRule="auto"/>
        <w:ind w:firstLine="540"/>
        <w:jc w:val="both"/>
        <w:rPr>
          <w:bCs/>
          <w:sz w:val="28"/>
          <w:szCs w:val="28"/>
        </w:rPr>
      </w:pPr>
      <w:r w:rsidRPr="00890EF3">
        <w:rPr>
          <w:bCs/>
          <w:sz w:val="28"/>
          <w:szCs w:val="28"/>
        </w:rPr>
        <w:t>These recommendations emphasize the importance of achieving a legislative and practical balance between protecting the priority of use as a legitimate substantive right, and ensuring the stability of commercial transactions through the official registration system, which contributes to enhancing confidence in the legal system, supporting the investment environment, and protecting fair competition</w:t>
      </w:r>
      <w:r w:rsidR="002E4ACC">
        <w:rPr>
          <w:bCs/>
          <w:sz w:val="28"/>
          <w:szCs w:val="28"/>
        </w:rPr>
        <w:t>.</w:t>
      </w:r>
      <w:r w:rsidRPr="00890EF3">
        <w:rPr>
          <w:bCs/>
          <w:sz w:val="28"/>
          <w:szCs w:val="28"/>
        </w:rPr>
        <w:t xml:space="preserve"> </w:t>
      </w:r>
    </w:p>
    <w:p w14:paraId="529251E9" w14:textId="77777777" w:rsidR="00890EF3" w:rsidRPr="002E4ACC" w:rsidRDefault="00890EF3" w:rsidP="00890EF3">
      <w:pPr>
        <w:tabs>
          <w:tab w:val="decimal" w:pos="8280"/>
        </w:tabs>
        <w:spacing w:line="276" w:lineRule="auto"/>
        <w:jc w:val="both"/>
        <w:rPr>
          <w:bCs/>
          <w:sz w:val="16"/>
          <w:szCs w:val="16"/>
        </w:rPr>
      </w:pPr>
    </w:p>
    <w:p w14:paraId="525D47F6" w14:textId="77777777" w:rsidR="00E653B8" w:rsidRPr="00E653B8" w:rsidRDefault="00E653B8" w:rsidP="00330206">
      <w:pPr>
        <w:tabs>
          <w:tab w:val="decimal" w:pos="8280"/>
        </w:tabs>
        <w:spacing w:line="276" w:lineRule="auto"/>
        <w:jc w:val="both"/>
        <w:rPr>
          <w:b/>
          <w:sz w:val="32"/>
          <w:szCs w:val="32"/>
        </w:rPr>
      </w:pPr>
      <w:r w:rsidRPr="00E653B8">
        <w:rPr>
          <w:b/>
          <w:sz w:val="32"/>
          <w:szCs w:val="32"/>
        </w:rPr>
        <w:t xml:space="preserve">6. </w:t>
      </w:r>
      <w:r w:rsidR="00330206" w:rsidRPr="00E653B8">
        <w:rPr>
          <w:b/>
          <w:sz w:val="32"/>
          <w:szCs w:val="32"/>
        </w:rPr>
        <w:t>Future Research</w:t>
      </w:r>
    </w:p>
    <w:p w14:paraId="5F9E8CEB" w14:textId="77777777" w:rsidR="00330206" w:rsidRPr="00330206" w:rsidRDefault="00330206" w:rsidP="00330206">
      <w:pPr>
        <w:tabs>
          <w:tab w:val="decimal" w:pos="8280"/>
        </w:tabs>
        <w:spacing w:line="276" w:lineRule="auto"/>
        <w:jc w:val="both"/>
        <w:rPr>
          <w:bCs/>
          <w:sz w:val="28"/>
          <w:szCs w:val="28"/>
        </w:rPr>
      </w:pPr>
      <w:r w:rsidRPr="00330206">
        <w:rPr>
          <w:bCs/>
          <w:sz w:val="28"/>
          <w:szCs w:val="28"/>
        </w:rPr>
        <w:t xml:space="preserve">  </w:t>
      </w:r>
    </w:p>
    <w:p w14:paraId="60910A6E" w14:textId="77777777" w:rsidR="003A4BC3" w:rsidRDefault="004D7B02" w:rsidP="004D7B02">
      <w:pPr>
        <w:tabs>
          <w:tab w:val="decimal" w:pos="8280"/>
        </w:tabs>
        <w:spacing w:line="276" w:lineRule="auto"/>
        <w:ind w:firstLine="540"/>
        <w:jc w:val="both"/>
        <w:rPr>
          <w:bCs/>
          <w:sz w:val="28"/>
          <w:szCs w:val="28"/>
        </w:rPr>
      </w:pPr>
      <w:r>
        <w:rPr>
          <w:bCs/>
          <w:sz w:val="28"/>
          <w:szCs w:val="28"/>
        </w:rPr>
        <w:t>According to the findings attained</w:t>
      </w:r>
      <w:r w:rsidR="00330206" w:rsidRPr="00330206">
        <w:rPr>
          <w:bCs/>
          <w:sz w:val="28"/>
          <w:szCs w:val="28"/>
        </w:rPr>
        <w:t xml:space="preserve"> by the study regarding the complex interaction between the priority of use and the privilege of registration in trademark protection, a set of future research paths emerges that deserve in-depth scientific treatment, especially in light of the accelerating digital and commercial transfo</w:t>
      </w:r>
      <w:r>
        <w:rPr>
          <w:bCs/>
          <w:sz w:val="28"/>
          <w:szCs w:val="28"/>
        </w:rPr>
        <w:t xml:space="preserve">rmations. In fact, the widespread </w:t>
      </w:r>
      <w:r w:rsidR="00330206" w:rsidRPr="00330206">
        <w:rPr>
          <w:bCs/>
          <w:sz w:val="28"/>
          <w:szCs w:val="28"/>
        </w:rPr>
        <w:t>of e-commerce and social media platforms opens the door to redefining the concept of "serious and continuous use" of the trademark. The question that imposes itself is whether displaying the mark on a website or digital platform is suffi</w:t>
      </w:r>
      <w:r>
        <w:rPr>
          <w:bCs/>
          <w:sz w:val="28"/>
          <w:szCs w:val="28"/>
        </w:rPr>
        <w:t>cient to establish</w:t>
      </w:r>
      <w:r w:rsidR="00330206" w:rsidRPr="00330206">
        <w:rPr>
          <w:bCs/>
          <w:sz w:val="28"/>
          <w:szCs w:val="28"/>
        </w:rPr>
        <w:t xml:space="preserve"> the right</w:t>
      </w:r>
      <w:r>
        <w:rPr>
          <w:bCs/>
          <w:sz w:val="28"/>
          <w:szCs w:val="28"/>
        </w:rPr>
        <w:t xml:space="preserve"> of use? </w:t>
      </w:r>
      <w:r w:rsidR="00330206" w:rsidRPr="00330206">
        <w:rPr>
          <w:bCs/>
          <w:sz w:val="28"/>
          <w:szCs w:val="28"/>
        </w:rPr>
        <w:t xml:space="preserve">Future studies may tend to analyze the adequacy of cross-border digital use in establishing a legal priority, especially given the regional nature of legal </w:t>
      </w:r>
      <w:r>
        <w:rPr>
          <w:bCs/>
          <w:sz w:val="28"/>
          <w:szCs w:val="28"/>
        </w:rPr>
        <w:t>protection for trademarks.</w:t>
      </w:r>
    </w:p>
    <w:p w14:paraId="374A0FDA" w14:textId="77777777" w:rsidR="003A4BC3" w:rsidRDefault="00330206" w:rsidP="004D7B02">
      <w:pPr>
        <w:tabs>
          <w:tab w:val="decimal" w:pos="8280"/>
        </w:tabs>
        <w:spacing w:line="276" w:lineRule="auto"/>
        <w:ind w:firstLine="540"/>
        <w:jc w:val="both"/>
        <w:rPr>
          <w:bCs/>
          <w:sz w:val="28"/>
          <w:szCs w:val="28"/>
        </w:rPr>
      </w:pPr>
      <w:r w:rsidRPr="00330206">
        <w:rPr>
          <w:bCs/>
          <w:sz w:val="28"/>
          <w:szCs w:val="28"/>
        </w:rPr>
        <w:t xml:space="preserve">The study showed that the concept of "bad faith" represents the cornerstone in breaking the immunity of registration, yet legislative and judicial standards still largely rely on judicial discretion. Accordingly, future research can focus on building an integrated normative model to determine bad faith, based on objectively measurable indicators, such as the prior relationship between the parties, the presumed knowledge of the mark, or the commercial behavior pattern of the registrant. Extensive comparative studies between different legal systems can also be conducted to extract best practices in this field. Among important research paths is conducting an economic analytical study to assess the economic impact of both the prior use system and the registration privilege system on the investment </w:t>
      </w:r>
      <w:r w:rsidRPr="00330206">
        <w:rPr>
          <w:bCs/>
          <w:sz w:val="28"/>
          <w:szCs w:val="28"/>
        </w:rPr>
        <w:lastRenderedPageBreak/>
        <w:t>environment, the level of competition, and litigation costs. It may be useful to measure the extent of the impact of strengthening the position of the prior user or the official registrant on market stability, the attractiveness of foreign investment, and consumer protection from deception.</w:t>
      </w:r>
    </w:p>
    <w:p w14:paraId="2F4EFBA2" w14:textId="77777777" w:rsidR="009532D2" w:rsidRDefault="00330206" w:rsidP="009532D2">
      <w:pPr>
        <w:tabs>
          <w:tab w:val="decimal" w:pos="8280"/>
        </w:tabs>
        <w:spacing w:line="276" w:lineRule="auto"/>
        <w:ind w:firstLine="540"/>
        <w:jc w:val="both"/>
        <w:rPr>
          <w:bCs/>
          <w:sz w:val="28"/>
          <w:szCs w:val="28"/>
        </w:rPr>
      </w:pPr>
      <w:r w:rsidRPr="00330206">
        <w:rPr>
          <w:bCs/>
          <w:sz w:val="28"/>
          <w:szCs w:val="28"/>
        </w:rPr>
        <w:t xml:space="preserve">Famous cross-border trademarks deserve further research, especially regarding the extent of the independence of their protection from local registration, and how to reconcile the principle of territoriality with the concept of global fame. Future studies can address the issue of proving fame in the digital environment, and the extent of the impact of social media in forming this fame. The scope of comparison can be expanded to include other legal systems, such as the Anglo-Saxon system based on the priority of use, or systems that adopt a strict registration model, with the aim of evaluating the effectiveness of each model in achieving a balance between justice and legal stability. </w:t>
      </w:r>
    </w:p>
    <w:p w14:paraId="04183CBD" w14:textId="77777777" w:rsidR="009532D2" w:rsidRDefault="00330206" w:rsidP="009532D2">
      <w:pPr>
        <w:tabs>
          <w:tab w:val="decimal" w:pos="8280"/>
        </w:tabs>
        <w:spacing w:line="276" w:lineRule="auto"/>
        <w:ind w:firstLine="540"/>
        <w:jc w:val="both"/>
        <w:rPr>
          <w:bCs/>
          <w:sz w:val="28"/>
          <w:szCs w:val="28"/>
        </w:rPr>
      </w:pPr>
      <w:r w:rsidRPr="00330206">
        <w:rPr>
          <w:bCs/>
          <w:sz w:val="28"/>
          <w:szCs w:val="28"/>
        </w:rPr>
        <w:t xml:space="preserve">Applied studies can also be conducted based on the analysis of quantitative judicial data to monitor court trends in distinguishing between use and registration. In light of technological development, future research may focus on assessing the possibility of employing artificial intelligence technologies in trademark examination and early detection of conflicts, and the extent of their impact on reducing disputes and enhancing administrative efficiency. </w:t>
      </w:r>
    </w:p>
    <w:p w14:paraId="30DECBB1" w14:textId="77777777" w:rsidR="00330206" w:rsidRDefault="00330206" w:rsidP="009532D2">
      <w:pPr>
        <w:tabs>
          <w:tab w:val="decimal" w:pos="8280"/>
        </w:tabs>
        <w:spacing w:line="276" w:lineRule="auto"/>
        <w:ind w:firstLine="540"/>
        <w:jc w:val="both"/>
        <w:rPr>
          <w:bCs/>
          <w:sz w:val="28"/>
          <w:szCs w:val="28"/>
        </w:rPr>
      </w:pPr>
      <w:r w:rsidRPr="00330206">
        <w:rPr>
          <w:bCs/>
          <w:sz w:val="28"/>
          <w:szCs w:val="28"/>
        </w:rPr>
        <w:t>It is clear</w:t>
      </w:r>
      <w:r w:rsidR="009532D2">
        <w:rPr>
          <w:bCs/>
          <w:sz w:val="28"/>
          <w:szCs w:val="28"/>
        </w:rPr>
        <w:t xml:space="preserve"> however</w:t>
      </w:r>
      <w:r w:rsidRPr="00330206">
        <w:rPr>
          <w:bCs/>
          <w:sz w:val="28"/>
          <w:szCs w:val="28"/>
        </w:rPr>
        <w:t xml:space="preserve"> that the subject of priority of use and the privilege of registration remains a fertile field for scientific research, especially in light of rapid economic and technological changes. Future studies adopting comparative, economic, and digital approaches would contribute to the development of the theoretical and legislative framework for trademark protection, and enhance the ability of legal systems to adapt to the requirements of the modern market.</w:t>
      </w:r>
    </w:p>
    <w:p w14:paraId="6E392582" w14:textId="77777777" w:rsidR="003A4BC3" w:rsidRPr="009532D2" w:rsidRDefault="003A4BC3" w:rsidP="008C4543">
      <w:pPr>
        <w:tabs>
          <w:tab w:val="decimal" w:pos="8280"/>
        </w:tabs>
        <w:spacing w:line="276" w:lineRule="auto"/>
        <w:ind w:left="90"/>
        <w:jc w:val="both"/>
        <w:rPr>
          <w:bCs/>
          <w:sz w:val="16"/>
          <w:szCs w:val="16"/>
        </w:rPr>
      </w:pPr>
    </w:p>
    <w:p w14:paraId="2160CEC2" w14:textId="77777777" w:rsidR="00E653B8" w:rsidRPr="001C06A5" w:rsidRDefault="00E653B8" w:rsidP="00330206">
      <w:pPr>
        <w:tabs>
          <w:tab w:val="decimal" w:pos="8280"/>
        </w:tabs>
        <w:spacing w:line="276" w:lineRule="auto"/>
        <w:ind w:left="90"/>
        <w:jc w:val="both"/>
        <w:rPr>
          <w:b/>
          <w:sz w:val="32"/>
          <w:szCs w:val="32"/>
        </w:rPr>
      </w:pPr>
      <w:r w:rsidRPr="001C06A5">
        <w:rPr>
          <w:b/>
          <w:sz w:val="32"/>
          <w:szCs w:val="32"/>
        </w:rPr>
        <w:t xml:space="preserve">7. </w:t>
      </w:r>
      <w:r w:rsidR="00330206" w:rsidRPr="001C06A5">
        <w:rPr>
          <w:b/>
          <w:sz w:val="32"/>
          <w:szCs w:val="32"/>
        </w:rPr>
        <w:t>Conclusion</w:t>
      </w:r>
      <w:r w:rsidRPr="001C06A5">
        <w:rPr>
          <w:b/>
          <w:sz w:val="32"/>
          <w:szCs w:val="32"/>
        </w:rPr>
        <w:t>s</w:t>
      </w:r>
    </w:p>
    <w:p w14:paraId="19E8BCEC" w14:textId="77777777" w:rsidR="00330206" w:rsidRPr="009532D2" w:rsidRDefault="00330206" w:rsidP="009532D2">
      <w:pPr>
        <w:tabs>
          <w:tab w:val="left" w:pos="788"/>
        </w:tabs>
        <w:spacing w:line="276" w:lineRule="auto"/>
        <w:ind w:left="90"/>
        <w:jc w:val="both"/>
        <w:rPr>
          <w:bCs/>
          <w:sz w:val="16"/>
          <w:szCs w:val="16"/>
        </w:rPr>
      </w:pPr>
      <w:r w:rsidRPr="009532D2">
        <w:rPr>
          <w:bCs/>
          <w:sz w:val="16"/>
          <w:szCs w:val="16"/>
        </w:rPr>
        <w:t xml:space="preserve">  </w:t>
      </w:r>
      <w:r w:rsidR="009532D2" w:rsidRPr="009532D2">
        <w:rPr>
          <w:bCs/>
          <w:sz w:val="16"/>
          <w:szCs w:val="16"/>
        </w:rPr>
        <w:tab/>
      </w:r>
    </w:p>
    <w:p w14:paraId="10A4786A" w14:textId="77777777" w:rsidR="001D6C86" w:rsidRDefault="00330206" w:rsidP="001D6C86">
      <w:pPr>
        <w:tabs>
          <w:tab w:val="decimal" w:pos="8280"/>
        </w:tabs>
        <w:spacing w:line="276" w:lineRule="auto"/>
        <w:ind w:firstLine="540"/>
        <w:jc w:val="both"/>
        <w:rPr>
          <w:bCs/>
          <w:sz w:val="28"/>
          <w:szCs w:val="28"/>
        </w:rPr>
      </w:pPr>
      <w:r w:rsidRPr="00330206">
        <w:rPr>
          <w:bCs/>
          <w:sz w:val="28"/>
          <w:szCs w:val="28"/>
        </w:rPr>
        <w:t xml:space="preserve">This study </w:t>
      </w:r>
      <w:r w:rsidR="009532D2">
        <w:rPr>
          <w:bCs/>
          <w:sz w:val="28"/>
          <w:szCs w:val="28"/>
        </w:rPr>
        <w:t>has been addressing</w:t>
      </w:r>
      <w:r w:rsidRPr="00330206">
        <w:rPr>
          <w:bCs/>
          <w:sz w:val="28"/>
          <w:szCs w:val="28"/>
        </w:rPr>
        <w:t xml:space="preserve"> the legal basis for the protection of trademarks in light of the potential conflict between the priority of use and the privilege of registration, through analyzing the legislative and regulatory framework, studying judicial trends, and conducting a comparison between UAE law and some comparative legislations, aiming to determine the legal nature of the right in the trademark and clarify the basis on which it is founded and protected. </w:t>
      </w:r>
      <w:r w:rsidR="001D6C86">
        <w:rPr>
          <w:bCs/>
          <w:sz w:val="28"/>
          <w:szCs w:val="28"/>
        </w:rPr>
        <w:t>In addition, t</w:t>
      </w:r>
      <w:r w:rsidRPr="00330206">
        <w:rPr>
          <w:bCs/>
          <w:sz w:val="28"/>
          <w:szCs w:val="28"/>
        </w:rPr>
        <w:t xml:space="preserve">he study </w:t>
      </w:r>
      <w:r w:rsidR="001D6C86">
        <w:rPr>
          <w:bCs/>
          <w:sz w:val="28"/>
          <w:szCs w:val="28"/>
        </w:rPr>
        <w:t xml:space="preserve">has </w:t>
      </w:r>
      <w:r w:rsidRPr="00330206">
        <w:rPr>
          <w:bCs/>
          <w:sz w:val="28"/>
          <w:szCs w:val="28"/>
        </w:rPr>
        <w:t xml:space="preserve">revealed that the legal protection of the trademark no longer relies solely on a purely formal criterion represented by registration, nor on a purely objective criterion based on use, but rather on a mixed legal system that balances formal considerations related to the stability of the legal register and substantive considerations related to protecting rights acquired through actual use. </w:t>
      </w:r>
    </w:p>
    <w:p w14:paraId="10AC2359" w14:textId="77777777" w:rsidR="003A4BC3" w:rsidRDefault="001D6C86" w:rsidP="001D6C86">
      <w:pPr>
        <w:tabs>
          <w:tab w:val="decimal" w:pos="8280"/>
        </w:tabs>
        <w:spacing w:line="276" w:lineRule="auto"/>
        <w:ind w:firstLine="540"/>
        <w:jc w:val="both"/>
        <w:rPr>
          <w:bCs/>
          <w:sz w:val="28"/>
          <w:szCs w:val="28"/>
        </w:rPr>
      </w:pPr>
      <w:r>
        <w:rPr>
          <w:bCs/>
          <w:sz w:val="28"/>
          <w:szCs w:val="28"/>
        </w:rPr>
        <w:lastRenderedPageBreak/>
        <w:t>It has been</w:t>
      </w:r>
      <w:r w:rsidR="00330206" w:rsidRPr="00330206">
        <w:rPr>
          <w:bCs/>
          <w:sz w:val="28"/>
          <w:szCs w:val="28"/>
        </w:rPr>
        <w:t xml:space="preserve"> shown</w:t>
      </w:r>
      <w:r>
        <w:rPr>
          <w:bCs/>
          <w:sz w:val="28"/>
          <w:szCs w:val="28"/>
        </w:rPr>
        <w:t xml:space="preserve"> as well</w:t>
      </w:r>
      <w:r w:rsidR="00330206" w:rsidRPr="00330206">
        <w:rPr>
          <w:bCs/>
          <w:sz w:val="28"/>
          <w:szCs w:val="28"/>
        </w:rPr>
        <w:t xml:space="preserve"> that the serious and continuous use of the trademark represents the substantive basis for the emergence of the right therein, as it is the means that establishes the connection between the mark and the source of the product or service in the public’s mind, while registration represents a legal means to establish this right and provide procedural protection against others.</w:t>
      </w:r>
    </w:p>
    <w:p w14:paraId="36D4C095" w14:textId="77777777" w:rsidR="0064311C" w:rsidRDefault="001D6C86" w:rsidP="001D6C86">
      <w:pPr>
        <w:tabs>
          <w:tab w:val="decimal" w:pos="8280"/>
        </w:tabs>
        <w:spacing w:line="276" w:lineRule="auto"/>
        <w:ind w:firstLine="540"/>
        <w:jc w:val="both"/>
        <w:rPr>
          <w:bCs/>
          <w:sz w:val="28"/>
          <w:szCs w:val="28"/>
        </w:rPr>
      </w:pPr>
      <w:r>
        <w:rPr>
          <w:bCs/>
          <w:sz w:val="28"/>
          <w:szCs w:val="28"/>
        </w:rPr>
        <w:t xml:space="preserve">Besides, it has been determined that </w:t>
      </w:r>
      <w:r w:rsidR="00F57F96" w:rsidRPr="00F57F96">
        <w:rPr>
          <w:bCs/>
          <w:sz w:val="28"/>
          <w:szCs w:val="28"/>
        </w:rPr>
        <w:t>registration provides a strong legal presumption of ownership; however, this presumption is not absolute and can be rebutted by proving priority of use, espec</w:t>
      </w:r>
      <w:r w:rsidR="0064311C">
        <w:rPr>
          <w:bCs/>
          <w:sz w:val="28"/>
          <w:szCs w:val="28"/>
        </w:rPr>
        <w:t xml:space="preserve">ially if </w:t>
      </w:r>
      <w:r w:rsidR="00F57F96" w:rsidRPr="00F57F96">
        <w:rPr>
          <w:bCs/>
          <w:sz w:val="28"/>
          <w:szCs w:val="28"/>
        </w:rPr>
        <w:t xml:space="preserve">the registration was made in bad faith or in the presence of a previously acquired right. Conversely, the legislator imposes temporal and procedural restrictions on invoking priority of use, aiming to achieve legal stability and prevent disputes from continuing indefinitely, reflecting its keenness to balance the protection of individual rights with the requirements of legal security. </w:t>
      </w:r>
    </w:p>
    <w:p w14:paraId="1AECF743" w14:textId="77777777" w:rsidR="00330206" w:rsidRPr="008C4543" w:rsidRDefault="00F57F96" w:rsidP="001D6C86">
      <w:pPr>
        <w:tabs>
          <w:tab w:val="decimal" w:pos="8280"/>
        </w:tabs>
        <w:spacing w:line="276" w:lineRule="auto"/>
        <w:ind w:firstLine="540"/>
        <w:jc w:val="both"/>
        <w:rPr>
          <w:bCs/>
          <w:sz w:val="28"/>
          <w:szCs w:val="28"/>
        </w:rPr>
      </w:pPr>
      <w:r w:rsidRPr="00F57F96">
        <w:rPr>
          <w:bCs/>
          <w:sz w:val="28"/>
          <w:szCs w:val="28"/>
        </w:rPr>
        <w:t>The study also confirmed the pivotal role of the judiciary in interpreting legal texts and consolidating the principles governing the preference between use and registration, contributing to achieving commercial justice and ensuring that the registration system is not exploited as a means of seizing acquired rights. The study also highlighted the importance of registration as a necessary preventive measure to enhance legal protection, reduce the risks of disputes, and provide a stable legal environment that supports economic and investment activity.</w:t>
      </w:r>
    </w:p>
    <w:p w14:paraId="0FD684BC" w14:textId="77777777" w:rsidR="00953F1F" w:rsidRPr="001C4843" w:rsidRDefault="0064311C" w:rsidP="0064311C">
      <w:pPr>
        <w:tabs>
          <w:tab w:val="decimal" w:pos="8280"/>
        </w:tabs>
        <w:spacing w:line="276" w:lineRule="auto"/>
        <w:ind w:firstLine="540"/>
        <w:jc w:val="both"/>
        <w:rPr>
          <w:bCs/>
          <w:sz w:val="28"/>
          <w:szCs w:val="28"/>
        </w:rPr>
      </w:pPr>
      <w:r>
        <w:rPr>
          <w:bCs/>
          <w:sz w:val="28"/>
          <w:szCs w:val="28"/>
        </w:rPr>
        <w:t xml:space="preserve">Finally, we may say that </w:t>
      </w:r>
      <w:r w:rsidR="00F57F96" w:rsidRPr="00F57F96">
        <w:rPr>
          <w:bCs/>
          <w:sz w:val="28"/>
          <w:szCs w:val="28"/>
        </w:rPr>
        <w:t>effective legal protection of the trademark is based on the integration between use and registration, where use represents the source of the right, while registration represents the means of proving and protecting</w:t>
      </w:r>
      <w:r>
        <w:rPr>
          <w:bCs/>
          <w:sz w:val="28"/>
          <w:szCs w:val="28"/>
        </w:rPr>
        <w:t xml:space="preserve"> this right. Such</w:t>
      </w:r>
      <w:r w:rsidR="00F57F96" w:rsidRPr="00F57F96">
        <w:rPr>
          <w:bCs/>
          <w:sz w:val="28"/>
          <w:szCs w:val="28"/>
        </w:rPr>
        <w:t xml:space="preserve"> approach reflects a development in contemporary legal thought, which seeks to achieve a balance between justice and stability, and between protecting acquired rights and enhancing confidence in the legal system, contributing to supporting the business environment, encouraging innovation, and promoting fair competition in modern markets. The study concludes that developing the legal framework for trademark protection requires continuous legislative updating, enhancing regulatory clarity, and consolidating judicial principles that ensure the protection of substantive rights without compromising the stability of transactions, keeping pace with rapid economic and technological transformations, and enhancing the effectiveness of the intellectual property protection system in achieving its economic and legal objectives.</w:t>
      </w:r>
    </w:p>
    <w:p w14:paraId="33AEC709" w14:textId="77777777" w:rsidR="00953F1F" w:rsidRDefault="00953F1F" w:rsidP="00136C2B">
      <w:pPr>
        <w:spacing w:line="276" w:lineRule="auto"/>
        <w:ind w:firstLine="540"/>
        <w:jc w:val="both"/>
        <w:rPr>
          <w:bCs/>
          <w:sz w:val="28"/>
          <w:szCs w:val="28"/>
        </w:rPr>
      </w:pPr>
    </w:p>
    <w:p w14:paraId="0C207BAB" w14:textId="77777777" w:rsidR="00402379" w:rsidRDefault="00402379" w:rsidP="00136C2B">
      <w:pPr>
        <w:spacing w:line="276" w:lineRule="auto"/>
        <w:ind w:firstLine="540"/>
        <w:jc w:val="both"/>
        <w:rPr>
          <w:bCs/>
          <w:sz w:val="28"/>
          <w:szCs w:val="28"/>
        </w:rPr>
      </w:pPr>
    </w:p>
    <w:p w14:paraId="53167A96" w14:textId="77777777" w:rsidR="00953F1F" w:rsidRPr="009532D2" w:rsidRDefault="00953F1F" w:rsidP="00953F1F">
      <w:pPr>
        <w:tabs>
          <w:tab w:val="decimal" w:pos="8280"/>
        </w:tabs>
        <w:spacing w:line="276" w:lineRule="auto"/>
        <w:jc w:val="both"/>
        <w:rPr>
          <w:b/>
          <w:sz w:val="32"/>
          <w:szCs w:val="32"/>
        </w:rPr>
      </w:pPr>
      <w:r w:rsidRPr="009532D2">
        <w:rPr>
          <w:b/>
          <w:sz w:val="32"/>
          <w:szCs w:val="32"/>
        </w:rPr>
        <w:t>References</w:t>
      </w:r>
    </w:p>
    <w:p w14:paraId="2069AFED" w14:textId="77777777" w:rsidR="00953F1F" w:rsidRDefault="00953F1F" w:rsidP="00953F1F">
      <w:pPr>
        <w:tabs>
          <w:tab w:val="decimal" w:pos="8280"/>
        </w:tabs>
        <w:spacing w:line="276" w:lineRule="auto"/>
        <w:jc w:val="both"/>
        <w:rPr>
          <w:bCs/>
          <w:sz w:val="28"/>
          <w:szCs w:val="28"/>
        </w:rPr>
      </w:pPr>
    </w:p>
    <w:p w14:paraId="118ECC00" w14:textId="77777777" w:rsidR="00953F1F" w:rsidRDefault="00953F1F" w:rsidP="00402379">
      <w:pPr>
        <w:tabs>
          <w:tab w:val="decimal" w:pos="8280"/>
        </w:tabs>
        <w:jc w:val="both"/>
        <w:rPr>
          <w:bCs/>
          <w:sz w:val="28"/>
          <w:szCs w:val="28"/>
        </w:rPr>
      </w:pPr>
      <w:r>
        <w:rPr>
          <w:bCs/>
          <w:sz w:val="28"/>
          <w:szCs w:val="28"/>
        </w:rPr>
        <w:t>Al-Najjar, Mohammed (2025), Trademark between Priority of Use and Privilege of Registration: An Analytical Reading in light of UAE Law and Court R</w:t>
      </w:r>
      <w:r w:rsidRPr="00953F1F">
        <w:rPr>
          <w:bCs/>
          <w:sz w:val="28"/>
          <w:szCs w:val="28"/>
        </w:rPr>
        <w:t xml:space="preserve">ulings. </w:t>
      </w:r>
    </w:p>
    <w:p w14:paraId="2E34D89E" w14:textId="77777777" w:rsidR="0061716A" w:rsidRDefault="0061716A" w:rsidP="00402379">
      <w:pPr>
        <w:tabs>
          <w:tab w:val="decimal" w:pos="8280"/>
        </w:tabs>
        <w:jc w:val="both"/>
        <w:rPr>
          <w:bCs/>
          <w:sz w:val="28"/>
          <w:szCs w:val="28"/>
        </w:rPr>
      </w:pPr>
    </w:p>
    <w:p w14:paraId="3C66FD37" w14:textId="77777777" w:rsidR="0061716A" w:rsidRDefault="0061716A" w:rsidP="00402379">
      <w:pPr>
        <w:tabs>
          <w:tab w:val="decimal" w:pos="8280"/>
        </w:tabs>
        <w:jc w:val="both"/>
        <w:rPr>
          <w:bCs/>
          <w:sz w:val="28"/>
          <w:szCs w:val="28"/>
        </w:rPr>
      </w:pPr>
      <w:r>
        <w:rPr>
          <w:bCs/>
          <w:sz w:val="28"/>
          <w:szCs w:val="28"/>
        </w:rPr>
        <w:t>Mohamed, Khalid Mamdouh Ibrahim (2020),</w:t>
      </w:r>
      <w:r w:rsidRPr="0061716A">
        <w:rPr>
          <w:bCs/>
          <w:sz w:val="28"/>
          <w:szCs w:val="28"/>
        </w:rPr>
        <w:t xml:space="preserve"> Legal Pro</w:t>
      </w:r>
      <w:r>
        <w:rPr>
          <w:bCs/>
          <w:sz w:val="28"/>
          <w:szCs w:val="28"/>
        </w:rPr>
        <w:t>tection of Trademarks: Civil &amp;</w:t>
      </w:r>
      <w:r w:rsidRPr="0061716A">
        <w:rPr>
          <w:bCs/>
          <w:sz w:val="28"/>
          <w:szCs w:val="28"/>
        </w:rPr>
        <w:t xml:space="preserve"> </w:t>
      </w:r>
      <w:r>
        <w:rPr>
          <w:bCs/>
          <w:sz w:val="28"/>
          <w:szCs w:val="28"/>
        </w:rPr>
        <w:t>Criminal. Dar Al-Fikr Al-Jami'i,</w:t>
      </w:r>
      <w:r w:rsidRPr="0061716A">
        <w:rPr>
          <w:bCs/>
          <w:sz w:val="28"/>
          <w:szCs w:val="28"/>
        </w:rPr>
        <w:t xml:space="preserve"> </w:t>
      </w:r>
      <w:hyperlink r:id="rId8" w:history="1">
        <w:r w:rsidRPr="00A36B43">
          <w:rPr>
            <w:rStyle w:val="Hyperlink"/>
            <w:bCs/>
            <w:sz w:val="28"/>
            <w:szCs w:val="28"/>
          </w:rPr>
          <w:t>https://www.researchgate.net/publication/394191888</w:t>
        </w:r>
      </w:hyperlink>
      <w:r>
        <w:rPr>
          <w:bCs/>
          <w:sz w:val="28"/>
          <w:szCs w:val="28"/>
        </w:rPr>
        <w:t xml:space="preserve"> </w:t>
      </w:r>
    </w:p>
    <w:p w14:paraId="560CFC53" w14:textId="77777777" w:rsidR="0061716A" w:rsidRDefault="0061716A" w:rsidP="00402379">
      <w:pPr>
        <w:tabs>
          <w:tab w:val="decimal" w:pos="8280"/>
        </w:tabs>
        <w:jc w:val="both"/>
        <w:rPr>
          <w:bCs/>
          <w:sz w:val="28"/>
          <w:szCs w:val="28"/>
        </w:rPr>
      </w:pPr>
    </w:p>
    <w:p w14:paraId="4B38D1B8" w14:textId="77777777" w:rsidR="005E518F" w:rsidRPr="005E518F" w:rsidRDefault="005E518F" w:rsidP="00402379">
      <w:pPr>
        <w:tabs>
          <w:tab w:val="decimal" w:pos="8280"/>
        </w:tabs>
        <w:jc w:val="both"/>
        <w:rPr>
          <w:bCs/>
          <w:sz w:val="28"/>
          <w:szCs w:val="28"/>
          <w:lang w:val="en-GB"/>
        </w:rPr>
      </w:pPr>
      <w:r>
        <w:rPr>
          <w:bCs/>
          <w:sz w:val="28"/>
          <w:szCs w:val="28"/>
          <w:lang w:val="en-GB"/>
        </w:rPr>
        <w:t>Mejanah, A (2016),</w:t>
      </w:r>
      <w:r w:rsidRPr="005E518F">
        <w:rPr>
          <w:bCs/>
          <w:sz w:val="28"/>
          <w:szCs w:val="28"/>
          <w:lang w:val="en-GB"/>
        </w:rPr>
        <w:t xml:space="preserve"> Legal Protection of Trademarks and Th</w:t>
      </w:r>
      <w:r>
        <w:rPr>
          <w:bCs/>
          <w:sz w:val="28"/>
          <w:szCs w:val="28"/>
          <w:lang w:val="en-GB"/>
        </w:rPr>
        <w:t>eir Role in Consumer Protection,</w:t>
      </w:r>
      <w:r w:rsidRPr="005E518F">
        <w:rPr>
          <w:bCs/>
          <w:sz w:val="28"/>
          <w:szCs w:val="28"/>
          <w:lang w:val="en-GB"/>
        </w:rPr>
        <w:t xml:space="preserve"> Universi</w:t>
      </w:r>
      <w:r>
        <w:rPr>
          <w:bCs/>
          <w:sz w:val="28"/>
          <w:szCs w:val="28"/>
          <w:lang w:val="en-GB"/>
        </w:rPr>
        <w:t>ty of M'sila,</w:t>
      </w:r>
      <w:r w:rsidRPr="005E518F">
        <w:rPr>
          <w:bCs/>
          <w:sz w:val="28"/>
          <w:szCs w:val="28"/>
          <w:lang w:val="en-GB"/>
        </w:rPr>
        <w:t xml:space="preserve"> </w:t>
      </w:r>
      <w:hyperlink r:id="rId9" w:history="1">
        <w:r w:rsidRPr="00044AFF">
          <w:rPr>
            <w:rStyle w:val="Hyperlink"/>
            <w:bCs/>
            <w:sz w:val="28"/>
            <w:szCs w:val="28"/>
            <w:lang w:val="en-GB"/>
          </w:rPr>
          <w:t>https://repository.univ-msila.dz/bitstreams/0380a690-7064-4ab9-96ba-adb740fd9832/download</w:t>
        </w:r>
      </w:hyperlink>
      <w:r>
        <w:rPr>
          <w:bCs/>
          <w:sz w:val="28"/>
          <w:szCs w:val="28"/>
          <w:lang w:val="en-GB"/>
        </w:rPr>
        <w:t xml:space="preserve"> </w:t>
      </w:r>
    </w:p>
    <w:p w14:paraId="5DD26A51" w14:textId="77777777" w:rsidR="0061716A" w:rsidRPr="005E518F" w:rsidRDefault="0061716A" w:rsidP="00402379">
      <w:pPr>
        <w:tabs>
          <w:tab w:val="decimal" w:pos="8280"/>
        </w:tabs>
        <w:jc w:val="both"/>
        <w:rPr>
          <w:bCs/>
          <w:sz w:val="28"/>
          <w:szCs w:val="28"/>
          <w:lang w:val="en-GB"/>
        </w:rPr>
      </w:pPr>
    </w:p>
    <w:p w14:paraId="6C458389" w14:textId="77777777" w:rsidR="0008023E" w:rsidRDefault="0008023E" w:rsidP="00402379">
      <w:pPr>
        <w:tabs>
          <w:tab w:val="decimal" w:pos="8280"/>
        </w:tabs>
        <w:jc w:val="both"/>
        <w:rPr>
          <w:bCs/>
          <w:sz w:val="28"/>
          <w:szCs w:val="28"/>
          <w:lang w:val="en-GB"/>
        </w:rPr>
      </w:pPr>
      <w:r>
        <w:rPr>
          <w:bCs/>
          <w:sz w:val="28"/>
          <w:szCs w:val="28"/>
          <w:lang w:val="en-GB"/>
        </w:rPr>
        <w:t>Almajbari, H. F. M. (2024),</w:t>
      </w:r>
      <w:r w:rsidRPr="0008023E">
        <w:rPr>
          <w:bCs/>
          <w:sz w:val="28"/>
          <w:szCs w:val="28"/>
          <w:lang w:val="en-GB"/>
        </w:rPr>
        <w:t xml:space="preserve"> </w:t>
      </w:r>
      <w:r>
        <w:rPr>
          <w:bCs/>
          <w:sz w:val="28"/>
          <w:szCs w:val="28"/>
          <w:lang w:val="en-GB"/>
        </w:rPr>
        <w:t xml:space="preserve">Legal Protection of Trademarks: A Comparative Study, </w:t>
      </w:r>
      <w:r w:rsidRPr="0008023E">
        <w:rPr>
          <w:bCs/>
          <w:sz w:val="28"/>
          <w:szCs w:val="28"/>
          <w:lang w:val="en-GB"/>
        </w:rPr>
        <w:t>Al-Haq Journal for Sharia and</w:t>
      </w:r>
      <w:r>
        <w:rPr>
          <w:bCs/>
          <w:sz w:val="28"/>
          <w:szCs w:val="28"/>
          <w:lang w:val="en-GB"/>
        </w:rPr>
        <w:t xml:space="preserve"> Legal Sciences</w:t>
      </w:r>
    </w:p>
    <w:p w14:paraId="41D3FE01" w14:textId="77777777" w:rsidR="0061716A" w:rsidRPr="0008023E" w:rsidRDefault="0061716A" w:rsidP="00402379">
      <w:pPr>
        <w:tabs>
          <w:tab w:val="decimal" w:pos="8280"/>
        </w:tabs>
        <w:jc w:val="both"/>
        <w:rPr>
          <w:bCs/>
          <w:sz w:val="28"/>
          <w:szCs w:val="28"/>
          <w:lang w:val="en-GB"/>
        </w:rPr>
      </w:pPr>
    </w:p>
    <w:p w14:paraId="7CC4411B" w14:textId="77777777" w:rsidR="00ED0C3B" w:rsidRPr="00ED0C3B" w:rsidRDefault="00ED0C3B" w:rsidP="00402379">
      <w:pPr>
        <w:tabs>
          <w:tab w:val="decimal" w:pos="8280"/>
        </w:tabs>
        <w:jc w:val="both"/>
        <w:rPr>
          <w:bCs/>
          <w:sz w:val="28"/>
          <w:szCs w:val="28"/>
          <w:lang w:val="en-GB"/>
        </w:rPr>
      </w:pPr>
      <w:r>
        <w:rPr>
          <w:bCs/>
          <w:sz w:val="28"/>
          <w:szCs w:val="28"/>
          <w:lang w:val="en-GB"/>
        </w:rPr>
        <w:t>Muhaisen, S. Z. &amp; Abd, S. O (2014),</w:t>
      </w:r>
      <w:r w:rsidRPr="00ED0C3B">
        <w:rPr>
          <w:bCs/>
          <w:sz w:val="28"/>
          <w:szCs w:val="28"/>
          <w:lang w:val="en-GB"/>
        </w:rPr>
        <w:t xml:space="preserve"> Civil and International Protection of Tra</w:t>
      </w:r>
      <w:r>
        <w:rPr>
          <w:bCs/>
          <w:sz w:val="28"/>
          <w:szCs w:val="28"/>
          <w:lang w:val="en-GB"/>
        </w:rPr>
        <w:t>demarks from Unfair Competition, Kufa Journal for Legal &amp;</w:t>
      </w:r>
      <w:r w:rsidRPr="00ED0C3B">
        <w:rPr>
          <w:bCs/>
          <w:sz w:val="28"/>
          <w:szCs w:val="28"/>
          <w:lang w:val="en-GB"/>
        </w:rPr>
        <w:t xml:space="preserve"> Political Sci</w:t>
      </w:r>
      <w:r>
        <w:rPr>
          <w:bCs/>
          <w:sz w:val="28"/>
          <w:szCs w:val="28"/>
          <w:lang w:val="en-GB"/>
        </w:rPr>
        <w:t>ences,</w:t>
      </w:r>
      <w:r w:rsidRPr="00ED0C3B">
        <w:rPr>
          <w:bCs/>
          <w:sz w:val="28"/>
          <w:szCs w:val="28"/>
          <w:lang w:val="en-GB"/>
        </w:rPr>
        <w:t xml:space="preserve"> </w:t>
      </w:r>
      <w:hyperlink r:id="rId10" w:history="1">
        <w:r w:rsidRPr="00044AFF">
          <w:rPr>
            <w:rStyle w:val="Hyperlink"/>
            <w:bCs/>
            <w:sz w:val="28"/>
            <w:szCs w:val="28"/>
            <w:lang w:val="en-GB"/>
          </w:rPr>
          <w:t>https://journal.uokufa.edu.iq/index.php/kjlps/article/view/9638</w:t>
        </w:r>
      </w:hyperlink>
      <w:r>
        <w:rPr>
          <w:bCs/>
          <w:sz w:val="28"/>
          <w:szCs w:val="28"/>
          <w:lang w:val="en-GB"/>
        </w:rPr>
        <w:t xml:space="preserve"> </w:t>
      </w:r>
    </w:p>
    <w:p w14:paraId="1002935C" w14:textId="77777777" w:rsidR="0061716A" w:rsidRPr="00ED0C3B" w:rsidRDefault="0061716A" w:rsidP="00402379">
      <w:pPr>
        <w:tabs>
          <w:tab w:val="decimal" w:pos="8280"/>
        </w:tabs>
        <w:jc w:val="both"/>
        <w:rPr>
          <w:bCs/>
          <w:sz w:val="28"/>
          <w:szCs w:val="28"/>
          <w:lang w:val="en-GB"/>
        </w:rPr>
      </w:pPr>
    </w:p>
    <w:p w14:paraId="4DDBEF23" w14:textId="77777777" w:rsidR="00330E2A" w:rsidRPr="00330E2A" w:rsidRDefault="00330E2A" w:rsidP="00402379">
      <w:pPr>
        <w:tabs>
          <w:tab w:val="decimal" w:pos="8280"/>
        </w:tabs>
        <w:jc w:val="both"/>
        <w:rPr>
          <w:bCs/>
          <w:sz w:val="28"/>
          <w:szCs w:val="28"/>
          <w:lang w:val="en-GB"/>
        </w:rPr>
      </w:pPr>
      <w:r>
        <w:rPr>
          <w:bCs/>
          <w:sz w:val="28"/>
          <w:szCs w:val="28"/>
          <w:lang w:val="en-GB"/>
        </w:rPr>
        <w:t xml:space="preserve">Al Tamimi &amp; Company (2012), </w:t>
      </w:r>
      <w:r w:rsidRPr="00330E2A">
        <w:rPr>
          <w:bCs/>
          <w:sz w:val="28"/>
          <w:szCs w:val="28"/>
          <w:lang w:val="en-GB"/>
        </w:rPr>
        <w:t xml:space="preserve">Prior Use Doctrine in </w:t>
      </w:r>
      <w:r>
        <w:rPr>
          <w:bCs/>
          <w:sz w:val="28"/>
          <w:szCs w:val="28"/>
          <w:lang w:val="en-GB"/>
        </w:rPr>
        <w:t xml:space="preserve">the </w:t>
      </w:r>
      <w:r w:rsidRPr="00330E2A">
        <w:rPr>
          <w:bCs/>
          <w:sz w:val="28"/>
          <w:szCs w:val="28"/>
          <w:lang w:val="en-GB"/>
        </w:rPr>
        <w:t xml:space="preserve">UAE Trademark Law. </w:t>
      </w:r>
      <w:hyperlink r:id="rId11" w:history="1">
        <w:r w:rsidRPr="00D20378">
          <w:rPr>
            <w:rStyle w:val="Hyperlink"/>
            <w:bCs/>
            <w:sz w:val="28"/>
            <w:szCs w:val="28"/>
            <w:lang w:val="en-GB"/>
          </w:rPr>
          <w:t>https://www.tamimi.com/law-update-articles/the-prior-use-doctrine-in-uae-trademark-law/</w:t>
        </w:r>
      </w:hyperlink>
      <w:r>
        <w:rPr>
          <w:bCs/>
          <w:sz w:val="28"/>
          <w:szCs w:val="28"/>
          <w:lang w:val="en-GB"/>
        </w:rPr>
        <w:t xml:space="preserve"> </w:t>
      </w:r>
    </w:p>
    <w:p w14:paraId="0971ECD5" w14:textId="77777777" w:rsidR="0061716A" w:rsidRPr="00330E2A" w:rsidRDefault="0061716A" w:rsidP="00402379">
      <w:pPr>
        <w:tabs>
          <w:tab w:val="decimal" w:pos="8280"/>
        </w:tabs>
        <w:jc w:val="both"/>
        <w:rPr>
          <w:bCs/>
          <w:sz w:val="28"/>
          <w:szCs w:val="28"/>
          <w:lang w:val="en-GB"/>
        </w:rPr>
      </w:pPr>
    </w:p>
    <w:p w14:paraId="7297560E" w14:textId="77777777" w:rsidR="006E1C5E" w:rsidRDefault="006E1C5E" w:rsidP="00402379">
      <w:pPr>
        <w:tabs>
          <w:tab w:val="decimal" w:pos="8280"/>
        </w:tabs>
        <w:jc w:val="both"/>
        <w:rPr>
          <w:bCs/>
          <w:sz w:val="28"/>
          <w:szCs w:val="28"/>
          <w:lang w:val="en-GB"/>
        </w:rPr>
      </w:pPr>
      <w:r>
        <w:rPr>
          <w:bCs/>
          <w:sz w:val="28"/>
          <w:szCs w:val="28"/>
          <w:lang w:val="en-GB"/>
        </w:rPr>
        <w:t>Al-Jabareen, I.M.F (2010),</w:t>
      </w:r>
      <w:r w:rsidRPr="006E1C5E">
        <w:rPr>
          <w:bCs/>
          <w:sz w:val="28"/>
          <w:szCs w:val="28"/>
          <w:lang w:val="en-GB"/>
        </w:rPr>
        <w:t xml:space="preserve"> Civil Protection of Unregistered Tradema</w:t>
      </w:r>
      <w:r>
        <w:rPr>
          <w:bCs/>
          <w:sz w:val="28"/>
          <w:szCs w:val="28"/>
          <w:lang w:val="en-GB"/>
        </w:rPr>
        <w:t>rks According to Jordanian Laws, Middle East University,</w:t>
      </w:r>
    </w:p>
    <w:p w14:paraId="32CD5D82" w14:textId="77777777" w:rsidR="006E1C5E" w:rsidRPr="006E1C5E" w:rsidRDefault="006E1C5E" w:rsidP="00402379">
      <w:pPr>
        <w:tabs>
          <w:tab w:val="decimal" w:pos="8280"/>
        </w:tabs>
        <w:jc w:val="both"/>
        <w:rPr>
          <w:bCs/>
          <w:sz w:val="28"/>
          <w:szCs w:val="28"/>
          <w:lang w:val="en-GB"/>
        </w:rPr>
      </w:pPr>
      <w:hyperlink r:id="rId12" w:history="1">
        <w:r w:rsidRPr="00664ADB">
          <w:rPr>
            <w:rStyle w:val="Hyperlink"/>
            <w:bCs/>
            <w:sz w:val="28"/>
            <w:szCs w:val="28"/>
            <w:lang w:val="en-GB"/>
          </w:rPr>
          <w:t>https://meu.edu.jo/libraryTheses/58e093e27a511_1.pdf</w:t>
        </w:r>
      </w:hyperlink>
      <w:r>
        <w:rPr>
          <w:bCs/>
          <w:sz w:val="28"/>
          <w:szCs w:val="28"/>
          <w:lang w:val="en-GB"/>
        </w:rPr>
        <w:t xml:space="preserve"> </w:t>
      </w:r>
    </w:p>
    <w:p w14:paraId="0B8918D3" w14:textId="77777777" w:rsidR="00D460C3" w:rsidRPr="00D460C3" w:rsidRDefault="00D460C3" w:rsidP="00402379">
      <w:pPr>
        <w:overflowPunct/>
        <w:autoSpaceDE/>
        <w:autoSpaceDN/>
        <w:adjustRightInd/>
        <w:spacing w:before="100" w:beforeAutospacing="1" w:after="160" w:afterAutospacing="1"/>
        <w:jc w:val="both"/>
        <w:textAlignment w:val="auto"/>
        <w:rPr>
          <w:rFonts w:ascii="Arial" w:hAnsi="Arial" w:cs="Arial"/>
          <w:color w:val="1F1F1F"/>
          <w:sz w:val="24"/>
          <w:szCs w:val="24"/>
          <w:lang w:val="en-GB" w:eastAsia="en-GB"/>
        </w:rPr>
      </w:pPr>
      <w:r>
        <w:rPr>
          <w:rFonts w:ascii="Arial" w:hAnsi="Arial" w:cs="Arial"/>
          <w:color w:val="1F1F1F"/>
          <w:sz w:val="24"/>
          <w:szCs w:val="24"/>
          <w:lang w:val="en-GB" w:eastAsia="en-GB"/>
        </w:rPr>
        <w:t>Ahmed, A. M (2025),</w:t>
      </w:r>
      <w:r w:rsidRPr="00D460C3">
        <w:rPr>
          <w:rFonts w:ascii="Arial" w:hAnsi="Arial" w:cs="Arial"/>
          <w:color w:val="1F1F1F"/>
          <w:sz w:val="24"/>
          <w:szCs w:val="24"/>
          <w:lang w:val="en-GB" w:eastAsia="en-GB"/>
        </w:rPr>
        <w:t xml:space="preserve"> </w:t>
      </w:r>
      <w:r>
        <w:rPr>
          <w:rFonts w:ascii="Arial" w:hAnsi="Arial" w:cs="Arial"/>
          <w:color w:val="1F1F1F"/>
          <w:sz w:val="24"/>
          <w:szCs w:val="24"/>
          <w:lang w:val="en-GB" w:eastAsia="en-GB"/>
        </w:rPr>
        <w:t xml:space="preserve">Legal Protection of Trademarks: </w:t>
      </w:r>
      <w:r w:rsidRPr="00D460C3">
        <w:rPr>
          <w:rFonts w:ascii="Arial" w:hAnsi="Arial" w:cs="Arial"/>
          <w:color w:val="1F1F1F"/>
          <w:sz w:val="24"/>
          <w:szCs w:val="24"/>
          <w:lang w:val="en-GB" w:eastAsia="en-GB"/>
        </w:rPr>
        <w:t>A</w:t>
      </w:r>
      <w:r>
        <w:rPr>
          <w:rFonts w:ascii="Arial" w:hAnsi="Arial" w:cs="Arial"/>
          <w:color w:val="1F1F1F"/>
          <w:sz w:val="24"/>
          <w:szCs w:val="24"/>
          <w:lang w:val="en-GB" w:eastAsia="en-GB"/>
        </w:rPr>
        <w:t xml:space="preserve"> Comparative Legal Study,</w:t>
      </w:r>
      <w:r w:rsidRPr="00D460C3">
        <w:rPr>
          <w:rFonts w:ascii="Arial" w:hAnsi="Arial" w:cs="Arial"/>
          <w:color w:val="1F1F1F"/>
          <w:sz w:val="24"/>
          <w:szCs w:val="24"/>
          <w:lang w:val="en-GB" w:eastAsia="en-GB"/>
        </w:rPr>
        <w:t xml:space="preserve"> Journal of Omdurman Islamic University</w:t>
      </w:r>
      <w:r>
        <w:rPr>
          <w:rFonts w:ascii="Arial" w:hAnsi="Arial" w:cs="Arial"/>
          <w:color w:val="1F1F1F"/>
          <w:sz w:val="24"/>
          <w:szCs w:val="24"/>
          <w:lang w:val="en-GB" w:eastAsia="en-GB"/>
        </w:rPr>
        <w:t xml:space="preserve"> for Islamic and Legal Sciences,</w:t>
      </w:r>
      <w:r w:rsidR="001968F6">
        <w:rPr>
          <w:rFonts w:ascii="Arial" w:hAnsi="Arial" w:cs="Arial"/>
          <w:color w:val="1F1F1F"/>
          <w:sz w:val="24"/>
          <w:szCs w:val="24"/>
          <w:lang w:val="en-GB" w:eastAsia="en-GB"/>
        </w:rPr>
        <w:t xml:space="preserve"> </w:t>
      </w:r>
      <w:hyperlink r:id="rId13" w:history="1">
        <w:r w:rsidR="001968F6" w:rsidRPr="00664ADB">
          <w:rPr>
            <w:rStyle w:val="Hyperlink"/>
            <w:rFonts w:ascii="Arial" w:hAnsi="Arial" w:cs="Arial"/>
            <w:sz w:val="24"/>
            <w:szCs w:val="24"/>
            <w:lang w:val="en-GB" w:eastAsia="en-GB"/>
          </w:rPr>
          <w:t>https://journal.oiu.edu.sd/index.php/oiuj/article/view/3237</w:t>
        </w:r>
      </w:hyperlink>
      <w:r w:rsidR="001968F6">
        <w:rPr>
          <w:rFonts w:ascii="Arial" w:hAnsi="Arial" w:cs="Arial"/>
          <w:color w:val="1F1F1F"/>
          <w:sz w:val="24"/>
          <w:szCs w:val="24"/>
          <w:lang w:val="en-GB" w:eastAsia="en-GB"/>
        </w:rPr>
        <w:t xml:space="preserve"> </w:t>
      </w:r>
    </w:p>
    <w:p w14:paraId="258A0CE7" w14:textId="77777777" w:rsidR="003A58AA" w:rsidRPr="003A58AA" w:rsidRDefault="003A58AA" w:rsidP="00402379">
      <w:pPr>
        <w:tabs>
          <w:tab w:val="decimal" w:pos="8280"/>
        </w:tabs>
        <w:jc w:val="both"/>
        <w:rPr>
          <w:bCs/>
          <w:sz w:val="28"/>
          <w:szCs w:val="28"/>
          <w:lang w:val="en-GB"/>
        </w:rPr>
      </w:pPr>
      <w:r>
        <w:rPr>
          <w:bCs/>
          <w:sz w:val="28"/>
          <w:szCs w:val="28"/>
          <w:lang w:val="en-GB"/>
        </w:rPr>
        <w:t>Al Tamimi &amp; Company (2016), Well-Known T</w:t>
      </w:r>
      <w:r w:rsidRPr="003A58AA">
        <w:rPr>
          <w:bCs/>
          <w:sz w:val="28"/>
          <w:szCs w:val="28"/>
          <w:lang w:val="en-GB"/>
        </w:rPr>
        <w:t xml:space="preserve">rademarks: Bad faith and prior </w:t>
      </w:r>
      <w:r>
        <w:rPr>
          <w:bCs/>
          <w:sz w:val="28"/>
          <w:szCs w:val="28"/>
          <w:lang w:val="en-GB"/>
        </w:rPr>
        <w:t>use of the trademark in the UAE,</w:t>
      </w:r>
      <w:r w:rsidRPr="003A58AA">
        <w:rPr>
          <w:bCs/>
          <w:sz w:val="28"/>
          <w:szCs w:val="28"/>
          <w:lang w:val="en-GB"/>
        </w:rPr>
        <w:t xml:space="preserve"> Zawya.</w:t>
      </w:r>
    </w:p>
    <w:p w14:paraId="3C1DC0E0" w14:textId="77777777" w:rsidR="00953F1F" w:rsidRPr="00D460C3" w:rsidRDefault="00953F1F" w:rsidP="00402379">
      <w:pPr>
        <w:tabs>
          <w:tab w:val="decimal" w:pos="8280"/>
        </w:tabs>
        <w:ind w:firstLine="540"/>
        <w:jc w:val="both"/>
        <w:rPr>
          <w:bCs/>
          <w:sz w:val="28"/>
          <w:szCs w:val="28"/>
          <w:lang w:val="en-GB"/>
        </w:rPr>
      </w:pPr>
    </w:p>
    <w:p w14:paraId="5C7D2BBD" w14:textId="77777777" w:rsidR="00953F1F" w:rsidRDefault="00F32A10" w:rsidP="00402379">
      <w:pPr>
        <w:tabs>
          <w:tab w:val="decimal" w:pos="8280"/>
        </w:tabs>
        <w:jc w:val="both"/>
        <w:rPr>
          <w:bCs/>
          <w:sz w:val="28"/>
          <w:szCs w:val="28"/>
        </w:rPr>
      </w:pPr>
      <w:r>
        <w:rPr>
          <w:bCs/>
          <w:sz w:val="28"/>
          <w:szCs w:val="28"/>
        </w:rPr>
        <w:t xml:space="preserve">United Arab Emirates (2021) </w:t>
      </w:r>
      <w:r w:rsidRPr="00F32A10">
        <w:rPr>
          <w:bCs/>
          <w:sz w:val="28"/>
          <w:szCs w:val="28"/>
        </w:rPr>
        <w:t>Federal Decree-L</w:t>
      </w:r>
      <w:r>
        <w:rPr>
          <w:bCs/>
          <w:sz w:val="28"/>
          <w:szCs w:val="28"/>
        </w:rPr>
        <w:t>aw No. 36 of 2021 on Trademarks,</w:t>
      </w:r>
      <w:r w:rsidRPr="00F32A10">
        <w:rPr>
          <w:bCs/>
          <w:sz w:val="28"/>
          <w:szCs w:val="28"/>
        </w:rPr>
        <w:t xml:space="preserve"> UAE Government Official Portal</w:t>
      </w:r>
      <w:r>
        <w:rPr>
          <w:bCs/>
          <w:sz w:val="28"/>
          <w:szCs w:val="28"/>
        </w:rPr>
        <w:t>,</w:t>
      </w:r>
      <w:r w:rsidRPr="00F32A10">
        <w:rPr>
          <w:bCs/>
          <w:sz w:val="28"/>
          <w:szCs w:val="28"/>
        </w:rPr>
        <w:t xml:space="preserve"> </w:t>
      </w:r>
      <w:hyperlink r:id="rId14" w:history="1">
        <w:r w:rsidRPr="00B50CB7">
          <w:rPr>
            <w:rStyle w:val="Hyperlink"/>
            <w:bCs/>
            <w:sz w:val="28"/>
            <w:szCs w:val="28"/>
          </w:rPr>
          <w:t>https://uaelegislation.gov.ae/ar/legislations/1535</w:t>
        </w:r>
      </w:hyperlink>
      <w:r>
        <w:rPr>
          <w:bCs/>
          <w:sz w:val="28"/>
          <w:szCs w:val="28"/>
        </w:rPr>
        <w:t xml:space="preserve"> </w:t>
      </w:r>
    </w:p>
    <w:p w14:paraId="4903CDBF" w14:textId="77777777" w:rsidR="00953F1F" w:rsidRDefault="00953F1F" w:rsidP="00402379">
      <w:pPr>
        <w:tabs>
          <w:tab w:val="decimal" w:pos="8280"/>
        </w:tabs>
        <w:ind w:firstLine="540"/>
        <w:jc w:val="both"/>
        <w:rPr>
          <w:bCs/>
          <w:sz w:val="28"/>
          <w:szCs w:val="28"/>
        </w:rPr>
      </w:pPr>
    </w:p>
    <w:p w14:paraId="6F681888" w14:textId="6964A987" w:rsidR="005F3395" w:rsidRPr="00585C01" w:rsidRDefault="00A81FFD" w:rsidP="00585C01">
      <w:pPr>
        <w:tabs>
          <w:tab w:val="decimal" w:pos="8280"/>
        </w:tabs>
        <w:jc w:val="both"/>
        <w:rPr>
          <w:bCs/>
          <w:sz w:val="28"/>
          <w:szCs w:val="28"/>
        </w:rPr>
      </w:pPr>
      <w:r>
        <w:rPr>
          <w:bCs/>
          <w:sz w:val="28"/>
          <w:szCs w:val="28"/>
          <w:lang w:val="en-GB"/>
        </w:rPr>
        <w:t>UAE Supreme Court (2026),</w:t>
      </w:r>
      <w:r w:rsidRPr="00A81FFD">
        <w:rPr>
          <w:bCs/>
          <w:sz w:val="28"/>
          <w:szCs w:val="28"/>
          <w:lang w:val="en-GB"/>
        </w:rPr>
        <w:t xml:space="preserve"> The Federal Supreme Court overturned a ruling that granted priority to those who re</w:t>
      </w:r>
      <w:r>
        <w:rPr>
          <w:bCs/>
          <w:sz w:val="28"/>
          <w:szCs w:val="28"/>
          <w:lang w:val="en-GB"/>
        </w:rPr>
        <w:t xml:space="preserve">gistered first. Emarat Al Youm </w:t>
      </w:r>
      <w:hyperlink r:id="rId15" w:history="1">
        <w:r w:rsidRPr="00A81FFD">
          <w:rPr>
            <w:rStyle w:val="Hyperlink"/>
            <w:bCs/>
            <w:sz w:val="28"/>
            <w:szCs w:val="28"/>
            <w:lang w:val="en-GB"/>
          </w:rPr>
          <w:t>https://www.emaratalyoum.com/local-section/other/2026-01-21-1.2008182</w:t>
        </w:r>
      </w:hyperlink>
    </w:p>
    <w:p w14:paraId="0782054F" w14:textId="77777777" w:rsidR="005F3395" w:rsidRPr="005F3395" w:rsidRDefault="005F3395" w:rsidP="005F3395">
      <w:pPr>
        <w:rPr>
          <w:sz w:val="28"/>
          <w:szCs w:val="28"/>
        </w:rPr>
      </w:pPr>
    </w:p>
    <w:p w14:paraId="22124A65" w14:textId="77777777" w:rsidR="005F3395" w:rsidRPr="005F3395" w:rsidRDefault="005F3395" w:rsidP="005F3395">
      <w:pPr>
        <w:rPr>
          <w:sz w:val="28"/>
          <w:szCs w:val="28"/>
        </w:rPr>
      </w:pPr>
    </w:p>
    <w:p w14:paraId="32BCBBFD" w14:textId="77777777" w:rsidR="005F3395" w:rsidRPr="005F3395" w:rsidRDefault="005F3395" w:rsidP="005F3395">
      <w:pPr>
        <w:rPr>
          <w:sz w:val="28"/>
          <w:szCs w:val="28"/>
        </w:rPr>
      </w:pPr>
    </w:p>
    <w:p w14:paraId="2CD1F240" w14:textId="781EE3A2" w:rsidR="00953F1F" w:rsidRPr="005F3395" w:rsidRDefault="00953F1F" w:rsidP="005F3395">
      <w:pPr>
        <w:tabs>
          <w:tab w:val="left" w:pos="6820"/>
        </w:tabs>
        <w:rPr>
          <w:sz w:val="28"/>
          <w:szCs w:val="28"/>
        </w:rPr>
      </w:pPr>
    </w:p>
    <w:sectPr w:rsidR="00953F1F" w:rsidRPr="005F3395" w:rsidSect="00D52C67">
      <w:footerReference w:type="default" r:id="rId16"/>
      <w:pgSz w:w="11906" w:h="16838"/>
      <w:pgMar w:top="1440" w:right="656" w:bottom="144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8342" w14:textId="77777777" w:rsidR="00700B8E" w:rsidRDefault="00700B8E" w:rsidP="00461F25">
      <w:r>
        <w:separator/>
      </w:r>
    </w:p>
  </w:endnote>
  <w:endnote w:type="continuationSeparator" w:id="0">
    <w:p w14:paraId="73246D8B" w14:textId="77777777" w:rsidR="00700B8E" w:rsidRDefault="00700B8E" w:rsidP="00461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39F5" w14:textId="77777777" w:rsidR="0062330E" w:rsidRDefault="0062330E" w:rsidP="0046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8B4EB" w14:textId="77777777" w:rsidR="00700B8E" w:rsidRDefault="00700B8E" w:rsidP="00461F25">
      <w:r>
        <w:separator/>
      </w:r>
    </w:p>
  </w:footnote>
  <w:footnote w:type="continuationSeparator" w:id="0">
    <w:p w14:paraId="0FEF07AA" w14:textId="77777777" w:rsidR="00700B8E" w:rsidRDefault="00700B8E" w:rsidP="00461F25">
      <w:r>
        <w:continuationSeparator/>
      </w:r>
    </w:p>
  </w:footnote>
  <w:footnote w:id="1">
    <w:p w14:paraId="27FD3643" w14:textId="0C7B6ADB" w:rsidR="006749BB" w:rsidRPr="006749BB" w:rsidRDefault="006749BB" w:rsidP="006749BB">
      <w:pPr>
        <w:pStyle w:val="FootnoteText"/>
        <w:rPr>
          <w:lang w:val="en-GB"/>
        </w:rPr>
      </w:pPr>
    </w:p>
  </w:footnote>
  <w:footnote w:id="2">
    <w:p w14:paraId="381766E8" w14:textId="75BEF99F" w:rsidR="006749BB" w:rsidRPr="006749BB" w:rsidRDefault="006749BB" w:rsidP="006749BB">
      <w:pPr>
        <w:pStyle w:val="FootnoteText"/>
        <w:rPr>
          <w:lang w:val="en-GB"/>
        </w:rPr>
      </w:pPr>
    </w:p>
  </w:footnote>
  <w:footnote w:id="3">
    <w:p w14:paraId="362902FF" w14:textId="77777777" w:rsidR="00801CA9" w:rsidRDefault="00801CA9">
      <w:pPr>
        <w:pStyle w:val="FootnoteText"/>
      </w:pPr>
    </w:p>
  </w:footnote>
  <w:footnote w:id="4">
    <w:p w14:paraId="5E64C30E" w14:textId="2ACCD2D8" w:rsidR="00F32A10" w:rsidRDefault="00F32A10" w:rsidP="0061548C">
      <w:pPr>
        <w:pStyle w:val="FootnoteText"/>
      </w:pPr>
    </w:p>
  </w:footnote>
  <w:footnote w:id="5">
    <w:p w14:paraId="5A9BE8CB" w14:textId="0EC17499" w:rsidR="0061548C" w:rsidRDefault="0061548C" w:rsidP="00024047">
      <w:pPr>
        <w:pStyle w:val="FootnoteText"/>
      </w:pPr>
    </w:p>
  </w:footnote>
  <w:footnote w:id="6">
    <w:p w14:paraId="2A3EA57D" w14:textId="1A55D5FB" w:rsidR="00024047" w:rsidRDefault="00024047" w:rsidP="00024047">
      <w:pPr>
        <w:pStyle w:val="FootnoteText"/>
        <w:tabs>
          <w:tab w:val="right" w:pos="6660"/>
        </w:tabs>
      </w:pPr>
    </w:p>
  </w:footnote>
  <w:footnote w:id="7">
    <w:p w14:paraId="405F7BE9" w14:textId="06E0CAEA" w:rsidR="00FB544B" w:rsidRDefault="00FB544B" w:rsidP="00FB544B">
      <w:pPr>
        <w:pStyle w:val="FootnoteText"/>
      </w:pPr>
    </w:p>
  </w:footnote>
  <w:footnote w:id="8">
    <w:p w14:paraId="5EBD2036" w14:textId="7F8821CA" w:rsidR="00C56AEA" w:rsidRDefault="00C56AEA" w:rsidP="00C56AEA">
      <w:pPr>
        <w:pStyle w:val="FootnoteText"/>
      </w:pPr>
    </w:p>
  </w:footnote>
  <w:footnote w:id="9">
    <w:p w14:paraId="05C0B945" w14:textId="38F72712" w:rsidR="00312A17" w:rsidRDefault="00312A17" w:rsidP="00BD72D0">
      <w:pPr>
        <w:pStyle w:val="FootnoteText"/>
      </w:pPr>
    </w:p>
  </w:footnote>
  <w:footnote w:id="10">
    <w:p w14:paraId="34EBA4D2" w14:textId="0B92221F" w:rsidR="008905CD" w:rsidRDefault="008905CD" w:rsidP="007461FA">
      <w:pPr>
        <w:pStyle w:val="FootnoteText"/>
      </w:pPr>
    </w:p>
  </w:footnote>
  <w:footnote w:id="11">
    <w:p w14:paraId="4F1ECBE7" w14:textId="3A1FD537" w:rsidR="00AB40F8" w:rsidRDefault="00AB40F8" w:rsidP="00AB40F8">
      <w:pPr>
        <w:pStyle w:val="FootnoteText"/>
      </w:pPr>
    </w:p>
  </w:footnote>
  <w:footnote w:id="12">
    <w:p w14:paraId="6B813EEC" w14:textId="08CE81E0" w:rsidR="007D7821" w:rsidRDefault="007D7821" w:rsidP="007D7821">
      <w:pPr>
        <w:pStyle w:val="FootnoteText"/>
      </w:pPr>
    </w:p>
  </w:footnote>
  <w:footnote w:id="13">
    <w:p w14:paraId="5857D40D" w14:textId="1C6AED5F" w:rsidR="00CC515A" w:rsidRPr="00CC515A" w:rsidRDefault="00CC515A" w:rsidP="00492A01">
      <w:pPr>
        <w:pStyle w:val="FootnoteText"/>
      </w:pPr>
    </w:p>
    <w:p w14:paraId="3C6EDB5A" w14:textId="77777777" w:rsidR="00CC515A" w:rsidRDefault="00CC515A">
      <w:pPr>
        <w:pStyle w:val="FootnoteText"/>
      </w:pPr>
      <w:r>
        <w:t xml:space="preserve"> </w:t>
      </w:r>
    </w:p>
  </w:footnote>
  <w:footnote w:id="14">
    <w:p w14:paraId="03E1E35E" w14:textId="5117D081" w:rsidR="00492A01" w:rsidRDefault="00492A01" w:rsidP="00492A01">
      <w:pPr>
        <w:pStyle w:val="FootnoteText"/>
      </w:pPr>
    </w:p>
  </w:footnote>
  <w:footnote w:id="15">
    <w:p w14:paraId="72967C8C" w14:textId="09F07F40" w:rsidR="009B3ECB" w:rsidRDefault="009B3ECB" w:rsidP="009B3ECB">
      <w:pPr>
        <w:pStyle w:val="FootnoteText"/>
      </w:pPr>
      <w:r>
        <w:tab/>
      </w:r>
    </w:p>
  </w:footnote>
  <w:footnote w:id="16">
    <w:p w14:paraId="1234FE26" w14:textId="7C968B9A" w:rsidR="009B3ECB" w:rsidRDefault="009B3ECB" w:rsidP="009B3ECB">
      <w:pPr>
        <w:pStyle w:val="FootnoteText"/>
      </w:pPr>
    </w:p>
  </w:footnote>
  <w:footnote w:id="17">
    <w:p w14:paraId="19E2AF73" w14:textId="5091323D" w:rsidR="002102E7" w:rsidRPr="009961CB" w:rsidRDefault="002102E7" w:rsidP="009961CB">
      <w:pPr>
        <w:pStyle w:val="FootnoteText"/>
        <w:rPr>
          <w:lang w:val="en-GB"/>
        </w:rPr>
      </w:pPr>
    </w:p>
  </w:footnote>
  <w:footnote w:id="18">
    <w:p w14:paraId="287196C9" w14:textId="6753851E" w:rsidR="003A3834" w:rsidRPr="003A3834" w:rsidRDefault="003A3834" w:rsidP="003A3834">
      <w:pPr>
        <w:pStyle w:val="FootnoteText"/>
        <w:rPr>
          <w:bCs/>
          <w:lang w:val="en-GB"/>
        </w:rPr>
      </w:pPr>
    </w:p>
    <w:p w14:paraId="28B265DA" w14:textId="77777777" w:rsidR="003A3834" w:rsidRPr="003A3834" w:rsidRDefault="003A3834">
      <w:pPr>
        <w:pStyle w:val="FootnoteText"/>
        <w:rPr>
          <w:lang w:val="en-GB"/>
        </w:rPr>
      </w:pPr>
    </w:p>
  </w:footnote>
  <w:footnote w:id="19">
    <w:p w14:paraId="3D68666E" w14:textId="24A54662" w:rsidR="003B7F43" w:rsidRPr="003B7F43" w:rsidRDefault="003B7F43" w:rsidP="00DF45FF">
      <w:pPr>
        <w:pStyle w:val="FootnoteText"/>
        <w:jc w:val="both"/>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119F"/>
    <w:multiLevelType w:val="hybridMultilevel"/>
    <w:tmpl w:val="866C72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A74F2"/>
    <w:multiLevelType w:val="hybridMultilevel"/>
    <w:tmpl w:val="6C9284A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B379B"/>
    <w:multiLevelType w:val="hybridMultilevel"/>
    <w:tmpl w:val="0BD64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D7180"/>
    <w:multiLevelType w:val="hybridMultilevel"/>
    <w:tmpl w:val="FFA88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8D4E52"/>
    <w:multiLevelType w:val="multilevel"/>
    <w:tmpl w:val="E6E2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072C25"/>
    <w:multiLevelType w:val="hybridMultilevel"/>
    <w:tmpl w:val="8F704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E6E2F"/>
    <w:multiLevelType w:val="hybridMultilevel"/>
    <w:tmpl w:val="A95A57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5D3560"/>
    <w:multiLevelType w:val="hybridMultilevel"/>
    <w:tmpl w:val="C02E41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941268"/>
    <w:multiLevelType w:val="hybridMultilevel"/>
    <w:tmpl w:val="6AE2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002743"/>
    <w:multiLevelType w:val="hybridMultilevel"/>
    <w:tmpl w:val="108058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C1287C"/>
    <w:multiLevelType w:val="hybridMultilevel"/>
    <w:tmpl w:val="C6E60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B17798"/>
    <w:multiLevelType w:val="multilevel"/>
    <w:tmpl w:val="C3483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D83A23"/>
    <w:multiLevelType w:val="hybridMultilevel"/>
    <w:tmpl w:val="3A5C4E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65A15"/>
    <w:multiLevelType w:val="hybridMultilevel"/>
    <w:tmpl w:val="37D2D62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1E6E2937"/>
    <w:multiLevelType w:val="hybridMultilevel"/>
    <w:tmpl w:val="741C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7C4494"/>
    <w:multiLevelType w:val="hybridMultilevel"/>
    <w:tmpl w:val="B2FC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E53E57"/>
    <w:multiLevelType w:val="hybridMultilevel"/>
    <w:tmpl w:val="7F9E74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B14D93"/>
    <w:multiLevelType w:val="hybridMultilevel"/>
    <w:tmpl w:val="89F87D96"/>
    <w:lvl w:ilvl="0" w:tplc="0409000F">
      <w:start w:val="1"/>
      <w:numFmt w:val="decimal"/>
      <w:lvlText w:val="%1."/>
      <w:lvlJc w:val="left"/>
      <w:pPr>
        <w:ind w:left="2051" w:hanging="360"/>
      </w:pPr>
    </w:lvl>
    <w:lvl w:ilvl="1" w:tplc="04090019" w:tentative="1">
      <w:start w:val="1"/>
      <w:numFmt w:val="lowerLetter"/>
      <w:lvlText w:val="%2."/>
      <w:lvlJc w:val="left"/>
      <w:pPr>
        <w:ind w:left="2771" w:hanging="360"/>
      </w:pPr>
    </w:lvl>
    <w:lvl w:ilvl="2" w:tplc="0409001B" w:tentative="1">
      <w:start w:val="1"/>
      <w:numFmt w:val="lowerRoman"/>
      <w:lvlText w:val="%3."/>
      <w:lvlJc w:val="right"/>
      <w:pPr>
        <w:ind w:left="3491" w:hanging="180"/>
      </w:pPr>
    </w:lvl>
    <w:lvl w:ilvl="3" w:tplc="0409000F" w:tentative="1">
      <w:start w:val="1"/>
      <w:numFmt w:val="decimal"/>
      <w:lvlText w:val="%4."/>
      <w:lvlJc w:val="left"/>
      <w:pPr>
        <w:ind w:left="4211" w:hanging="360"/>
      </w:pPr>
    </w:lvl>
    <w:lvl w:ilvl="4" w:tplc="04090019" w:tentative="1">
      <w:start w:val="1"/>
      <w:numFmt w:val="lowerLetter"/>
      <w:lvlText w:val="%5."/>
      <w:lvlJc w:val="left"/>
      <w:pPr>
        <w:ind w:left="4931" w:hanging="360"/>
      </w:pPr>
    </w:lvl>
    <w:lvl w:ilvl="5" w:tplc="0409001B" w:tentative="1">
      <w:start w:val="1"/>
      <w:numFmt w:val="lowerRoman"/>
      <w:lvlText w:val="%6."/>
      <w:lvlJc w:val="right"/>
      <w:pPr>
        <w:ind w:left="5651" w:hanging="180"/>
      </w:pPr>
    </w:lvl>
    <w:lvl w:ilvl="6" w:tplc="0409000F" w:tentative="1">
      <w:start w:val="1"/>
      <w:numFmt w:val="decimal"/>
      <w:lvlText w:val="%7."/>
      <w:lvlJc w:val="left"/>
      <w:pPr>
        <w:ind w:left="6371" w:hanging="360"/>
      </w:pPr>
    </w:lvl>
    <w:lvl w:ilvl="7" w:tplc="04090019" w:tentative="1">
      <w:start w:val="1"/>
      <w:numFmt w:val="lowerLetter"/>
      <w:lvlText w:val="%8."/>
      <w:lvlJc w:val="left"/>
      <w:pPr>
        <w:ind w:left="7091" w:hanging="360"/>
      </w:pPr>
    </w:lvl>
    <w:lvl w:ilvl="8" w:tplc="0409001B" w:tentative="1">
      <w:start w:val="1"/>
      <w:numFmt w:val="lowerRoman"/>
      <w:lvlText w:val="%9."/>
      <w:lvlJc w:val="right"/>
      <w:pPr>
        <w:ind w:left="7811" w:hanging="180"/>
      </w:pPr>
    </w:lvl>
  </w:abstractNum>
  <w:abstractNum w:abstractNumId="18" w15:restartNumberingAfterBreak="0">
    <w:nsid w:val="29F136D7"/>
    <w:multiLevelType w:val="hybridMultilevel"/>
    <w:tmpl w:val="07C805A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282D08"/>
    <w:multiLevelType w:val="hybridMultilevel"/>
    <w:tmpl w:val="AD180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C13812"/>
    <w:multiLevelType w:val="hybridMultilevel"/>
    <w:tmpl w:val="817022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6338CB"/>
    <w:multiLevelType w:val="hybridMultilevel"/>
    <w:tmpl w:val="5970A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0650D5"/>
    <w:multiLevelType w:val="hybridMultilevel"/>
    <w:tmpl w:val="3D6E1BF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62F730F"/>
    <w:multiLevelType w:val="hybridMultilevel"/>
    <w:tmpl w:val="D144B9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8D3F0C"/>
    <w:multiLevelType w:val="multilevel"/>
    <w:tmpl w:val="E48A3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38480A"/>
    <w:multiLevelType w:val="hybridMultilevel"/>
    <w:tmpl w:val="D8D4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64669E"/>
    <w:multiLevelType w:val="multilevel"/>
    <w:tmpl w:val="0060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ED648B"/>
    <w:multiLevelType w:val="hybridMultilevel"/>
    <w:tmpl w:val="D90A128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8" w15:restartNumberingAfterBreak="0">
    <w:nsid w:val="4E99183F"/>
    <w:multiLevelType w:val="hybridMultilevel"/>
    <w:tmpl w:val="A8646E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F146EA"/>
    <w:multiLevelType w:val="hybridMultilevel"/>
    <w:tmpl w:val="C8307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7C1BC7"/>
    <w:multiLevelType w:val="hybridMultilevel"/>
    <w:tmpl w:val="C714E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171D83"/>
    <w:multiLevelType w:val="hybridMultilevel"/>
    <w:tmpl w:val="AE2447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C475C1"/>
    <w:multiLevelType w:val="hybridMultilevel"/>
    <w:tmpl w:val="9D10E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9D79FF"/>
    <w:multiLevelType w:val="hybridMultilevel"/>
    <w:tmpl w:val="D7A8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E57492"/>
    <w:multiLevelType w:val="hybridMultilevel"/>
    <w:tmpl w:val="CAAA5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B5EA1"/>
    <w:multiLevelType w:val="hybridMultilevel"/>
    <w:tmpl w:val="222691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0F6EE9"/>
    <w:multiLevelType w:val="hybridMultilevel"/>
    <w:tmpl w:val="773497C4"/>
    <w:lvl w:ilvl="0" w:tplc="0409000F">
      <w:start w:val="1"/>
      <w:numFmt w:val="decimal"/>
      <w:lvlText w:val="%1."/>
      <w:lvlJc w:val="left"/>
      <w:pPr>
        <w:ind w:left="1331" w:hanging="360"/>
      </w:pPr>
    </w:lvl>
    <w:lvl w:ilvl="1" w:tplc="04090019" w:tentative="1">
      <w:start w:val="1"/>
      <w:numFmt w:val="lowerLetter"/>
      <w:lvlText w:val="%2."/>
      <w:lvlJc w:val="left"/>
      <w:pPr>
        <w:ind w:left="2051" w:hanging="360"/>
      </w:pPr>
    </w:lvl>
    <w:lvl w:ilvl="2" w:tplc="0409001B" w:tentative="1">
      <w:start w:val="1"/>
      <w:numFmt w:val="lowerRoman"/>
      <w:lvlText w:val="%3."/>
      <w:lvlJc w:val="right"/>
      <w:pPr>
        <w:ind w:left="2771" w:hanging="180"/>
      </w:pPr>
    </w:lvl>
    <w:lvl w:ilvl="3" w:tplc="0409000F" w:tentative="1">
      <w:start w:val="1"/>
      <w:numFmt w:val="decimal"/>
      <w:lvlText w:val="%4."/>
      <w:lvlJc w:val="left"/>
      <w:pPr>
        <w:ind w:left="3491" w:hanging="360"/>
      </w:pPr>
    </w:lvl>
    <w:lvl w:ilvl="4" w:tplc="04090019" w:tentative="1">
      <w:start w:val="1"/>
      <w:numFmt w:val="lowerLetter"/>
      <w:lvlText w:val="%5."/>
      <w:lvlJc w:val="left"/>
      <w:pPr>
        <w:ind w:left="4211" w:hanging="360"/>
      </w:pPr>
    </w:lvl>
    <w:lvl w:ilvl="5" w:tplc="0409001B" w:tentative="1">
      <w:start w:val="1"/>
      <w:numFmt w:val="lowerRoman"/>
      <w:lvlText w:val="%6."/>
      <w:lvlJc w:val="right"/>
      <w:pPr>
        <w:ind w:left="4931" w:hanging="180"/>
      </w:pPr>
    </w:lvl>
    <w:lvl w:ilvl="6" w:tplc="0409000F" w:tentative="1">
      <w:start w:val="1"/>
      <w:numFmt w:val="decimal"/>
      <w:lvlText w:val="%7."/>
      <w:lvlJc w:val="left"/>
      <w:pPr>
        <w:ind w:left="5651" w:hanging="360"/>
      </w:pPr>
    </w:lvl>
    <w:lvl w:ilvl="7" w:tplc="04090019" w:tentative="1">
      <w:start w:val="1"/>
      <w:numFmt w:val="lowerLetter"/>
      <w:lvlText w:val="%8."/>
      <w:lvlJc w:val="left"/>
      <w:pPr>
        <w:ind w:left="6371" w:hanging="360"/>
      </w:pPr>
    </w:lvl>
    <w:lvl w:ilvl="8" w:tplc="0409001B" w:tentative="1">
      <w:start w:val="1"/>
      <w:numFmt w:val="lowerRoman"/>
      <w:lvlText w:val="%9."/>
      <w:lvlJc w:val="right"/>
      <w:pPr>
        <w:ind w:left="7091" w:hanging="180"/>
      </w:pPr>
    </w:lvl>
  </w:abstractNum>
  <w:abstractNum w:abstractNumId="37" w15:restartNumberingAfterBreak="0">
    <w:nsid w:val="78662FB8"/>
    <w:multiLevelType w:val="hybridMultilevel"/>
    <w:tmpl w:val="B0E60E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916250"/>
    <w:multiLevelType w:val="hybridMultilevel"/>
    <w:tmpl w:val="87C89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C045B0"/>
    <w:multiLevelType w:val="hybridMultilevel"/>
    <w:tmpl w:val="7A2C5D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4E7BAF"/>
    <w:multiLevelType w:val="hybridMultilevel"/>
    <w:tmpl w:val="5C129E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663006"/>
    <w:multiLevelType w:val="hybridMultilevel"/>
    <w:tmpl w:val="0A68A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0686917">
    <w:abstractNumId w:val="41"/>
  </w:num>
  <w:num w:numId="2" w16cid:durableId="909190416">
    <w:abstractNumId w:val="32"/>
  </w:num>
  <w:num w:numId="3" w16cid:durableId="834952723">
    <w:abstractNumId w:val="39"/>
  </w:num>
  <w:num w:numId="4" w16cid:durableId="1548226033">
    <w:abstractNumId w:val="38"/>
  </w:num>
  <w:num w:numId="5" w16cid:durableId="1263488649">
    <w:abstractNumId w:val="16"/>
  </w:num>
  <w:num w:numId="6" w16cid:durableId="1976982550">
    <w:abstractNumId w:val="15"/>
  </w:num>
  <w:num w:numId="7" w16cid:durableId="967971839">
    <w:abstractNumId w:val="34"/>
  </w:num>
  <w:num w:numId="8" w16cid:durableId="383212605">
    <w:abstractNumId w:val="33"/>
  </w:num>
  <w:num w:numId="9" w16cid:durableId="134615019">
    <w:abstractNumId w:val="5"/>
  </w:num>
  <w:num w:numId="10" w16cid:durableId="518859754">
    <w:abstractNumId w:val="1"/>
  </w:num>
  <w:num w:numId="11" w16cid:durableId="680742093">
    <w:abstractNumId w:val="8"/>
  </w:num>
  <w:num w:numId="12" w16cid:durableId="1447231610">
    <w:abstractNumId w:val="3"/>
  </w:num>
  <w:num w:numId="13" w16cid:durableId="5597891">
    <w:abstractNumId w:val="19"/>
  </w:num>
  <w:num w:numId="14" w16cid:durableId="1582253389">
    <w:abstractNumId w:val="21"/>
  </w:num>
  <w:num w:numId="15" w16cid:durableId="60910267">
    <w:abstractNumId w:val="13"/>
  </w:num>
  <w:num w:numId="16" w16cid:durableId="877670105">
    <w:abstractNumId w:val="4"/>
  </w:num>
  <w:num w:numId="17" w16cid:durableId="13504343">
    <w:abstractNumId w:val="26"/>
  </w:num>
  <w:num w:numId="18" w16cid:durableId="923877694">
    <w:abstractNumId w:val="24"/>
  </w:num>
  <w:num w:numId="19" w16cid:durableId="101611548">
    <w:abstractNumId w:val="11"/>
  </w:num>
  <w:num w:numId="20" w16cid:durableId="1754081732">
    <w:abstractNumId w:val="12"/>
  </w:num>
  <w:num w:numId="21" w16cid:durableId="914976192">
    <w:abstractNumId w:val="20"/>
  </w:num>
  <w:num w:numId="22" w16cid:durableId="1953902185">
    <w:abstractNumId w:val="9"/>
  </w:num>
  <w:num w:numId="23" w16cid:durableId="566572219">
    <w:abstractNumId w:val="30"/>
  </w:num>
  <w:num w:numId="24" w16cid:durableId="743574369">
    <w:abstractNumId w:val="28"/>
  </w:num>
  <w:num w:numId="25" w16cid:durableId="1376396058">
    <w:abstractNumId w:val="31"/>
  </w:num>
  <w:num w:numId="26" w16cid:durableId="1870216741">
    <w:abstractNumId w:val="37"/>
  </w:num>
  <w:num w:numId="27" w16cid:durableId="1777630198">
    <w:abstractNumId w:val="25"/>
  </w:num>
  <w:num w:numId="28" w16cid:durableId="2036342159">
    <w:abstractNumId w:val="7"/>
  </w:num>
  <w:num w:numId="29" w16cid:durableId="637609222">
    <w:abstractNumId w:val="36"/>
  </w:num>
  <w:num w:numId="30" w16cid:durableId="895971454">
    <w:abstractNumId w:val="17"/>
  </w:num>
  <w:num w:numId="31" w16cid:durableId="1582832881">
    <w:abstractNumId w:val="35"/>
  </w:num>
  <w:num w:numId="32" w16cid:durableId="429199777">
    <w:abstractNumId w:val="22"/>
  </w:num>
  <w:num w:numId="33" w16cid:durableId="54549275">
    <w:abstractNumId w:val="18"/>
  </w:num>
  <w:num w:numId="34" w16cid:durableId="1459951875">
    <w:abstractNumId w:val="40"/>
  </w:num>
  <w:num w:numId="35" w16cid:durableId="548226587">
    <w:abstractNumId w:val="0"/>
  </w:num>
  <w:num w:numId="36" w16cid:durableId="1606034225">
    <w:abstractNumId w:val="2"/>
  </w:num>
  <w:num w:numId="37" w16cid:durableId="1347093261">
    <w:abstractNumId w:val="27"/>
  </w:num>
  <w:num w:numId="38" w16cid:durableId="963579118">
    <w:abstractNumId w:val="6"/>
  </w:num>
  <w:num w:numId="39" w16cid:durableId="1310983388">
    <w:abstractNumId w:val="23"/>
  </w:num>
  <w:num w:numId="40" w16cid:durableId="947277887">
    <w:abstractNumId w:val="10"/>
  </w:num>
  <w:num w:numId="41" w16cid:durableId="614484158">
    <w:abstractNumId w:val="14"/>
  </w:num>
  <w:num w:numId="42" w16cid:durableId="1187669028">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E18"/>
    <w:rsid w:val="00004672"/>
    <w:rsid w:val="0001090B"/>
    <w:rsid w:val="00011C3F"/>
    <w:rsid w:val="000125B5"/>
    <w:rsid w:val="000132AD"/>
    <w:rsid w:val="00024047"/>
    <w:rsid w:val="00027C31"/>
    <w:rsid w:val="0003023A"/>
    <w:rsid w:val="000307F3"/>
    <w:rsid w:val="000322EC"/>
    <w:rsid w:val="00033CE7"/>
    <w:rsid w:val="00034057"/>
    <w:rsid w:val="00034647"/>
    <w:rsid w:val="00034EC5"/>
    <w:rsid w:val="00034F50"/>
    <w:rsid w:val="000449CB"/>
    <w:rsid w:val="00046261"/>
    <w:rsid w:val="00051728"/>
    <w:rsid w:val="00055672"/>
    <w:rsid w:val="000621A3"/>
    <w:rsid w:val="00062BD3"/>
    <w:rsid w:val="000719C1"/>
    <w:rsid w:val="00071AC5"/>
    <w:rsid w:val="00073E8D"/>
    <w:rsid w:val="00075C53"/>
    <w:rsid w:val="00077444"/>
    <w:rsid w:val="0008023E"/>
    <w:rsid w:val="00080E03"/>
    <w:rsid w:val="00086626"/>
    <w:rsid w:val="00091968"/>
    <w:rsid w:val="00097434"/>
    <w:rsid w:val="000A19B4"/>
    <w:rsid w:val="000A1DD7"/>
    <w:rsid w:val="000B04DF"/>
    <w:rsid w:val="000B15C3"/>
    <w:rsid w:val="000B218F"/>
    <w:rsid w:val="000C011A"/>
    <w:rsid w:val="000C462D"/>
    <w:rsid w:val="000C4BA5"/>
    <w:rsid w:val="000D07BD"/>
    <w:rsid w:val="000D1569"/>
    <w:rsid w:val="000D24EF"/>
    <w:rsid w:val="000E02C3"/>
    <w:rsid w:val="000E0AE3"/>
    <w:rsid w:val="000E47AB"/>
    <w:rsid w:val="000E6C0A"/>
    <w:rsid w:val="000F155F"/>
    <w:rsid w:val="000F1A8C"/>
    <w:rsid w:val="000F750D"/>
    <w:rsid w:val="00102D1F"/>
    <w:rsid w:val="001035F2"/>
    <w:rsid w:val="00104E18"/>
    <w:rsid w:val="0011371A"/>
    <w:rsid w:val="00120DF2"/>
    <w:rsid w:val="00122231"/>
    <w:rsid w:val="00122EF5"/>
    <w:rsid w:val="00124000"/>
    <w:rsid w:val="00124427"/>
    <w:rsid w:val="00130427"/>
    <w:rsid w:val="001310E4"/>
    <w:rsid w:val="0013116D"/>
    <w:rsid w:val="001321D3"/>
    <w:rsid w:val="00132E19"/>
    <w:rsid w:val="00135625"/>
    <w:rsid w:val="00136C2B"/>
    <w:rsid w:val="00137005"/>
    <w:rsid w:val="00137376"/>
    <w:rsid w:val="00137F80"/>
    <w:rsid w:val="00142855"/>
    <w:rsid w:val="00145204"/>
    <w:rsid w:val="00146310"/>
    <w:rsid w:val="001562A1"/>
    <w:rsid w:val="00161971"/>
    <w:rsid w:val="0016305F"/>
    <w:rsid w:val="001639A1"/>
    <w:rsid w:val="001650F8"/>
    <w:rsid w:val="00170355"/>
    <w:rsid w:val="001704B7"/>
    <w:rsid w:val="0017707B"/>
    <w:rsid w:val="001806FE"/>
    <w:rsid w:val="00181DE1"/>
    <w:rsid w:val="00187207"/>
    <w:rsid w:val="00192133"/>
    <w:rsid w:val="001948A2"/>
    <w:rsid w:val="00194938"/>
    <w:rsid w:val="001968F6"/>
    <w:rsid w:val="00197018"/>
    <w:rsid w:val="001A1640"/>
    <w:rsid w:val="001A2DD9"/>
    <w:rsid w:val="001A3D81"/>
    <w:rsid w:val="001A5165"/>
    <w:rsid w:val="001A6C5F"/>
    <w:rsid w:val="001A7878"/>
    <w:rsid w:val="001B0CEB"/>
    <w:rsid w:val="001B3117"/>
    <w:rsid w:val="001C06A5"/>
    <w:rsid w:val="001C4476"/>
    <w:rsid w:val="001C4843"/>
    <w:rsid w:val="001C5CAD"/>
    <w:rsid w:val="001C6064"/>
    <w:rsid w:val="001C6BC7"/>
    <w:rsid w:val="001C6D3D"/>
    <w:rsid w:val="001C7FE6"/>
    <w:rsid w:val="001D5BDB"/>
    <w:rsid w:val="001D6C86"/>
    <w:rsid w:val="001E02EF"/>
    <w:rsid w:val="001E6FA2"/>
    <w:rsid w:val="001F04EA"/>
    <w:rsid w:val="001F2031"/>
    <w:rsid w:val="001F4128"/>
    <w:rsid w:val="001F44A9"/>
    <w:rsid w:val="001F5526"/>
    <w:rsid w:val="001F78D2"/>
    <w:rsid w:val="002006E6"/>
    <w:rsid w:val="00202569"/>
    <w:rsid w:val="002029D2"/>
    <w:rsid w:val="00203B79"/>
    <w:rsid w:val="00206C7E"/>
    <w:rsid w:val="002102E7"/>
    <w:rsid w:val="00212F27"/>
    <w:rsid w:val="00214A61"/>
    <w:rsid w:val="00215CC0"/>
    <w:rsid w:val="00216C4E"/>
    <w:rsid w:val="00217363"/>
    <w:rsid w:val="00221329"/>
    <w:rsid w:val="002218F2"/>
    <w:rsid w:val="00222A66"/>
    <w:rsid w:val="00223993"/>
    <w:rsid w:val="002262F6"/>
    <w:rsid w:val="00230A04"/>
    <w:rsid w:val="002311B0"/>
    <w:rsid w:val="00237434"/>
    <w:rsid w:val="00243260"/>
    <w:rsid w:val="002437DB"/>
    <w:rsid w:val="00244058"/>
    <w:rsid w:val="00244EFC"/>
    <w:rsid w:val="0024584C"/>
    <w:rsid w:val="00245EAA"/>
    <w:rsid w:val="00247C2E"/>
    <w:rsid w:val="00250892"/>
    <w:rsid w:val="002528B6"/>
    <w:rsid w:val="002532BA"/>
    <w:rsid w:val="002562E8"/>
    <w:rsid w:val="00256564"/>
    <w:rsid w:val="0025729B"/>
    <w:rsid w:val="002575FA"/>
    <w:rsid w:val="00260291"/>
    <w:rsid w:val="00264A9E"/>
    <w:rsid w:val="00270008"/>
    <w:rsid w:val="00270C4A"/>
    <w:rsid w:val="00275F9A"/>
    <w:rsid w:val="0027677E"/>
    <w:rsid w:val="00277679"/>
    <w:rsid w:val="002779C5"/>
    <w:rsid w:val="00283AD3"/>
    <w:rsid w:val="00285DE3"/>
    <w:rsid w:val="00285FC8"/>
    <w:rsid w:val="0029100E"/>
    <w:rsid w:val="002954C9"/>
    <w:rsid w:val="002A2A5A"/>
    <w:rsid w:val="002A3A17"/>
    <w:rsid w:val="002A4001"/>
    <w:rsid w:val="002A7955"/>
    <w:rsid w:val="002A7BD1"/>
    <w:rsid w:val="002B6A06"/>
    <w:rsid w:val="002C18C6"/>
    <w:rsid w:val="002C5BF9"/>
    <w:rsid w:val="002C66AD"/>
    <w:rsid w:val="002C76BC"/>
    <w:rsid w:val="002D4023"/>
    <w:rsid w:val="002D5266"/>
    <w:rsid w:val="002E1C45"/>
    <w:rsid w:val="002E36EB"/>
    <w:rsid w:val="002E3E2F"/>
    <w:rsid w:val="002E4ACC"/>
    <w:rsid w:val="002E6E55"/>
    <w:rsid w:val="0030053E"/>
    <w:rsid w:val="00303374"/>
    <w:rsid w:val="00303D4C"/>
    <w:rsid w:val="00304A71"/>
    <w:rsid w:val="0030711C"/>
    <w:rsid w:val="00310410"/>
    <w:rsid w:val="00311D5D"/>
    <w:rsid w:val="00312A17"/>
    <w:rsid w:val="003155EA"/>
    <w:rsid w:val="00315BD8"/>
    <w:rsid w:val="003162FC"/>
    <w:rsid w:val="00320272"/>
    <w:rsid w:val="003219E3"/>
    <w:rsid w:val="003227D7"/>
    <w:rsid w:val="00322E35"/>
    <w:rsid w:val="00324942"/>
    <w:rsid w:val="00330206"/>
    <w:rsid w:val="00330E2A"/>
    <w:rsid w:val="0033137A"/>
    <w:rsid w:val="0033146F"/>
    <w:rsid w:val="00334C14"/>
    <w:rsid w:val="00335C0B"/>
    <w:rsid w:val="003408A2"/>
    <w:rsid w:val="00343D75"/>
    <w:rsid w:val="00347023"/>
    <w:rsid w:val="00355A77"/>
    <w:rsid w:val="00356FC9"/>
    <w:rsid w:val="00360E4A"/>
    <w:rsid w:val="00362F67"/>
    <w:rsid w:val="0036740D"/>
    <w:rsid w:val="00370EB6"/>
    <w:rsid w:val="00371D64"/>
    <w:rsid w:val="0037261D"/>
    <w:rsid w:val="0037294B"/>
    <w:rsid w:val="003756AA"/>
    <w:rsid w:val="00375754"/>
    <w:rsid w:val="00380D4B"/>
    <w:rsid w:val="00380E8A"/>
    <w:rsid w:val="00383A54"/>
    <w:rsid w:val="00383A67"/>
    <w:rsid w:val="0038753C"/>
    <w:rsid w:val="00394AE4"/>
    <w:rsid w:val="00394DAE"/>
    <w:rsid w:val="003A0B2C"/>
    <w:rsid w:val="003A3834"/>
    <w:rsid w:val="003A4BC3"/>
    <w:rsid w:val="003A4BFF"/>
    <w:rsid w:val="003A4F28"/>
    <w:rsid w:val="003A56DA"/>
    <w:rsid w:val="003A58AA"/>
    <w:rsid w:val="003A5EE0"/>
    <w:rsid w:val="003B0A70"/>
    <w:rsid w:val="003B0ED0"/>
    <w:rsid w:val="003B246C"/>
    <w:rsid w:val="003B7F43"/>
    <w:rsid w:val="003C0ABD"/>
    <w:rsid w:val="003C13C4"/>
    <w:rsid w:val="003C1DBC"/>
    <w:rsid w:val="003C3ADC"/>
    <w:rsid w:val="003D15E4"/>
    <w:rsid w:val="003D20F8"/>
    <w:rsid w:val="003D2295"/>
    <w:rsid w:val="003D3072"/>
    <w:rsid w:val="003D45B0"/>
    <w:rsid w:val="003D7D15"/>
    <w:rsid w:val="003E026D"/>
    <w:rsid w:val="003E1A93"/>
    <w:rsid w:val="003E555A"/>
    <w:rsid w:val="003F2A34"/>
    <w:rsid w:val="003F2D36"/>
    <w:rsid w:val="003F35BF"/>
    <w:rsid w:val="003F5089"/>
    <w:rsid w:val="003F6035"/>
    <w:rsid w:val="003F614F"/>
    <w:rsid w:val="003F7929"/>
    <w:rsid w:val="00402379"/>
    <w:rsid w:val="00416358"/>
    <w:rsid w:val="00417EAB"/>
    <w:rsid w:val="004264AE"/>
    <w:rsid w:val="00426A1E"/>
    <w:rsid w:val="00427CD2"/>
    <w:rsid w:val="004311B7"/>
    <w:rsid w:val="004374C4"/>
    <w:rsid w:val="0044570B"/>
    <w:rsid w:val="00445ADF"/>
    <w:rsid w:val="0045142F"/>
    <w:rsid w:val="00455B49"/>
    <w:rsid w:val="00460542"/>
    <w:rsid w:val="00461F25"/>
    <w:rsid w:val="0046435C"/>
    <w:rsid w:val="004716E9"/>
    <w:rsid w:val="00475052"/>
    <w:rsid w:val="0047625B"/>
    <w:rsid w:val="00480846"/>
    <w:rsid w:val="00485778"/>
    <w:rsid w:val="00485984"/>
    <w:rsid w:val="0048640D"/>
    <w:rsid w:val="00490249"/>
    <w:rsid w:val="00492A01"/>
    <w:rsid w:val="00494A0C"/>
    <w:rsid w:val="004975E8"/>
    <w:rsid w:val="004A22A0"/>
    <w:rsid w:val="004A30B3"/>
    <w:rsid w:val="004B03B3"/>
    <w:rsid w:val="004B21B9"/>
    <w:rsid w:val="004B2E67"/>
    <w:rsid w:val="004B353D"/>
    <w:rsid w:val="004B3CC0"/>
    <w:rsid w:val="004B43DA"/>
    <w:rsid w:val="004B706B"/>
    <w:rsid w:val="004C18E2"/>
    <w:rsid w:val="004C24C3"/>
    <w:rsid w:val="004C66C3"/>
    <w:rsid w:val="004C7AF3"/>
    <w:rsid w:val="004D1721"/>
    <w:rsid w:val="004D1F88"/>
    <w:rsid w:val="004D376A"/>
    <w:rsid w:val="004D45CB"/>
    <w:rsid w:val="004D5658"/>
    <w:rsid w:val="004D5DF7"/>
    <w:rsid w:val="004D6EC3"/>
    <w:rsid w:val="004D7B02"/>
    <w:rsid w:val="004E2D01"/>
    <w:rsid w:val="004E3875"/>
    <w:rsid w:val="004E3BE4"/>
    <w:rsid w:val="004F06D0"/>
    <w:rsid w:val="004F656D"/>
    <w:rsid w:val="004F7822"/>
    <w:rsid w:val="0050566C"/>
    <w:rsid w:val="00505828"/>
    <w:rsid w:val="005128A8"/>
    <w:rsid w:val="00513D5E"/>
    <w:rsid w:val="00515A9C"/>
    <w:rsid w:val="00517526"/>
    <w:rsid w:val="00524EDE"/>
    <w:rsid w:val="00525842"/>
    <w:rsid w:val="0053098C"/>
    <w:rsid w:val="005314A3"/>
    <w:rsid w:val="00533806"/>
    <w:rsid w:val="00535092"/>
    <w:rsid w:val="00537339"/>
    <w:rsid w:val="00540B40"/>
    <w:rsid w:val="00543634"/>
    <w:rsid w:val="00543C46"/>
    <w:rsid w:val="0054471D"/>
    <w:rsid w:val="005509C7"/>
    <w:rsid w:val="00550C48"/>
    <w:rsid w:val="00556316"/>
    <w:rsid w:val="0056534A"/>
    <w:rsid w:val="005665BD"/>
    <w:rsid w:val="00567557"/>
    <w:rsid w:val="005700F0"/>
    <w:rsid w:val="00575638"/>
    <w:rsid w:val="005767BB"/>
    <w:rsid w:val="0058148D"/>
    <w:rsid w:val="00585C01"/>
    <w:rsid w:val="005860BD"/>
    <w:rsid w:val="005869BB"/>
    <w:rsid w:val="0059163E"/>
    <w:rsid w:val="005A2CB2"/>
    <w:rsid w:val="005B0411"/>
    <w:rsid w:val="005B07D0"/>
    <w:rsid w:val="005B305E"/>
    <w:rsid w:val="005B33A8"/>
    <w:rsid w:val="005B3822"/>
    <w:rsid w:val="005B7942"/>
    <w:rsid w:val="005C13E3"/>
    <w:rsid w:val="005C14B3"/>
    <w:rsid w:val="005C4E04"/>
    <w:rsid w:val="005D0CF9"/>
    <w:rsid w:val="005D3273"/>
    <w:rsid w:val="005D42DD"/>
    <w:rsid w:val="005D6FBF"/>
    <w:rsid w:val="005E1D9E"/>
    <w:rsid w:val="005E466F"/>
    <w:rsid w:val="005E4BD4"/>
    <w:rsid w:val="005E518F"/>
    <w:rsid w:val="005E71FB"/>
    <w:rsid w:val="005F0E3A"/>
    <w:rsid w:val="005F23C7"/>
    <w:rsid w:val="005F3395"/>
    <w:rsid w:val="005F58C5"/>
    <w:rsid w:val="005F684C"/>
    <w:rsid w:val="0060022C"/>
    <w:rsid w:val="00603235"/>
    <w:rsid w:val="00607259"/>
    <w:rsid w:val="00611C09"/>
    <w:rsid w:val="00613DCE"/>
    <w:rsid w:val="006153B5"/>
    <w:rsid w:val="0061548C"/>
    <w:rsid w:val="00615E4C"/>
    <w:rsid w:val="00615F0E"/>
    <w:rsid w:val="0061716A"/>
    <w:rsid w:val="00617326"/>
    <w:rsid w:val="0062330E"/>
    <w:rsid w:val="00624A3E"/>
    <w:rsid w:val="006359CF"/>
    <w:rsid w:val="00636850"/>
    <w:rsid w:val="0064311C"/>
    <w:rsid w:val="00644DB6"/>
    <w:rsid w:val="00645B0C"/>
    <w:rsid w:val="00653B6A"/>
    <w:rsid w:val="00654576"/>
    <w:rsid w:val="00655176"/>
    <w:rsid w:val="00663DC8"/>
    <w:rsid w:val="00665A70"/>
    <w:rsid w:val="006662FD"/>
    <w:rsid w:val="00667896"/>
    <w:rsid w:val="00670192"/>
    <w:rsid w:val="006749BB"/>
    <w:rsid w:val="00676B8D"/>
    <w:rsid w:val="00680D0A"/>
    <w:rsid w:val="00680F61"/>
    <w:rsid w:val="00681686"/>
    <w:rsid w:val="00682F67"/>
    <w:rsid w:val="00683516"/>
    <w:rsid w:val="00683EFC"/>
    <w:rsid w:val="00686571"/>
    <w:rsid w:val="0068717A"/>
    <w:rsid w:val="00693C09"/>
    <w:rsid w:val="00695C3A"/>
    <w:rsid w:val="00696620"/>
    <w:rsid w:val="006972A1"/>
    <w:rsid w:val="00697617"/>
    <w:rsid w:val="006A018F"/>
    <w:rsid w:val="006A1C11"/>
    <w:rsid w:val="006A5AF5"/>
    <w:rsid w:val="006A7459"/>
    <w:rsid w:val="006A781F"/>
    <w:rsid w:val="006A7924"/>
    <w:rsid w:val="006B0093"/>
    <w:rsid w:val="006B2A58"/>
    <w:rsid w:val="006B30A3"/>
    <w:rsid w:val="006B64C4"/>
    <w:rsid w:val="006C40C2"/>
    <w:rsid w:val="006C5163"/>
    <w:rsid w:val="006C620C"/>
    <w:rsid w:val="006C6488"/>
    <w:rsid w:val="006C7888"/>
    <w:rsid w:val="006D0217"/>
    <w:rsid w:val="006D0C76"/>
    <w:rsid w:val="006D0C99"/>
    <w:rsid w:val="006D1037"/>
    <w:rsid w:val="006D3D82"/>
    <w:rsid w:val="006E0AC2"/>
    <w:rsid w:val="006E15FD"/>
    <w:rsid w:val="006E1C5E"/>
    <w:rsid w:val="006E294E"/>
    <w:rsid w:val="006E319B"/>
    <w:rsid w:val="006E338D"/>
    <w:rsid w:val="006E3A9F"/>
    <w:rsid w:val="006E6386"/>
    <w:rsid w:val="006F2273"/>
    <w:rsid w:val="006F5091"/>
    <w:rsid w:val="007008CF"/>
    <w:rsid w:val="00700B8E"/>
    <w:rsid w:val="00700F9F"/>
    <w:rsid w:val="0070209A"/>
    <w:rsid w:val="00703A6D"/>
    <w:rsid w:val="00703B90"/>
    <w:rsid w:val="00703F66"/>
    <w:rsid w:val="00706AC4"/>
    <w:rsid w:val="00707118"/>
    <w:rsid w:val="00711C8E"/>
    <w:rsid w:val="007131DC"/>
    <w:rsid w:val="00717DC9"/>
    <w:rsid w:val="00724991"/>
    <w:rsid w:val="0072575C"/>
    <w:rsid w:val="00726039"/>
    <w:rsid w:val="00727957"/>
    <w:rsid w:val="00731CE2"/>
    <w:rsid w:val="007349B3"/>
    <w:rsid w:val="00744538"/>
    <w:rsid w:val="00744670"/>
    <w:rsid w:val="00744F35"/>
    <w:rsid w:val="00744FEF"/>
    <w:rsid w:val="007461FA"/>
    <w:rsid w:val="00747306"/>
    <w:rsid w:val="007475E7"/>
    <w:rsid w:val="00752855"/>
    <w:rsid w:val="00752A8B"/>
    <w:rsid w:val="00754FA2"/>
    <w:rsid w:val="00755C52"/>
    <w:rsid w:val="007601DE"/>
    <w:rsid w:val="007607A7"/>
    <w:rsid w:val="00761DDE"/>
    <w:rsid w:val="00763A03"/>
    <w:rsid w:val="00765A8A"/>
    <w:rsid w:val="0077106F"/>
    <w:rsid w:val="00771B17"/>
    <w:rsid w:val="00773A5C"/>
    <w:rsid w:val="00774109"/>
    <w:rsid w:val="007741FD"/>
    <w:rsid w:val="00774D46"/>
    <w:rsid w:val="00776EE7"/>
    <w:rsid w:val="00777669"/>
    <w:rsid w:val="00780A0A"/>
    <w:rsid w:val="00781517"/>
    <w:rsid w:val="00791348"/>
    <w:rsid w:val="00795A04"/>
    <w:rsid w:val="00796D33"/>
    <w:rsid w:val="007A05CB"/>
    <w:rsid w:val="007A29BA"/>
    <w:rsid w:val="007A438A"/>
    <w:rsid w:val="007A5931"/>
    <w:rsid w:val="007A6EA0"/>
    <w:rsid w:val="007A6ECD"/>
    <w:rsid w:val="007A6F49"/>
    <w:rsid w:val="007A7245"/>
    <w:rsid w:val="007B01B1"/>
    <w:rsid w:val="007B2BE7"/>
    <w:rsid w:val="007B3308"/>
    <w:rsid w:val="007C5994"/>
    <w:rsid w:val="007D0278"/>
    <w:rsid w:val="007D159D"/>
    <w:rsid w:val="007D3603"/>
    <w:rsid w:val="007D429C"/>
    <w:rsid w:val="007D4983"/>
    <w:rsid w:val="007D7821"/>
    <w:rsid w:val="007E08BB"/>
    <w:rsid w:val="007E1CEE"/>
    <w:rsid w:val="007E3DF8"/>
    <w:rsid w:val="007E7EBD"/>
    <w:rsid w:val="007F1397"/>
    <w:rsid w:val="007F2850"/>
    <w:rsid w:val="007F2CDA"/>
    <w:rsid w:val="007F6DCC"/>
    <w:rsid w:val="007F7BE7"/>
    <w:rsid w:val="00801CA9"/>
    <w:rsid w:val="00803AA7"/>
    <w:rsid w:val="00804191"/>
    <w:rsid w:val="00807945"/>
    <w:rsid w:val="0081250F"/>
    <w:rsid w:val="008247C4"/>
    <w:rsid w:val="008267B3"/>
    <w:rsid w:val="00826949"/>
    <w:rsid w:val="00832E8B"/>
    <w:rsid w:val="008354A2"/>
    <w:rsid w:val="00840635"/>
    <w:rsid w:val="00841F62"/>
    <w:rsid w:val="00843A96"/>
    <w:rsid w:val="008453FA"/>
    <w:rsid w:val="00847B5B"/>
    <w:rsid w:val="00851E23"/>
    <w:rsid w:val="008567F7"/>
    <w:rsid w:val="008609BF"/>
    <w:rsid w:val="008629C5"/>
    <w:rsid w:val="00870015"/>
    <w:rsid w:val="00870883"/>
    <w:rsid w:val="00871B63"/>
    <w:rsid w:val="00872E2D"/>
    <w:rsid w:val="00874577"/>
    <w:rsid w:val="00875193"/>
    <w:rsid w:val="00882630"/>
    <w:rsid w:val="008834BB"/>
    <w:rsid w:val="00887B59"/>
    <w:rsid w:val="008905CD"/>
    <w:rsid w:val="00890EF3"/>
    <w:rsid w:val="0089204C"/>
    <w:rsid w:val="00896BD6"/>
    <w:rsid w:val="008A5533"/>
    <w:rsid w:val="008B1002"/>
    <w:rsid w:val="008B41E4"/>
    <w:rsid w:val="008B52DC"/>
    <w:rsid w:val="008B5DBD"/>
    <w:rsid w:val="008B5FBA"/>
    <w:rsid w:val="008B71F9"/>
    <w:rsid w:val="008C1C92"/>
    <w:rsid w:val="008C1EA2"/>
    <w:rsid w:val="008C2737"/>
    <w:rsid w:val="008C4543"/>
    <w:rsid w:val="008C736A"/>
    <w:rsid w:val="008D0983"/>
    <w:rsid w:val="008D22F7"/>
    <w:rsid w:val="008D6025"/>
    <w:rsid w:val="008D7284"/>
    <w:rsid w:val="008E0BFF"/>
    <w:rsid w:val="008E1204"/>
    <w:rsid w:val="008E263A"/>
    <w:rsid w:val="008E3CFF"/>
    <w:rsid w:val="008E4362"/>
    <w:rsid w:val="008E4B62"/>
    <w:rsid w:val="008E5CA5"/>
    <w:rsid w:val="008E605C"/>
    <w:rsid w:val="008F277D"/>
    <w:rsid w:val="008F4E00"/>
    <w:rsid w:val="008F7CF3"/>
    <w:rsid w:val="008F7F0F"/>
    <w:rsid w:val="009007EB"/>
    <w:rsid w:val="009111D8"/>
    <w:rsid w:val="0091482F"/>
    <w:rsid w:val="00914CD1"/>
    <w:rsid w:val="009170DC"/>
    <w:rsid w:val="0091718A"/>
    <w:rsid w:val="00921054"/>
    <w:rsid w:val="00925441"/>
    <w:rsid w:val="00934DB3"/>
    <w:rsid w:val="0093732C"/>
    <w:rsid w:val="00941055"/>
    <w:rsid w:val="009412B0"/>
    <w:rsid w:val="009413BA"/>
    <w:rsid w:val="0094495A"/>
    <w:rsid w:val="009457BB"/>
    <w:rsid w:val="00946B81"/>
    <w:rsid w:val="00947D0B"/>
    <w:rsid w:val="009532D2"/>
    <w:rsid w:val="00953BE8"/>
    <w:rsid w:val="00953F1F"/>
    <w:rsid w:val="0095754A"/>
    <w:rsid w:val="00961C30"/>
    <w:rsid w:val="00962660"/>
    <w:rsid w:val="009631CE"/>
    <w:rsid w:val="0096332A"/>
    <w:rsid w:val="00970F15"/>
    <w:rsid w:val="00973052"/>
    <w:rsid w:val="0097545E"/>
    <w:rsid w:val="009768B3"/>
    <w:rsid w:val="00976F85"/>
    <w:rsid w:val="00982772"/>
    <w:rsid w:val="0098382B"/>
    <w:rsid w:val="00985C9C"/>
    <w:rsid w:val="00987374"/>
    <w:rsid w:val="009911D1"/>
    <w:rsid w:val="0099310D"/>
    <w:rsid w:val="009961CB"/>
    <w:rsid w:val="00996791"/>
    <w:rsid w:val="009A2E9C"/>
    <w:rsid w:val="009A5460"/>
    <w:rsid w:val="009A6E98"/>
    <w:rsid w:val="009B1BD8"/>
    <w:rsid w:val="009B35DE"/>
    <w:rsid w:val="009B3ECB"/>
    <w:rsid w:val="009B4A13"/>
    <w:rsid w:val="009B64FA"/>
    <w:rsid w:val="009C0769"/>
    <w:rsid w:val="009C29E1"/>
    <w:rsid w:val="009C3598"/>
    <w:rsid w:val="009C55FC"/>
    <w:rsid w:val="009C5EFF"/>
    <w:rsid w:val="009C73F9"/>
    <w:rsid w:val="009D09C1"/>
    <w:rsid w:val="009D3DBD"/>
    <w:rsid w:val="009D47C3"/>
    <w:rsid w:val="009D6911"/>
    <w:rsid w:val="009F093A"/>
    <w:rsid w:val="009F1841"/>
    <w:rsid w:val="009F5700"/>
    <w:rsid w:val="00A0196F"/>
    <w:rsid w:val="00A03821"/>
    <w:rsid w:val="00A04436"/>
    <w:rsid w:val="00A044C2"/>
    <w:rsid w:val="00A048E2"/>
    <w:rsid w:val="00A05343"/>
    <w:rsid w:val="00A07AC3"/>
    <w:rsid w:val="00A10288"/>
    <w:rsid w:val="00A11C2B"/>
    <w:rsid w:val="00A14E62"/>
    <w:rsid w:val="00A16170"/>
    <w:rsid w:val="00A17D59"/>
    <w:rsid w:val="00A21FB8"/>
    <w:rsid w:val="00A24580"/>
    <w:rsid w:val="00A2546E"/>
    <w:rsid w:val="00A25651"/>
    <w:rsid w:val="00A27676"/>
    <w:rsid w:val="00A305F4"/>
    <w:rsid w:val="00A30C6E"/>
    <w:rsid w:val="00A331F1"/>
    <w:rsid w:val="00A35FD0"/>
    <w:rsid w:val="00A50DF6"/>
    <w:rsid w:val="00A552AB"/>
    <w:rsid w:val="00A56676"/>
    <w:rsid w:val="00A57AC7"/>
    <w:rsid w:val="00A65630"/>
    <w:rsid w:val="00A66A96"/>
    <w:rsid w:val="00A72F02"/>
    <w:rsid w:val="00A753FA"/>
    <w:rsid w:val="00A75F3D"/>
    <w:rsid w:val="00A7652C"/>
    <w:rsid w:val="00A81E87"/>
    <w:rsid w:val="00A81FFD"/>
    <w:rsid w:val="00A82867"/>
    <w:rsid w:val="00A83F87"/>
    <w:rsid w:val="00A86341"/>
    <w:rsid w:val="00A87677"/>
    <w:rsid w:val="00A94868"/>
    <w:rsid w:val="00A96350"/>
    <w:rsid w:val="00AA2C4A"/>
    <w:rsid w:val="00AA3847"/>
    <w:rsid w:val="00AA3C6D"/>
    <w:rsid w:val="00AB40F8"/>
    <w:rsid w:val="00AB6577"/>
    <w:rsid w:val="00AB72AC"/>
    <w:rsid w:val="00AC2A67"/>
    <w:rsid w:val="00AC2D7F"/>
    <w:rsid w:val="00AC312C"/>
    <w:rsid w:val="00AC6326"/>
    <w:rsid w:val="00AC671F"/>
    <w:rsid w:val="00AC6F1C"/>
    <w:rsid w:val="00AD020B"/>
    <w:rsid w:val="00AD2B31"/>
    <w:rsid w:val="00AD4515"/>
    <w:rsid w:val="00AE7B80"/>
    <w:rsid w:val="00AF110D"/>
    <w:rsid w:val="00AF4FFD"/>
    <w:rsid w:val="00AF7814"/>
    <w:rsid w:val="00B01749"/>
    <w:rsid w:val="00B0229A"/>
    <w:rsid w:val="00B0316D"/>
    <w:rsid w:val="00B03319"/>
    <w:rsid w:val="00B05C0F"/>
    <w:rsid w:val="00B10270"/>
    <w:rsid w:val="00B1348A"/>
    <w:rsid w:val="00B14048"/>
    <w:rsid w:val="00B14DD0"/>
    <w:rsid w:val="00B1683D"/>
    <w:rsid w:val="00B2458D"/>
    <w:rsid w:val="00B27E5C"/>
    <w:rsid w:val="00B31C88"/>
    <w:rsid w:val="00B320FF"/>
    <w:rsid w:val="00B33686"/>
    <w:rsid w:val="00B36178"/>
    <w:rsid w:val="00B40D18"/>
    <w:rsid w:val="00B458B0"/>
    <w:rsid w:val="00B46BBD"/>
    <w:rsid w:val="00B5037C"/>
    <w:rsid w:val="00B5118A"/>
    <w:rsid w:val="00B5197C"/>
    <w:rsid w:val="00B53309"/>
    <w:rsid w:val="00B54890"/>
    <w:rsid w:val="00B54895"/>
    <w:rsid w:val="00B630B8"/>
    <w:rsid w:val="00B72259"/>
    <w:rsid w:val="00B7643D"/>
    <w:rsid w:val="00B768A0"/>
    <w:rsid w:val="00B80ECB"/>
    <w:rsid w:val="00B82AD3"/>
    <w:rsid w:val="00B83ABA"/>
    <w:rsid w:val="00B84403"/>
    <w:rsid w:val="00B84547"/>
    <w:rsid w:val="00B87630"/>
    <w:rsid w:val="00B94EBE"/>
    <w:rsid w:val="00B9505E"/>
    <w:rsid w:val="00BA196A"/>
    <w:rsid w:val="00BA246E"/>
    <w:rsid w:val="00BA28BE"/>
    <w:rsid w:val="00BA44F9"/>
    <w:rsid w:val="00BA5A1E"/>
    <w:rsid w:val="00BA6CDA"/>
    <w:rsid w:val="00BA7D87"/>
    <w:rsid w:val="00BB04EC"/>
    <w:rsid w:val="00BB04FC"/>
    <w:rsid w:val="00BB1FD0"/>
    <w:rsid w:val="00BB7378"/>
    <w:rsid w:val="00BC169F"/>
    <w:rsid w:val="00BC1F90"/>
    <w:rsid w:val="00BC2EFC"/>
    <w:rsid w:val="00BC3572"/>
    <w:rsid w:val="00BC57AF"/>
    <w:rsid w:val="00BC6118"/>
    <w:rsid w:val="00BD2A2A"/>
    <w:rsid w:val="00BD3AFE"/>
    <w:rsid w:val="00BD5919"/>
    <w:rsid w:val="00BD5D69"/>
    <w:rsid w:val="00BD72D0"/>
    <w:rsid w:val="00BE1F27"/>
    <w:rsid w:val="00BE1FD2"/>
    <w:rsid w:val="00BE2169"/>
    <w:rsid w:val="00BE2740"/>
    <w:rsid w:val="00BE594E"/>
    <w:rsid w:val="00BF3CE6"/>
    <w:rsid w:val="00BF65E3"/>
    <w:rsid w:val="00BF72FD"/>
    <w:rsid w:val="00BF73C5"/>
    <w:rsid w:val="00C01753"/>
    <w:rsid w:val="00C049C7"/>
    <w:rsid w:val="00C0754A"/>
    <w:rsid w:val="00C076A2"/>
    <w:rsid w:val="00C11940"/>
    <w:rsid w:val="00C13429"/>
    <w:rsid w:val="00C1605B"/>
    <w:rsid w:val="00C225F4"/>
    <w:rsid w:val="00C23002"/>
    <w:rsid w:val="00C23795"/>
    <w:rsid w:val="00C23D9B"/>
    <w:rsid w:val="00C23DC7"/>
    <w:rsid w:val="00C27DBE"/>
    <w:rsid w:val="00C308CB"/>
    <w:rsid w:val="00C32424"/>
    <w:rsid w:val="00C32477"/>
    <w:rsid w:val="00C33392"/>
    <w:rsid w:val="00C35920"/>
    <w:rsid w:val="00C375CD"/>
    <w:rsid w:val="00C37C1C"/>
    <w:rsid w:val="00C434BE"/>
    <w:rsid w:val="00C44F4D"/>
    <w:rsid w:val="00C465C9"/>
    <w:rsid w:val="00C47319"/>
    <w:rsid w:val="00C50C3B"/>
    <w:rsid w:val="00C537D1"/>
    <w:rsid w:val="00C5462D"/>
    <w:rsid w:val="00C54B5A"/>
    <w:rsid w:val="00C555CA"/>
    <w:rsid w:val="00C5591E"/>
    <w:rsid w:val="00C56ABC"/>
    <w:rsid w:val="00C56AEA"/>
    <w:rsid w:val="00C56D3A"/>
    <w:rsid w:val="00C57067"/>
    <w:rsid w:val="00C668CE"/>
    <w:rsid w:val="00C66DBB"/>
    <w:rsid w:val="00C670C3"/>
    <w:rsid w:val="00C730AC"/>
    <w:rsid w:val="00C75C64"/>
    <w:rsid w:val="00C77D32"/>
    <w:rsid w:val="00C84382"/>
    <w:rsid w:val="00C858DB"/>
    <w:rsid w:val="00C87F5F"/>
    <w:rsid w:val="00C9404A"/>
    <w:rsid w:val="00C944FF"/>
    <w:rsid w:val="00C94544"/>
    <w:rsid w:val="00C96075"/>
    <w:rsid w:val="00C96684"/>
    <w:rsid w:val="00C9678F"/>
    <w:rsid w:val="00C96EEB"/>
    <w:rsid w:val="00C974D3"/>
    <w:rsid w:val="00CA1C05"/>
    <w:rsid w:val="00CA3080"/>
    <w:rsid w:val="00CA52C4"/>
    <w:rsid w:val="00CA52F3"/>
    <w:rsid w:val="00CA5F55"/>
    <w:rsid w:val="00CA636E"/>
    <w:rsid w:val="00CB1177"/>
    <w:rsid w:val="00CB20A0"/>
    <w:rsid w:val="00CB3AA5"/>
    <w:rsid w:val="00CB688E"/>
    <w:rsid w:val="00CB7F89"/>
    <w:rsid w:val="00CC4148"/>
    <w:rsid w:val="00CC4A2C"/>
    <w:rsid w:val="00CC515A"/>
    <w:rsid w:val="00CC5C30"/>
    <w:rsid w:val="00CC6BB7"/>
    <w:rsid w:val="00CD33E0"/>
    <w:rsid w:val="00CD5014"/>
    <w:rsid w:val="00CD616C"/>
    <w:rsid w:val="00CD7068"/>
    <w:rsid w:val="00CD7EE2"/>
    <w:rsid w:val="00CE4F96"/>
    <w:rsid w:val="00CE54CE"/>
    <w:rsid w:val="00CE588C"/>
    <w:rsid w:val="00CE6EE3"/>
    <w:rsid w:val="00CE717F"/>
    <w:rsid w:val="00CE7204"/>
    <w:rsid w:val="00CE7557"/>
    <w:rsid w:val="00CF0A2E"/>
    <w:rsid w:val="00CF46C9"/>
    <w:rsid w:val="00CF75A8"/>
    <w:rsid w:val="00CF7EC6"/>
    <w:rsid w:val="00D01563"/>
    <w:rsid w:val="00D023C7"/>
    <w:rsid w:val="00D039EE"/>
    <w:rsid w:val="00D03C1C"/>
    <w:rsid w:val="00D06319"/>
    <w:rsid w:val="00D111CD"/>
    <w:rsid w:val="00D114F5"/>
    <w:rsid w:val="00D11F6A"/>
    <w:rsid w:val="00D144E8"/>
    <w:rsid w:val="00D17B0C"/>
    <w:rsid w:val="00D271F9"/>
    <w:rsid w:val="00D27548"/>
    <w:rsid w:val="00D27A53"/>
    <w:rsid w:val="00D27F03"/>
    <w:rsid w:val="00D32419"/>
    <w:rsid w:val="00D32E23"/>
    <w:rsid w:val="00D4410E"/>
    <w:rsid w:val="00D4558B"/>
    <w:rsid w:val="00D460C3"/>
    <w:rsid w:val="00D50D2E"/>
    <w:rsid w:val="00D50F33"/>
    <w:rsid w:val="00D52C67"/>
    <w:rsid w:val="00D54AF6"/>
    <w:rsid w:val="00D55125"/>
    <w:rsid w:val="00D602A8"/>
    <w:rsid w:val="00D629AE"/>
    <w:rsid w:val="00D65207"/>
    <w:rsid w:val="00D65702"/>
    <w:rsid w:val="00D7187C"/>
    <w:rsid w:val="00D71C3D"/>
    <w:rsid w:val="00D72312"/>
    <w:rsid w:val="00D72E60"/>
    <w:rsid w:val="00D7420F"/>
    <w:rsid w:val="00D74BE8"/>
    <w:rsid w:val="00D7567C"/>
    <w:rsid w:val="00D76452"/>
    <w:rsid w:val="00D8201E"/>
    <w:rsid w:val="00D851ED"/>
    <w:rsid w:val="00D92B79"/>
    <w:rsid w:val="00D97A1B"/>
    <w:rsid w:val="00DA4550"/>
    <w:rsid w:val="00DA5206"/>
    <w:rsid w:val="00DA6AC0"/>
    <w:rsid w:val="00DA7583"/>
    <w:rsid w:val="00DB2DD0"/>
    <w:rsid w:val="00DB2F3E"/>
    <w:rsid w:val="00DB7761"/>
    <w:rsid w:val="00DC5D8B"/>
    <w:rsid w:val="00DC6473"/>
    <w:rsid w:val="00DD5D81"/>
    <w:rsid w:val="00DE191F"/>
    <w:rsid w:val="00DE4EFE"/>
    <w:rsid w:val="00DE5A5B"/>
    <w:rsid w:val="00DF0F71"/>
    <w:rsid w:val="00DF2CA7"/>
    <w:rsid w:val="00DF45FF"/>
    <w:rsid w:val="00DF4EE1"/>
    <w:rsid w:val="00E01066"/>
    <w:rsid w:val="00E01273"/>
    <w:rsid w:val="00E01830"/>
    <w:rsid w:val="00E05F58"/>
    <w:rsid w:val="00E066E5"/>
    <w:rsid w:val="00E119A2"/>
    <w:rsid w:val="00E11A6A"/>
    <w:rsid w:val="00E128F7"/>
    <w:rsid w:val="00E129EF"/>
    <w:rsid w:val="00E12BB9"/>
    <w:rsid w:val="00E155A3"/>
    <w:rsid w:val="00E178A2"/>
    <w:rsid w:val="00E17EC5"/>
    <w:rsid w:val="00E17F57"/>
    <w:rsid w:val="00E205EE"/>
    <w:rsid w:val="00E21275"/>
    <w:rsid w:val="00E22A7C"/>
    <w:rsid w:val="00E25920"/>
    <w:rsid w:val="00E25923"/>
    <w:rsid w:val="00E26070"/>
    <w:rsid w:val="00E3325C"/>
    <w:rsid w:val="00E413DB"/>
    <w:rsid w:val="00E42565"/>
    <w:rsid w:val="00E44B3A"/>
    <w:rsid w:val="00E461A6"/>
    <w:rsid w:val="00E47156"/>
    <w:rsid w:val="00E50C59"/>
    <w:rsid w:val="00E52481"/>
    <w:rsid w:val="00E54707"/>
    <w:rsid w:val="00E61F76"/>
    <w:rsid w:val="00E653B8"/>
    <w:rsid w:val="00E65907"/>
    <w:rsid w:val="00E65E9A"/>
    <w:rsid w:val="00E7012E"/>
    <w:rsid w:val="00E70E39"/>
    <w:rsid w:val="00E71114"/>
    <w:rsid w:val="00E71AA3"/>
    <w:rsid w:val="00E72C04"/>
    <w:rsid w:val="00E74C6D"/>
    <w:rsid w:val="00E8511F"/>
    <w:rsid w:val="00E85818"/>
    <w:rsid w:val="00E87861"/>
    <w:rsid w:val="00E91144"/>
    <w:rsid w:val="00E924B1"/>
    <w:rsid w:val="00E927EE"/>
    <w:rsid w:val="00E9423E"/>
    <w:rsid w:val="00EA4893"/>
    <w:rsid w:val="00EA5193"/>
    <w:rsid w:val="00EC446C"/>
    <w:rsid w:val="00EC4B2B"/>
    <w:rsid w:val="00EC4C73"/>
    <w:rsid w:val="00EC6C6B"/>
    <w:rsid w:val="00ED0C39"/>
    <w:rsid w:val="00ED0C3B"/>
    <w:rsid w:val="00ED11CB"/>
    <w:rsid w:val="00ED1A6E"/>
    <w:rsid w:val="00ED6F7B"/>
    <w:rsid w:val="00ED797D"/>
    <w:rsid w:val="00EE20A0"/>
    <w:rsid w:val="00EE39BC"/>
    <w:rsid w:val="00EE5982"/>
    <w:rsid w:val="00EE5C07"/>
    <w:rsid w:val="00EF199F"/>
    <w:rsid w:val="00EF1DB7"/>
    <w:rsid w:val="00EF408C"/>
    <w:rsid w:val="00EF4B56"/>
    <w:rsid w:val="00EF6297"/>
    <w:rsid w:val="00F01FEA"/>
    <w:rsid w:val="00F0209F"/>
    <w:rsid w:val="00F042D2"/>
    <w:rsid w:val="00F05871"/>
    <w:rsid w:val="00F10E28"/>
    <w:rsid w:val="00F10F92"/>
    <w:rsid w:val="00F13B34"/>
    <w:rsid w:val="00F13D2A"/>
    <w:rsid w:val="00F15F4E"/>
    <w:rsid w:val="00F17640"/>
    <w:rsid w:val="00F22A24"/>
    <w:rsid w:val="00F25E92"/>
    <w:rsid w:val="00F3062F"/>
    <w:rsid w:val="00F30C67"/>
    <w:rsid w:val="00F32A10"/>
    <w:rsid w:val="00F33001"/>
    <w:rsid w:val="00F33A14"/>
    <w:rsid w:val="00F342E5"/>
    <w:rsid w:val="00F402B1"/>
    <w:rsid w:val="00F43F50"/>
    <w:rsid w:val="00F44662"/>
    <w:rsid w:val="00F4648A"/>
    <w:rsid w:val="00F479E4"/>
    <w:rsid w:val="00F53679"/>
    <w:rsid w:val="00F54839"/>
    <w:rsid w:val="00F57F96"/>
    <w:rsid w:val="00F64889"/>
    <w:rsid w:val="00F658F7"/>
    <w:rsid w:val="00F67A98"/>
    <w:rsid w:val="00F70EE0"/>
    <w:rsid w:val="00F7459C"/>
    <w:rsid w:val="00F772B5"/>
    <w:rsid w:val="00F81C0B"/>
    <w:rsid w:val="00F826CA"/>
    <w:rsid w:val="00F8433D"/>
    <w:rsid w:val="00F85C3D"/>
    <w:rsid w:val="00F86604"/>
    <w:rsid w:val="00F903CC"/>
    <w:rsid w:val="00F91929"/>
    <w:rsid w:val="00F94C31"/>
    <w:rsid w:val="00F958FC"/>
    <w:rsid w:val="00FA0472"/>
    <w:rsid w:val="00FA1351"/>
    <w:rsid w:val="00FA4F48"/>
    <w:rsid w:val="00FA64E1"/>
    <w:rsid w:val="00FB1B7A"/>
    <w:rsid w:val="00FB397E"/>
    <w:rsid w:val="00FB4753"/>
    <w:rsid w:val="00FB475D"/>
    <w:rsid w:val="00FB544B"/>
    <w:rsid w:val="00FB5E35"/>
    <w:rsid w:val="00FB72E0"/>
    <w:rsid w:val="00FC3D07"/>
    <w:rsid w:val="00FC66E3"/>
    <w:rsid w:val="00FD0FE5"/>
    <w:rsid w:val="00FD143F"/>
    <w:rsid w:val="00FD255A"/>
    <w:rsid w:val="00FD3B06"/>
    <w:rsid w:val="00FD3DC6"/>
    <w:rsid w:val="00FD7B0A"/>
    <w:rsid w:val="00FD7D38"/>
    <w:rsid w:val="00FE2998"/>
    <w:rsid w:val="00FE2BE1"/>
    <w:rsid w:val="00FE4212"/>
    <w:rsid w:val="00FF1DDB"/>
    <w:rsid w:val="00FF3B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2AE2D"/>
  <w15:docId w15:val="{65657E4E-A47F-9647-8ADD-23CC5915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E1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4E18"/>
    <w:rPr>
      <w:color w:val="0000FF" w:themeColor="hyperlink"/>
      <w:u w:val="single"/>
    </w:rPr>
  </w:style>
  <w:style w:type="paragraph" w:styleId="FootnoteText">
    <w:name w:val="footnote text"/>
    <w:basedOn w:val="Normal"/>
    <w:link w:val="FootnoteTextChar"/>
    <w:uiPriority w:val="99"/>
    <w:unhideWhenUsed/>
    <w:rsid w:val="00461F25"/>
  </w:style>
  <w:style w:type="character" w:customStyle="1" w:styleId="FootnoteTextChar">
    <w:name w:val="Footnote Text Char"/>
    <w:basedOn w:val="DefaultParagraphFont"/>
    <w:link w:val="FootnoteText"/>
    <w:uiPriority w:val="99"/>
    <w:rsid w:val="00461F2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61F25"/>
    <w:rPr>
      <w:vertAlign w:val="superscript"/>
    </w:rPr>
  </w:style>
  <w:style w:type="paragraph" w:styleId="Header">
    <w:name w:val="header"/>
    <w:basedOn w:val="Normal"/>
    <w:link w:val="HeaderChar"/>
    <w:uiPriority w:val="99"/>
    <w:unhideWhenUsed/>
    <w:rsid w:val="00461F25"/>
    <w:pPr>
      <w:tabs>
        <w:tab w:val="center" w:pos="4153"/>
        <w:tab w:val="right" w:pos="8306"/>
      </w:tabs>
    </w:pPr>
  </w:style>
  <w:style w:type="character" w:customStyle="1" w:styleId="HeaderChar">
    <w:name w:val="Header Char"/>
    <w:basedOn w:val="DefaultParagraphFont"/>
    <w:link w:val="Header"/>
    <w:uiPriority w:val="99"/>
    <w:rsid w:val="00461F2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61F25"/>
    <w:pPr>
      <w:tabs>
        <w:tab w:val="center" w:pos="4153"/>
        <w:tab w:val="right" w:pos="8306"/>
      </w:tabs>
    </w:pPr>
  </w:style>
  <w:style w:type="character" w:customStyle="1" w:styleId="FooterChar">
    <w:name w:val="Footer Char"/>
    <w:basedOn w:val="DefaultParagraphFont"/>
    <w:link w:val="Footer"/>
    <w:uiPriority w:val="99"/>
    <w:rsid w:val="00461F2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61F25"/>
    <w:rPr>
      <w:rFonts w:ascii="Tahoma" w:hAnsi="Tahoma" w:cs="Tahoma"/>
      <w:sz w:val="16"/>
      <w:szCs w:val="16"/>
    </w:rPr>
  </w:style>
  <w:style w:type="character" w:customStyle="1" w:styleId="BalloonTextChar">
    <w:name w:val="Balloon Text Char"/>
    <w:basedOn w:val="DefaultParagraphFont"/>
    <w:link w:val="BalloonText"/>
    <w:uiPriority w:val="99"/>
    <w:semiHidden/>
    <w:rsid w:val="00461F25"/>
    <w:rPr>
      <w:rFonts w:ascii="Tahoma" w:eastAsia="Times New Roman" w:hAnsi="Tahoma" w:cs="Tahoma"/>
      <w:sz w:val="16"/>
      <w:szCs w:val="16"/>
    </w:rPr>
  </w:style>
  <w:style w:type="paragraph" w:styleId="ListParagraph">
    <w:name w:val="List Paragraph"/>
    <w:basedOn w:val="Normal"/>
    <w:uiPriority w:val="34"/>
    <w:qFormat/>
    <w:rsid w:val="00FB397E"/>
    <w:pPr>
      <w:ind w:left="720"/>
      <w:contextualSpacing/>
    </w:pPr>
  </w:style>
  <w:style w:type="paragraph" w:customStyle="1" w:styleId="Default">
    <w:name w:val="Default"/>
    <w:rsid w:val="00C54B5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7">
    <w:name w:val="Pa7"/>
    <w:basedOn w:val="Default"/>
    <w:next w:val="Default"/>
    <w:uiPriority w:val="99"/>
    <w:rsid w:val="00E205EE"/>
    <w:pPr>
      <w:spacing w:line="201" w:lineRule="atLeast"/>
    </w:pPr>
    <w:rPr>
      <w:color w:val="auto"/>
    </w:rPr>
  </w:style>
  <w:style w:type="table" w:styleId="TableGrid">
    <w:name w:val="Table Grid"/>
    <w:basedOn w:val="TableNormal"/>
    <w:uiPriority w:val="59"/>
    <w:rsid w:val="00F54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1A2DD9"/>
    <w:rPr>
      <w:rFonts w:ascii="Consolas" w:hAnsi="Consolas" w:cs="Consolas"/>
    </w:rPr>
  </w:style>
  <w:style w:type="character" w:customStyle="1" w:styleId="HTMLPreformattedChar">
    <w:name w:val="HTML Preformatted Char"/>
    <w:basedOn w:val="DefaultParagraphFont"/>
    <w:link w:val="HTMLPreformatted"/>
    <w:uiPriority w:val="99"/>
    <w:semiHidden/>
    <w:rsid w:val="001A2DD9"/>
    <w:rPr>
      <w:rFonts w:ascii="Consolas" w:eastAsia="Times New Roman" w:hAnsi="Consolas" w:cs="Consolas"/>
      <w:sz w:val="20"/>
      <w:szCs w:val="20"/>
    </w:rPr>
  </w:style>
  <w:style w:type="paragraph" w:styleId="NormalWeb">
    <w:name w:val="Normal (Web)"/>
    <w:basedOn w:val="Normal"/>
    <w:uiPriority w:val="99"/>
    <w:semiHidden/>
    <w:unhideWhenUsed/>
    <w:rsid w:val="007607A7"/>
    <w:rPr>
      <w:sz w:val="24"/>
      <w:szCs w:val="24"/>
    </w:rPr>
  </w:style>
  <w:style w:type="paragraph" w:styleId="EndnoteText">
    <w:name w:val="endnote text"/>
    <w:basedOn w:val="Normal"/>
    <w:link w:val="EndnoteTextChar"/>
    <w:uiPriority w:val="99"/>
    <w:semiHidden/>
    <w:unhideWhenUsed/>
    <w:rsid w:val="00E26070"/>
  </w:style>
  <w:style w:type="character" w:customStyle="1" w:styleId="EndnoteTextChar">
    <w:name w:val="Endnote Text Char"/>
    <w:basedOn w:val="DefaultParagraphFont"/>
    <w:link w:val="EndnoteText"/>
    <w:uiPriority w:val="99"/>
    <w:semiHidden/>
    <w:rsid w:val="00E2607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26070"/>
    <w:rPr>
      <w:vertAlign w:val="superscript"/>
    </w:rPr>
  </w:style>
  <w:style w:type="paragraph" w:customStyle="1" w:styleId="address">
    <w:name w:val="address"/>
    <w:basedOn w:val="Normal"/>
    <w:rsid w:val="0016305F"/>
    <w:pPr>
      <w:spacing w:after="200" w:line="220" w:lineRule="atLeast"/>
      <w:contextualSpacing/>
      <w:jc w:val="center"/>
      <w:textAlignment w:val="auto"/>
    </w:pPr>
    <w:rPr>
      <w:sz w:val="18"/>
    </w:rPr>
  </w:style>
  <w:style w:type="character" w:styleId="UnresolvedMention">
    <w:name w:val="Unresolved Mention"/>
    <w:basedOn w:val="DefaultParagraphFont"/>
    <w:uiPriority w:val="99"/>
    <w:semiHidden/>
    <w:unhideWhenUsed/>
    <w:rsid w:val="00746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78958">
      <w:bodyDiv w:val="1"/>
      <w:marLeft w:val="0"/>
      <w:marRight w:val="0"/>
      <w:marTop w:val="0"/>
      <w:marBottom w:val="0"/>
      <w:divBdr>
        <w:top w:val="none" w:sz="0" w:space="0" w:color="auto"/>
        <w:left w:val="none" w:sz="0" w:space="0" w:color="auto"/>
        <w:bottom w:val="none" w:sz="0" w:space="0" w:color="auto"/>
        <w:right w:val="none" w:sz="0" w:space="0" w:color="auto"/>
      </w:divBdr>
    </w:div>
    <w:div w:id="1242830563">
      <w:bodyDiv w:val="1"/>
      <w:marLeft w:val="0"/>
      <w:marRight w:val="0"/>
      <w:marTop w:val="0"/>
      <w:marBottom w:val="0"/>
      <w:divBdr>
        <w:top w:val="none" w:sz="0" w:space="0" w:color="auto"/>
        <w:left w:val="none" w:sz="0" w:space="0" w:color="auto"/>
        <w:bottom w:val="none" w:sz="0" w:space="0" w:color="auto"/>
        <w:right w:val="none" w:sz="0" w:space="0" w:color="auto"/>
      </w:divBdr>
    </w:div>
    <w:div w:id="169707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94191888" TargetMode="External"/><Relationship Id="rId13" Type="http://schemas.openxmlformats.org/officeDocument/2006/relationships/hyperlink" Target="https://journal.oiu.edu.sd/index.php/oiuj/article/view/323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u.edu.jo/libraryTheses/58e093e27a511_1.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mimi.com/law-update-articles/the-prior-use-doctrine-in-uae-trademark-law/" TargetMode="External"/><Relationship Id="rId5" Type="http://schemas.openxmlformats.org/officeDocument/2006/relationships/webSettings" Target="webSettings.xml"/><Relationship Id="rId15" Type="http://schemas.openxmlformats.org/officeDocument/2006/relationships/hyperlink" Target="https://www.emaratalyoum.com/local-section/other/2026-01-21-1.2008182" TargetMode="External"/><Relationship Id="rId10" Type="http://schemas.openxmlformats.org/officeDocument/2006/relationships/hyperlink" Target="https://journal.uokufa.edu.iq/index.php/kjlps/article/view/9638" TargetMode="External"/><Relationship Id="rId4" Type="http://schemas.openxmlformats.org/officeDocument/2006/relationships/settings" Target="settings.xml"/><Relationship Id="rId9" Type="http://schemas.openxmlformats.org/officeDocument/2006/relationships/hyperlink" Target="https://repository.univ-msila.dz/bitstreams/0380a690-7064-4ab9-96ba-adb740fd9832/download" TargetMode="External"/><Relationship Id="rId14" Type="http://schemas.openxmlformats.org/officeDocument/2006/relationships/hyperlink" Target="https://uaelegislation.gov.ae/ar/legislations/15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BD407-1CF7-4714-81C0-02FD430EF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23</Pages>
  <Words>9409</Words>
  <Characters>53635</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62919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weaam</dc:creator>
  <cp:lastModifiedBy>H Y</cp:lastModifiedBy>
  <cp:revision>53</cp:revision>
  <dcterms:created xsi:type="dcterms:W3CDTF">2026-04-27T19:10:00Z</dcterms:created>
  <dcterms:modified xsi:type="dcterms:W3CDTF">2026-10-15T09:49:00Z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05dc3683-b87f-407c-8720-8b09feee95e2</vt:lpwstr>
  </property>
</Properties>
</file>