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AB400" w14:textId="77777777" w:rsidR="000A36B4" w:rsidRPr="000A36B4" w:rsidRDefault="000A36B4" w:rsidP="000A36B4">
      <w:pPr>
        <w:shd w:val="clear" w:color="auto" w:fill="FFFFFF"/>
        <w:spacing w:before="100" w:beforeAutospacing="1" w:after="100" w:afterAutospacing="1" w:line="240" w:lineRule="auto"/>
        <w:rPr>
          <w:rFonts w:ascii="Lato" w:eastAsia="Times New Roman" w:hAnsi="Lato" w:cs="Times New Roman"/>
          <w:color w:val="273540"/>
          <w:kern w:val="0"/>
          <w14:ligatures w14:val="none"/>
        </w:rPr>
      </w:pPr>
      <w:r w:rsidRPr="000A36B4">
        <w:rPr>
          <w:rFonts w:ascii="Lato" w:eastAsia="Times New Roman" w:hAnsi="Lato" w:cs="Times New Roman"/>
          <w:b/>
          <w:bCs/>
          <w:color w:val="273540"/>
          <w:kern w:val="0"/>
          <w14:ligatures w14:val="none"/>
        </w:rPr>
        <w:t>To Prepare:</w:t>
      </w:r>
    </w:p>
    <w:p w14:paraId="0C08147B" w14:textId="77777777" w:rsidR="000A36B4" w:rsidRPr="000A36B4" w:rsidRDefault="000A36B4" w:rsidP="000A36B4">
      <w:pPr>
        <w:numPr>
          <w:ilvl w:val="0"/>
          <w:numId w:val="1"/>
        </w:numPr>
        <w:shd w:val="clear" w:color="auto" w:fill="FFFFFF"/>
        <w:spacing w:before="100" w:beforeAutospacing="1" w:after="100" w:afterAutospacing="1" w:line="240" w:lineRule="auto"/>
        <w:rPr>
          <w:rFonts w:ascii="Lato" w:eastAsia="Times New Roman" w:hAnsi="Lato" w:cs="Times New Roman"/>
          <w:color w:val="273540"/>
          <w:kern w:val="0"/>
          <w14:ligatures w14:val="none"/>
        </w:rPr>
      </w:pPr>
      <w:r w:rsidRPr="000A36B4">
        <w:rPr>
          <w:rFonts w:ascii="Lato" w:eastAsia="Times New Roman" w:hAnsi="Lato" w:cs="Times New Roman"/>
          <w:color w:val="273540"/>
          <w:kern w:val="0"/>
          <w14:ligatures w14:val="none"/>
        </w:rPr>
        <w:t>Revisit the Congress.gov website provided in the Resources and consider the role of RNs and APRNs in policy-making.</w:t>
      </w:r>
    </w:p>
    <w:p w14:paraId="2D067A2B" w14:textId="77777777" w:rsidR="000A36B4" w:rsidRPr="000A36B4" w:rsidRDefault="000A36B4" w:rsidP="000A36B4">
      <w:pPr>
        <w:numPr>
          <w:ilvl w:val="0"/>
          <w:numId w:val="1"/>
        </w:numPr>
        <w:shd w:val="clear" w:color="auto" w:fill="FFFFFF"/>
        <w:spacing w:before="100" w:beforeAutospacing="1" w:after="100" w:afterAutospacing="1" w:line="240" w:lineRule="auto"/>
        <w:rPr>
          <w:rFonts w:ascii="Lato" w:eastAsia="Times New Roman" w:hAnsi="Lato" w:cs="Times New Roman"/>
          <w:color w:val="273540"/>
          <w:kern w:val="0"/>
          <w14:ligatures w14:val="none"/>
        </w:rPr>
      </w:pPr>
      <w:r w:rsidRPr="000A36B4">
        <w:rPr>
          <w:rFonts w:ascii="Lato" w:eastAsia="Times New Roman" w:hAnsi="Lato" w:cs="Times New Roman"/>
          <w:color w:val="273540"/>
          <w:kern w:val="0"/>
          <w14:ligatures w14:val="none"/>
        </w:rPr>
        <w:t>Reflect on potential opportunities that may exist for RNs and APRNs to participate in the policy-making process.</w:t>
      </w:r>
    </w:p>
    <w:p w14:paraId="09D0F188" w14:textId="77777777" w:rsidR="000A36B4" w:rsidRDefault="000A36B4" w:rsidP="000A36B4">
      <w:pPr>
        <w:rPr>
          <w:rFonts w:ascii="Lato" w:hAnsi="Lato"/>
          <w:color w:val="273540"/>
          <w:shd w:val="clear" w:color="auto" w:fill="FFFFFF"/>
        </w:rPr>
      </w:pPr>
      <w:r>
        <w:rPr>
          <w:rStyle w:val="Strong"/>
          <w:rFonts w:ascii="Lato" w:hAnsi="Lato"/>
          <w:color w:val="273540"/>
          <w:shd w:val="clear" w:color="auto" w:fill="FFFFFF"/>
        </w:rPr>
        <w:t>Post</w:t>
      </w:r>
      <w:r>
        <w:rPr>
          <w:rFonts w:ascii="Lato" w:hAnsi="Lato"/>
          <w:color w:val="273540"/>
          <w:shd w:val="clear" w:color="auto" w:fill="FFFFFF"/>
        </w:rPr>
        <w:t> an explanation of at least two opportunities that exist for RNs and APRNs to actively participate in </w:t>
      </w:r>
      <w:r>
        <w:rPr>
          <w:rStyle w:val="Strong"/>
          <w:rFonts w:ascii="Lato" w:hAnsi="Lato"/>
          <w:color w:val="273540"/>
          <w:u w:val="single"/>
          <w:shd w:val="clear" w:color="auto" w:fill="FFFFFF"/>
        </w:rPr>
        <w:t>policy-making</w:t>
      </w:r>
      <w:r>
        <w:rPr>
          <w:rStyle w:val="Strong"/>
          <w:rFonts w:ascii="Lato" w:hAnsi="Lato"/>
          <w:color w:val="273540"/>
          <w:shd w:val="clear" w:color="auto" w:fill="FFFFFF"/>
        </w:rPr>
        <w:t>.</w:t>
      </w:r>
      <w:r>
        <w:rPr>
          <w:rFonts w:ascii="Lato" w:hAnsi="Lato"/>
          <w:color w:val="273540"/>
          <w:shd w:val="clear" w:color="auto" w:fill="FFFFFF"/>
        </w:rPr>
        <w:t> Explain some of the challenges that these opportunities may present and describe how you might overcome these challenges. Finally, recommend two strategies you might make to better advocate for or communicate the existence of these opportunities to participate in policy-making. Be specific and provide examples.</w:t>
      </w:r>
    </w:p>
    <w:p w14:paraId="24283828" w14:textId="77777777" w:rsidR="000A36B4" w:rsidRDefault="000A36B4" w:rsidP="000A36B4">
      <w:pPr>
        <w:rPr>
          <w:rFonts w:ascii="Lato" w:hAnsi="Lato"/>
          <w:color w:val="273540"/>
          <w:shd w:val="clear" w:color="auto" w:fill="FFFFFF"/>
        </w:rPr>
      </w:pPr>
    </w:p>
    <w:p w14:paraId="16B9632C" w14:textId="484EF75F" w:rsidR="000A36B4" w:rsidRDefault="000A36B4" w:rsidP="000A36B4">
      <w:pPr>
        <w:pStyle w:val="NormalWeb"/>
        <w:shd w:val="clear" w:color="auto" w:fill="FFFFFF"/>
        <w:rPr>
          <w:rFonts w:ascii="Lato" w:hAnsi="Lato"/>
          <w:color w:val="273540"/>
        </w:rPr>
      </w:pPr>
      <w:r>
        <w:rPr>
          <w:rFonts w:ascii="Lato" w:hAnsi="Lato"/>
          <w:color w:val="273540"/>
        </w:rPr>
        <w:t>Required resources</w:t>
      </w:r>
    </w:p>
    <w:p w14:paraId="637B03BD" w14:textId="77777777" w:rsidR="000A36B4" w:rsidRPr="000A36B4" w:rsidRDefault="000A36B4" w:rsidP="000A36B4">
      <w:pPr>
        <w:numPr>
          <w:ilvl w:val="0"/>
          <w:numId w:val="2"/>
        </w:numPr>
        <w:spacing w:after="0" w:afterAutospacing="1" w:line="240" w:lineRule="auto"/>
        <w:rPr>
          <w:rFonts w:ascii="Lato" w:eastAsia="Times New Roman" w:hAnsi="Lato" w:cs="Times New Roman"/>
          <w:color w:val="333333"/>
          <w:kern w:val="0"/>
          <w14:ligatures w14:val="none"/>
        </w:rPr>
      </w:pPr>
      <w:r w:rsidRPr="000A36B4">
        <w:rPr>
          <w:rFonts w:ascii="Lato" w:eastAsia="Times New Roman" w:hAnsi="Lato" w:cs="Times New Roman"/>
          <w:color w:val="333333"/>
          <w:kern w:val="0"/>
          <w14:ligatures w14:val="none"/>
        </w:rPr>
        <w:t xml:space="preserve">American Nurses Association (ANA). (n.d.). </w:t>
      </w:r>
      <w:hyperlink r:id="rId5" w:tgtFrame="_blank" w:history="1">
        <w:r w:rsidRPr="000A36B4">
          <w:rPr>
            <w:rFonts w:ascii="Lato" w:eastAsia="Times New Roman" w:hAnsi="Lato" w:cs="Times New Roman"/>
            <w:i/>
            <w:iCs/>
            <w:color w:val="00687F"/>
            <w:kern w:val="0"/>
            <w:u w:val="single"/>
            <w14:ligatures w14:val="none"/>
          </w:rPr>
          <w:t>Federal advocacy</w:t>
        </w:r>
        <w:r w:rsidRPr="000A36B4">
          <w:rPr>
            <w:rFonts w:ascii="Lato" w:eastAsia="Times New Roman" w:hAnsi="Lato" w:cs="Times New Roman"/>
            <w:i/>
            <w:iCs/>
            <w:color w:val="00687F"/>
            <w:kern w:val="0"/>
            <w:u w:val="single"/>
            <w:bdr w:val="none" w:sz="0" w:space="0" w:color="auto" w:frame="1"/>
            <w14:ligatures w14:val="none"/>
          </w:rPr>
          <w:t>Links to an external site.</w:t>
        </w:r>
      </w:hyperlink>
      <w:r w:rsidRPr="000A36B4">
        <w:rPr>
          <w:rFonts w:ascii="Lato" w:eastAsia="Times New Roman" w:hAnsi="Lato" w:cs="Times New Roman"/>
          <w:color w:val="333333"/>
          <w:kern w:val="0"/>
          <w14:ligatures w14:val="none"/>
        </w:rPr>
        <w:t>. https://www.nursingworld.org/practice-policy/advocacy/</w:t>
      </w:r>
    </w:p>
    <w:p w14:paraId="014B67C5" w14:textId="77777777" w:rsidR="000A36B4" w:rsidRPr="000A36B4" w:rsidRDefault="000A36B4" w:rsidP="000A36B4">
      <w:pPr>
        <w:numPr>
          <w:ilvl w:val="0"/>
          <w:numId w:val="2"/>
        </w:numPr>
        <w:spacing w:after="0" w:afterAutospacing="1" w:line="240" w:lineRule="auto"/>
        <w:rPr>
          <w:rFonts w:ascii="Lato" w:eastAsia="Times New Roman" w:hAnsi="Lato" w:cs="Times New Roman"/>
          <w:color w:val="333333"/>
          <w:kern w:val="0"/>
          <w14:ligatures w14:val="none"/>
        </w:rPr>
      </w:pPr>
      <w:hyperlink r:id="rId6" w:tgtFrame="_blank" w:history="1">
        <w:r w:rsidRPr="000A36B4">
          <w:rPr>
            <w:rFonts w:ascii="Lato" w:eastAsia="Times New Roman" w:hAnsi="Lato" w:cs="Times New Roman"/>
            <w:color w:val="00687F"/>
            <w:kern w:val="0"/>
            <w:u w:val="single"/>
            <w14:ligatures w14:val="none"/>
          </w:rPr>
          <w:t>Congress.gov</w:t>
        </w:r>
        <w:r w:rsidRPr="000A36B4">
          <w:rPr>
            <w:rFonts w:ascii="Lato" w:eastAsia="Times New Roman" w:hAnsi="Lato" w:cs="Times New Roman"/>
            <w:color w:val="00687F"/>
            <w:kern w:val="0"/>
            <w:u w:val="single"/>
            <w:bdr w:val="none" w:sz="0" w:space="0" w:color="auto" w:frame="1"/>
            <w14:ligatures w14:val="none"/>
          </w:rPr>
          <w:t>Links to an external site.</w:t>
        </w:r>
      </w:hyperlink>
      <w:r w:rsidRPr="000A36B4">
        <w:rPr>
          <w:rFonts w:ascii="Lato" w:eastAsia="Times New Roman" w:hAnsi="Lato" w:cs="Times New Roman"/>
          <w:color w:val="333333"/>
          <w:kern w:val="0"/>
          <w14:ligatures w14:val="none"/>
        </w:rPr>
        <w:t>. (n.d.). https://www.congress.gov/</w:t>
      </w:r>
    </w:p>
    <w:p w14:paraId="44D89894" w14:textId="77777777" w:rsidR="000A36B4" w:rsidRPr="000A36B4" w:rsidRDefault="000A36B4" w:rsidP="000A36B4">
      <w:pPr>
        <w:numPr>
          <w:ilvl w:val="0"/>
          <w:numId w:val="2"/>
        </w:numPr>
        <w:spacing w:after="0" w:afterAutospacing="1" w:line="240" w:lineRule="auto"/>
        <w:rPr>
          <w:rFonts w:ascii="Lato" w:eastAsia="Times New Roman" w:hAnsi="Lato" w:cs="Times New Roman"/>
          <w:color w:val="333333"/>
          <w:kern w:val="0"/>
          <w14:ligatures w14:val="none"/>
        </w:rPr>
      </w:pPr>
      <w:r w:rsidRPr="000A36B4">
        <w:rPr>
          <w:rFonts w:ascii="Lato" w:eastAsia="Times New Roman" w:hAnsi="Lato" w:cs="Times New Roman"/>
          <w:color w:val="333333"/>
          <w:kern w:val="0"/>
          <w14:ligatures w14:val="none"/>
        </w:rPr>
        <w:t xml:space="preserve">Rauner, Y., &amp; Stummer, H. (2024). </w:t>
      </w:r>
      <w:hyperlink r:id="rId7" w:tgtFrame="_blank" w:history="1">
        <w:r w:rsidRPr="000A36B4">
          <w:rPr>
            <w:rFonts w:ascii="Lato" w:eastAsia="Times New Roman" w:hAnsi="Lato" w:cs="Times New Roman"/>
            <w:color w:val="00687F"/>
            <w:kern w:val="0"/>
            <w:u w:val="single"/>
            <w14:ligatures w14:val="none"/>
          </w:rPr>
          <w:t>Challenges of innovation management in health system organizations: Evidence from Germany</w:t>
        </w:r>
        <w:r w:rsidRPr="000A36B4">
          <w:rPr>
            <w:rFonts w:ascii="Lato" w:eastAsia="Times New Roman" w:hAnsi="Lato" w:cs="Times New Roman"/>
            <w:color w:val="00687F"/>
            <w:kern w:val="0"/>
            <w:u w:val="single"/>
            <w:bdr w:val="none" w:sz="0" w:space="0" w:color="auto" w:frame="1"/>
            <w14:ligatures w14:val="none"/>
          </w:rPr>
          <w:t>Links to an external site.</w:t>
        </w:r>
      </w:hyperlink>
      <w:r w:rsidRPr="000A36B4">
        <w:rPr>
          <w:rFonts w:ascii="Lato" w:eastAsia="Times New Roman" w:hAnsi="Lato" w:cs="Times New Roman"/>
          <w:color w:val="333333"/>
          <w:kern w:val="0"/>
          <w14:ligatures w14:val="none"/>
        </w:rPr>
        <w:t xml:space="preserve">. </w:t>
      </w:r>
      <w:r w:rsidRPr="000A36B4">
        <w:rPr>
          <w:rFonts w:ascii="Lato" w:eastAsia="Times New Roman" w:hAnsi="Lato" w:cs="Times New Roman"/>
          <w:i/>
          <w:iCs/>
          <w:color w:val="333333"/>
          <w:kern w:val="0"/>
          <w14:ligatures w14:val="none"/>
        </w:rPr>
        <w:t>International Journal of Healthcare Management,</w:t>
      </w:r>
      <w:r w:rsidRPr="000A36B4">
        <w:rPr>
          <w:rFonts w:ascii="Lato" w:eastAsia="Times New Roman" w:hAnsi="Lato" w:cs="Times New Roman"/>
          <w:color w:val="333333"/>
          <w:kern w:val="0"/>
          <w14:ligatures w14:val="none"/>
        </w:rPr>
        <w:t xml:space="preserve"> 1–12. https://doi.org/10.1080/20479700.2024.2424702</w:t>
      </w:r>
    </w:p>
    <w:p w14:paraId="44623F75" w14:textId="77777777" w:rsidR="000A36B4" w:rsidRPr="000A36B4" w:rsidRDefault="000A36B4" w:rsidP="000A36B4">
      <w:pPr>
        <w:numPr>
          <w:ilvl w:val="0"/>
          <w:numId w:val="2"/>
        </w:numPr>
        <w:spacing w:after="0" w:afterAutospacing="1" w:line="240" w:lineRule="auto"/>
        <w:rPr>
          <w:rFonts w:ascii="Lato" w:eastAsia="Times New Roman" w:hAnsi="Lato" w:cs="Times New Roman"/>
          <w:color w:val="333333"/>
          <w:kern w:val="0"/>
          <w14:ligatures w14:val="none"/>
        </w:rPr>
      </w:pPr>
      <w:r w:rsidRPr="000A36B4">
        <w:rPr>
          <w:rFonts w:ascii="Lato" w:eastAsia="Times New Roman" w:hAnsi="Lato" w:cs="Times New Roman"/>
          <w:color w:val="333333"/>
          <w:kern w:val="0"/>
          <w14:ligatures w14:val="none"/>
        </w:rPr>
        <w:t xml:space="preserve">Centers for Disease Control and Prevention. (2024, September 24). </w:t>
      </w:r>
      <w:hyperlink r:id="rId8" w:tgtFrame="_blank" w:history="1">
        <w:r w:rsidRPr="000A36B4">
          <w:rPr>
            <w:rFonts w:ascii="Lato" w:eastAsia="Times New Roman" w:hAnsi="Lato" w:cs="Times New Roman"/>
            <w:i/>
            <w:iCs/>
            <w:color w:val="00687F"/>
            <w:kern w:val="0"/>
            <w:u w:val="single"/>
            <w14:ligatures w14:val="none"/>
          </w:rPr>
          <w:t>CDC policy process</w:t>
        </w:r>
        <w:r w:rsidRPr="000A36B4">
          <w:rPr>
            <w:rFonts w:ascii="Lato" w:eastAsia="Times New Roman" w:hAnsi="Lato" w:cs="Times New Roman"/>
            <w:i/>
            <w:iCs/>
            <w:color w:val="00687F"/>
            <w:kern w:val="0"/>
            <w:u w:val="single"/>
            <w:bdr w:val="none" w:sz="0" w:space="0" w:color="auto" w:frame="1"/>
            <w14:ligatures w14:val="none"/>
          </w:rPr>
          <w:t>Links to an external site.</w:t>
        </w:r>
      </w:hyperlink>
      <w:r w:rsidRPr="000A36B4">
        <w:rPr>
          <w:rFonts w:ascii="Lato" w:eastAsia="Times New Roman" w:hAnsi="Lato" w:cs="Times New Roman"/>
          <w:color w:val="333333"/>
          <w:kern w:val="0"/>
          <w14:ligatures w14:val="none"/>
        </w:rPr>
        <w:t>. https://www.cdc.gov/polaris/php/cdc-policy-process/</w:t>
      </w:r>
    </w:p>
    <w:p w14:paraId="08293AB5" w14:textId="77777777" w:rsidR="000A36B4" w:rsidRPr="000A36B4" w:rsidRDefault="000A36B4" w:rsidP="000A36B4">
      <w:pPr>
        <w:numPr>
          <w:ilvl w:val="0"/>
          <w:numId w:val="2"/>
        </w:numPr>
        <w:spacing w:after="0" w:afterAutospacing="1" w:line="240" w:lineRule="auto"/>
        <w:rPr>
          <w:rFonts w:ascii="Lato" w:eastAsia="Times New Roman" w:hAnsi="Lato" w:cs="Times New Roman"/>
          <w:color w:val="333333"/>
          <w:kern w:val="0"/>
          <w14:ligatures w14:val="none"/>
        </w:rPr>
      </w:pPr>
      <w:proofErr w:type="spellStart"/>
      <w:r w:rsidRPr="000A36B4">
        <w:rPr>
          <w:rFonts w:ascii="Lato" w:eastAsia="Times New Roman" w:hAnsi="Lato" w:cs="Times New Roman"/>
          <w:color w:val="333333"/>
          <w:kern w:val="0"/>
          <w14:ligatures w14:val="none"/>
        </w:rPr>
        <w:t>Yelpaala</w:t>
      </w:r>
      <w:proofErr w:type="spellEnd"/>
      <w:r w:rsidRPr="000A36B4">
        <w:rPr>
          <w:rFonts w:ascii="Lato" w:eastAsia="Times New Roman" w:hAnsi="Lato" w:cs="Times New Roman"/>
          <w:color w:val="333333"/>
          <w:kern w:val="0"/>
          <w14:ligatures w14:val="none"/>
        </w:rPr>
        <w:t xml:space="preserve">, K., Gibbons, M. C., Vigil, I. M., Leaño, J., McCall, T., Opara, I., Zink, A., Nunez-Smith, M., Mukherjee, B., &amp; Ranney, M. (2025). </w:t>
      </w:r>
      <w:hyperlink r:id="rId9" w:tgtFrame="_blank" w:history="1">
        <w:r w:rsidRPr="000A36B4">
          <w:rPr>
            <w:rFonts w:ascii="Lato" w:eastAsia="Times New Roman" w:hAnsi="Lato" w:cs="Times New Roman"/>
            <w:color w:val="00687F"/>
            <w:kern w:val="0"/>
            <w:u w:val="single"/>
            <w14:ligatures w14:val="none"/>
          </w:rPr>
          <w:t>The role of data in public health and health innovation: Perspectives on social determinants of health, community-based data approaches, and AI</w:t>
        </w:r>
        <w:r w:rsidRPr="000A36B4">
          <w:rPr>
            <w:rFonts w:ascii="Lato" w:eastAsia="Times New Roman" w:hAnsi="Lato" w:cs="Times New Roman"/>
            <w:color w:val="00687F"/>
            <w:kern w:val="0"/>
            <w:u w:val="single"/>
            <w:bdr w:val="none" w:sz="0" w:space="0" w:color="auto" w:frame="1"/>
            <w14:ligatures w14:val="none"/>
          </w:rPr>
          <w:t>Links to an external site.</w:t>
        </w:r>
      </w:hyperlink>
      <w:r w:rsidRPr="000A36B4">
        <w:rPr>
          <w:rFonts w:ascii="Lato" w:eastAsia="Times New Roman" w:hAnsi="Lato" w:cs="Times New Roman"/>
          <w:color w:val="333333"/>
          <w:kern w:val="0"/>
          <w14:ligatures w14:val="none"/>
        </w:rPr>
        <w:t xml:space="preserve">. </w:t>
      </w:r>
      <w:r w:rsidRPr="000A36B4">
        <w:rPr>
          <w:rFonts w:ascii="Lato" w:eastAsia="Times New Roman" w:hAnsi="Lato" w:cs="Times New Roman"/>
          <w:i/>
          <w:iCs/>
          <w:color w:val="333333"/>
          <w:kern w:val="0"/>
          <w14:ligatures w14:val="none"/>
        </w:rPr>
        <w:t>Journal of Medical Internet Research, 27</w:t>
      </w:r>
      <w:r w:rsidRPr="000A36B4">
        <w:rPr>
          <w:rFonts w:ascii="Lato" w:eastAsia="Times New Roman" w:hAnsi="Lato" w:cs="Times New Roman"/>
          <w:color w:val="333333"/>
          <w:kern w:val="0"/>
          <w14:ligatures w14:val="none"/>
        </w:rPr>
        <w:t>, e78794. https://doi.org/10.2196/78794</w:t>
      </w:r>
    </w:p>
    <w:p w14:paraId="30BDE502" w14:textId="77777777" w:rsidR="000A36B4" w:rsidRPr="000A36B4" w:rsidRDefault="000A36B4" w:rsidP="000A36B4">
      <w:pPr>
        <w:numPr>
          <w:ilvl w:val="0"/>
          <w:numId w:val="2"/>
        </w:numPr>
        <w:spacing w:after="0" w:afterAutospacing="1" w:line="240" w:lineRule="auto"/>
        <w:rPr>
          <w:rFonts w:ascii="Lato" w:eastAsia="Times New Roman" w:hAnsi="Lato" w:cs="Times New Roman"/>
          <w:color w:val="333333"/>
          <w:kern w:val="0"/>
          <w14:ligatures w14:val="none"/>
        </w:rPr>
      </w:pPr>
      <w:r w:rsidRPr="000A36B4">
        <w:rPr>
          <w:rFonts w:ascii="Lato" w:eastAsia="Times New Roman" w:hAnsi="Lato" w:cs="Times New Roman"/>
          <w:color w:val="333333"/>
          <w:kern w:val="0"/>
          <w14:ligatures w14:val="none"/>
        </w:rPr>
        <w:t xml:space="preserve">Macena, A., &amp; De Oliveira, V. E. (2022). </w:t>
      </w:r>
      <w:hyperlink r:id="rId10" w:tgtFrame="_blank" w:history="1">
        <w:r w:rsidRPr="000A36B4">
          <w:rPr>
            <w:rFonts w:ascii="Lato" w:eastAsia="Times New Roman" w:hAnsi="Lato" w:cs="Times New Roman"/>
            <w:color w:val="00687F"/>
            <w:kern w:val="0"/>
            <w:u w:val="single"/>
            <w14:ligatures w14:val="none"/>
          </w:rPr>
          <w:t>Discretion and local health policy implementation: Street-level bureaucrats and integrative and complementary therapies in Santos’ local health units</w:t>
        </w:r>
        <w:r w:rsidRPr="000A36B4">
          <w:rPr>
            <w:rFonts w:ascii="Lato" w:eastAsia="Times New Roman" w:hAnsi="Lato" w:cs="Times New Roman"/>
            <w:color w:val="00687F"/>
            <w:kern w:val="0"/>
            <w:u w:val="single"/>
            <w:bdr w:val="none" w:sz="0" w:space="0" w:color="auto" w:frame="1"/>
            <w14:ligatures w14:val="none"/>
          </w:rPr>
          <w:t>Links to an external site.</w:t>
        </w:r>
      </w:hyperlink>
      <w:r w:rsidRPr="000A36B4">
        <w:rPr>
          <w:rFonts w:ascii="Lato" w:eastAsia="Times New Roman" w:hAnsi="Lato" w:cs="Times New Roman"/>
          <w:color w:val="333333"/>
          <w:kern w:val="0"/>
          <w14:ligatures w14:val="none"/>
        </w:rPr>
        <w:t xml:space="preserve">. </w:t>
      </w:r>
      <w:r w:rsidRPr="000A36B4">
        <w:rPr>
          <w:rFonts w:ascii="Lato" w:eastAsia="Times New Roman" w:hAnsi="Lato" w:cs="Times New Roman"/>
          <w:i/>
          <w:iCs/>
          <w:color w:val="333333"/>
          <w:kern w:val="0"/>
          <w14:ligatures w14:val="none"/>
        </w:rPr>
        <w:t>Primary Health Care Research and Development, 23</w:t>
      </w:r>
      <w:r w:rsidRPr="000A36B4">
        <w:rPr>
          <w:rFonts w:ascii="Lato" w:eastAsia="Times New Roman" w:hAnsi="Lato" w:cs="Times New Roman"/>
          <w:color w:val="333333"/>
          <w:kern w:val="0"/>
          <w14:ligatures w14:val="none"/>
        </w:rPr>
        <w:t>(12). https://doi.org/10.1017/S1463423622000172</w:t>
      </w:r>
    </w:p>
    <w:p w14:paraId="5775DA00" w14:textId="77777777" w:rsidR="000A36B4" w:rsidRDefault="000A36B4" w:rsidP="000A36B4">
      <w:pPr>
        <w:pStyle w:val="NormalWeb"/>
        <w:shd w:val="clear" w:color="auto" w:fill="FFFFFF"/>
        <w:rPr>
          <w:rFonts w:ascii="Lato" w:hAnsi="Lato"/>
          <w:color w:val="273540"/>
        </w:rPr>
      </w:pPr>
    </w:p>
    <w:p w14:paraId="5310A16F" w14:textId="77777777" w:rsidR="000A36B4" w:rsidRDefault="000A36B4"/>
    <w:p w14:paraId="673DD436" w14:textId="77777777" w:rsidR="000A36B4" w:rsidRDefault="000A36B4"/>
    <w:p w14:paraId="065883B4" w14:textId="6870C0B5" w:rsidR="000A36B4" w:rsidRPr="000A36B4" w:rsidRDefault="000A36B4" w:rsidP="000A36B4">
      <w:pPr>
        <w:rPr>
          <w:rFonts w:ascii="Lato" w:hAnsi="Lato"/>
          <w:color w:val="273540"/>
          <w:shd w:val="clear" w:color="auto" w:fill="FFFFFF"/>
        </w:rPr>
      </w:pPr>
      <w:r w:rsidRPr="000A36B4">
        <w:rPr>
          <w:rStyle w:val="Strong"/>
          <w:rFonts w:ascii="Lato" w:hAnsi="Lato"/>
          <w:color w:val="273540"/>
          <w:u w:val="single"/>
        </w:rPr>
        <w:lastRenderedPageBreak/>
        <w:t>Respond</w:t>
      </w:r>
      <w:r>
        <w:rPr>
          <w:rFonts w:ascii="Lato" w:hAnsi="Lato"/>
          <w:color w:val="273540"/>
        </w:rPr>
        <w:t> to at least one of your colleagues’</w:t>
      </w:r>
      <w:r>
        <w:rPr>
          <w:rStyle w:val="Strong"/>
          <w:rFonts w:ascii="Lato" w:hAnsi="Lato"/>
          <w:color w:val="273540"/>
        </w:rPr>
        <w:t>*</w:t>
      </w:r>
      <w:r>
        <w:rPr>
          <w:rFonts w:ascii="Lato" w:hAnsi="Lato"/>
          <w:color w:val="273540"/>
        </w:rPr>
        <w:t> posts by suggesting additional opportunities or recommendations for overcoming the challenges described by your colleagues.</w:t>
      </w:r>
      <w:r>
        <w:rPr>
          <w:rFonts w:ascii="Lato" w:hAnsi="Lato"/>
          <w:color w:val="273540"/>
        </w:rPr>
        <w:t xml:space="preserve"> Provide 2 references for the response</w:t>
      </w:r>
    </w:p>
    <w:p w14:paraId="0CC13C3A" w14:textId="68E4FEFE" w:rsidR="000A36B4" w:rsidRDefault="000A36B4" w:rsidP="000A36B4">
      <w:pPr>
        <w:pStyle w:val="NormalWeb"/>
        <w:shd w:val="clear" w:color="auto" w:fill="FFFFFF"/>
        <w:rPr>
          <w:rFonts w:ascii="Lato" w:hAnsi="Lato"/>
          <w:color w:val="273540"/>
        </w:rPr>
      </w:pPr>
      <w:r>
        <w:rPr>
          <w:rFonts w:ascii="Lato" w:hAnsi="Lato"/>
          <w:color w:val="273540"/>
        </w:rPr>
        <w:t>This week includes both a discussion and an assignment. Therefore, this week is designated as a “modified workload week.” During this week, discussion requirements will be modified (e.g., only one peer response).</w:t>
      </w:r>
      <w:r>
        <w:rPr>
          <w:rStyle w:val="Emphasis"/>
          <w:rFonts w:ascii="Lato" w:hAnsi="Lato"/>
          <w:color w:val="273540"/>
        </w:rPr>
        <w:t xml:space="preserve"> </w:t>
      </w:r>
      <w:r>
        <w:rPr>
          <w:rFonts w:ascii="Lato" w:hAnsi="Lato"/>
          <w:color w:val="273540"/>
        </w:rPr>
        <w:t xml:space="preserve">Please focus on submitting a strong initial discussion post and one meaningful peer response. </w:t>
      </w:r>
      <w:r w:rsidRPr="000A36B4">
        <w:rPr>
          <w:rFonts w:ascii="Lato" w:hAnsi="Lato"/>
          <w:color w:val="273540"/>
        </w:rPr>
        <w:t>instructions</w:t>
      </w:r>
    </w:p>
    <w:p w14:paraId="11418B56" w14:textId="77777777" w:rsidR="000A36B4" w:rsidRDefault="000A36B4" w:rsidP="000A36B4">
      <w:pPr>
        <w:pStyle w:val="NormalWeb"/>
        <w:shd w:val="clear" w:color="auto" w:fill="FFFFFF"/>
        <w:rPr>
          <w:rFonts w:ascii="Lato" w:hAnsi="Lato"/>
          <w:color w:val="273540"/>
        </w:rPr>
      </w:pPr>
    </w:p>
    <w:p w14:paraId="6318192C" w14:textId="1E9274A4" w:rsidR="000A36B4" w:rsidRDefault="000A36B4" w:rsidP="000A36B4">
      <w:pPr>
        <w:pStyle w:val="NormalWeb"/>
        <w:shd w:val="clear" w:color="auto" w:fill="FFFFFF"/>
        <w:rPr>
          <w:rFonts w:ascii="Lato" w:hAnsi="Lato"/>
          <w:color w:val="273540"/>
        </w:rPr>
      </w:pPr>
      <w:r>
        <w:rPr>
          <w:rFonts w:ascii="Lato" w:hAnsi="Lato"/>
          <w:color w:val="273540"/>
        </w:rPr>
        <w:t>Respond to this article</w:t>
      </w:r>
    </w:p>
    <w:p w14:paraId="081CA6A2"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What an RN or APRN Can Do for Policymakers</w:t>
      </w:r>
    </w:p>
    <w:p w14:paraId="4E315716"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 xml:space="preserve">When it comes to providing healthcare, advocating for patients, and enhancing health outcomes, nurses are indispensable. Their roles, however, involve more than just caring for patients; they must also have a say in shaping healthcare policy. Limited access to healthcare, staffing shortages, and healthcare disparities are just a few of the issues that patients </w:t>
      </w:r>
      <w:proofErr w:type="gramStart"/>
      <w:r>
        <w:rPr>
          <w:rFonts w:ascii="Lato" w:hAnsi="Lato"/>
          <w:color w:val="273540"/>
        </w:rPr>
        <w:t>confront</w:t>
      </w:r>
      <w:proofErr w:type="gramEnd"/>
      <w:r>
        <w:rPr>
          <w:rFonts w:ascii="Lato" w:hAnsi="Lato"/>
          <w:color w:val="273540"/>
        </w:rPr>
        <w:t xml:space="preserve">, and RNs and APRNs know these challenges from personal experience. They are in a special position to </w:t>
      </w:r>
      <w:proofErr w:type="gramStart"/>
      <w:r>
        <w:rPr>
          <w:rFonts w:ascii="Lato" w:hAnsi="Lato"/>
          <w:color w:val="273540"/>
        </w:rPr>
        <w:t>impact</w:t>
      </w:r>
      <w:proofErr w:type="gramEnd"/>
      <w:r>
        <w:rPr>
          <w:rFonts w:ascii="Lato" w:hAnsi="Lato"/>
          <w:color w:val="273540"/>
        </w:rPr>
        <w:t xml:space="preserve"> policies that enhance healthcare accessibility, quality of treatment, and patient safety because of their clinical experiences. Short (2022) argues that nurses should actively engage in healthcare policymaking and lobby for community- and patient-centered healthcare systems.</w:t>
      </w:r>
    </w:p>
    <w:p w14:paraId="55E6D6B6"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Possibilities for Health Professionals to Have a Voice in Formulating Policies</w:t>
      </w:r>
    </w:p>
    <w:p w14:paraId="13C7D74A"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 xml:space="preserve">Legislative lobbying is a great way for registered nurses and advanced practice registered nurses to have a voice in shaping public policy. A nurse's voice can be heard in the halls of Congress through direct communication, attendance at congressional hearings, written testimony, and the promotion of healthcare reform legislation. To ensure a safe patient-to-nurse ratio, reduce violence in the workplace, and grant advanced practice registered nurses more autonomy in their practice, nurses might advocate for certain laws. Nurses may stay </w:t>
      </w:r>
      <w:proofErr w:type="gramStart"/>
      <w:r>
        <w:rPr>
          <w:rFonts w:ascii="Lato" w:hAnsi="Lato"/>
          <w:color w:val="273540"/>
        </w:rPr>
        <w:t>up-to-date</w:t>
      </w:r>
      <w:proofErr w:type="gramEnd"/>
      <w:r>
        <w:rPr>
          <w:rFonts w:ascii="Lato" w:hAnsi="Lato"/>
          <w:color w:val="273540"/>
        </w:rPr>
        <w:t xml:space="preserve"> on healthcare legislation proposals and identify ways to get out to their legislators through Congress.gov. Additionally, nurses are encouraged to engage in legislative lobbying by the American Nurses Association (ANA, n.d.) </w:t>
      </w:r>
      <w:proofErr w:type="gramStart"/>
      <w:r>
        <w:rPr>
          <w:rFonts w:ascii="Lato" w:hAnsi="Lato"/>
          <w:color w:val="273540"/>
        </w:rPr>
        <w:t>in order to</w:t>
      </w:r>
      <w:proofErr w:type="gramEnd"/>
      <w:r>
        <w:rPr>
          <w:rFonts w:ascii="Lato" w:hAnsi="Lato"/>
          <w:color w:val="273540"/>
        </w:rPr>
        <w:t xml:space="preserve"> shape legislation that impacts patient care and the nursing profession.</w:t>
      </w:r>
    </w:p>
    <w:p w14:paraId="749AFD2F"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 xml:space="preserve">Being a part of healthcare policy committees and professional nursing organizations is another option. Nurses may have a voice in healthcare policy, take part in advocacy efforts, and network with other industry heavyweights through organizations like the ANA and state nursing societies. Hospital advisory boards, quality improvement teams, and policy committees can all have nurses as members. If a nurse working in the emergency room wants to see less patient congestion and more uniform procedures put in place, she may lobby for better staffing policies. Healthcare issue identification, policy </w:t>
      </w:r>
      <w:r>
        <w:rPr>
          <w:rFonts w:ascii="Lato" w:hAnsi="Lato"/>
          <w:color w:val="273540"/>
        </w:rPr>
        <w:lastRenderedPageBreak/>
        <w:t>option analysis, and strategy development to enable effective policy implementation are all emphasized by the Centers for Disease Control and Prevention (CDC, 2024).</w:t>
      </w:r>
    </w:p>
    <w:p w14:paraId="78EFE2F7"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Obstacles and Their Solutions</w:t>
      </w:r>
    </w:p>
    <w:p w14:paraId="25E31757" w14:textId="77777777" w:rsidR="000A36B4" w:rsidRDefault="000A36B4" w:rsidP="000A36B4">
      <w:pPr>
        <w:pStyle w:val="NormalWeb"/>
        <w:shd w:val="clear" w:color="auto" w:fill="FFFFFF"/>
        <w:spacing w:before="180" w:beforeAutospacing="0" w:after="180" w:afterAutospacing="0"/>
        <w:rPr>
          <w:rFonts w:ascii="Lato" w:hAnsi="Lato"/>
          <w:color w:val="273540"/>
        </w:rPr>
      </w:pPr>
      <w:proofErr w:type="gramStart"/>
      <w:r>
        <w:rPr>
          <w:rFonts w:ascii="Lato" w:hAnsi="Lato"/>
          <w:color w:val="273540"/>
        </w:rPr>
        <w:t>In spite of</w:t>
      </w:r>
      <w:proofErr w:type="gramEnd"/>
      <w:r>
        <w:rPr>
          <w:rFonts w:ascii="Lato" w:hAnsi="Lato"/>
          <w:color w:val="273540"/>
        </w:rPr>
        <w:t xml:space="preserve"> these openings, nurses may still face obstacles that make it difficult for them to have an active role in shaping policy. Time constraints caused by hectic work schedules are a big obstacle. Managing multiple patients at once, working long shifts, and juggling personal and professional obligations are all challenges that many nurses face. It may be challenging to attend legislative meetings or engage in advocacy actions due to these demands. Online advocacy tools, electronic messaging to lawmakers, and virtual gatherings provide one solution to this problem. By utilizing these methods, nurses can maintain their political engagement without substantially impacting their work schedules.</w:t>
      </w:r>
    </w:p>
    <w:p w14:paraId="140336F4"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Problems arise when people do not have faith in political lobbying and do not understand the legislative process. There are some nurses who believe that politicians and healthcare executives should take the lead when it comes to setting policies. On the other hand, nurses have extensive clinical expertise that can inform policy decisions based on evidence. Learning policy analysis and how to use evidence when making healthcare decisions is something that Short (2022) stresses. Workshops on policy, professional development opportunities, and mentoring relationships with seasoned nurse leaders in healthcare advocacy can help nurses overcome this obstacle.</w:t>
      </w:r>
    </w:p>
    <w:p w14:paraId="5A5FFA04"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Methods to Increase Nurses' Involvement in Policymaking</w:t>
      </w:r>
    </w:p>
    <w:p w14:paraId="2F076151"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 xml:space="preserve">My first piece of advice would be to raise people's consciousness through </w:t>
      </w:r>
      <w:proofErr w:type="gramStart"/>
      <w:r>
        <w:rPr>
          <w:rFonts w:ascii="Lato" w:hAnsi="Lato"/>
          <w:color w:val="273540"/>
        </w:rPr>
        <w:t>nurse</w:t>
      </w:r>
      <w:proofErr w:type="gramEnd"/>
      <w:r>
        <w:rPr>
          <w:rFonts w:ascii="Lato" w:hAnsi="Lato"/>
          <w:color w:val="273540"/>
        </w:rPr>
        <w:t xml:space="preserve"> education and open dialog at work. </w:t>
      </w:r>
      <w:proofErr w:type="gramStart"/>
      <w:r>
        <w:rPr>
          <w:rFonts w:ascii="Lato" w:hAnsi="Lato"/>
          <w:color w:val="273540"/>
        </w:rPr>
        <w:t>In order to</w:t>
      </w:r>
      <w:proofErr w:type="gramEnd"/>
      <w:r>
        <w:rPr>
          <w:rFonts w:ascii="Lato" w:hAnsi="Lato"/>
          <w:color w:val="273540"/>
        </w:rPr>
        <w:t xml:space="preserve"> keep its members informed of healthcare legislation, healthcare organizations might host educational workshops, send out newsletters, and post relevant information online. To illustrate the importance of staffing, patient safety, and advanced practice registered nurse (APRN) practice authority, nurse educators could hold monthly meetings to discuss proposed legislation. The best way for nurses to get in touch with their representatives or provide testimony is to attend one of these meetings. By making information easily accessible, we can help nurses realize the power of their voices in shaping healthcare decisions.</w:t>
      </w:r>
    </w:p>
    <w:p w14:paraId="492D2F8D"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 xml:space="preserve">The second tactic is to advertise advocacy opportunities through online social networks and business-related networking events. By utilizing social media, nurses can disseminate details regarding healthcare legislation, forthcoming advocacy events, and chances to engage in policy conversations. To keep their members informed of legislative updates and to encourage them to contact their representatives, nursing organizations should utilize social media platforms like Facebook and LinkedIn as well as professional nursing groups. While protecting patient privacy, nurses could also use de-identified clinical experiences to show how healthcare policy impacts patient outcomes. If this strategy raises their profile, improves professional cooperation, and does away with apathy, more nurses may feel inspired to participate in </w:t>
      </w:r>
      <w:proofErr w:type="gramStart"/>
      <w:r>
        <w:rPr>
          <w:rFonts w:ascii="Lato" w:hAnsi="Lato"/>
          <w:color w:val="273540"/>
        </w:rPr>
        <w:t>policy-making</w:t>
      </w:r>
      <w:proofErr w:type="gramEnd"/>
      <w:r>
        <w:rPr>
          <w:rFonts w:ascii="Lato" w:hAnsi="Lato"/>
          <w:color w:val="273540"/>
        </w:rPr>
        <w:t>.</w:t>
      </w:r>
    </w:p>
    <w:p w14:paraId="658606DE"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In summary</w:t>
      </w:r>
    </w:p>
    <w:p w14:paraId="61C259E6"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lastRenderedPageBreak/>
        <w:t xml:space="preserve">Due to the wealth of knowledge they possess about patient and healthcare provider requirements gained from their clinical experiences, registered nurses and advanced practice registered nurses (APRNs) have a moral obligation to be involved in healthcare </w:t>
      </w:r>
      <w:proofErr w:type="gramStart"/>
      <w:r>
        <w:rPr>
          <w:rFonts w:ascii="Lato" w:hAnsi="Lato"/>
          <w:color w:val="273540"/>
        </w:rPr>
        <w:t>policy-making</w:t>
      </w:r>
      <w:proofErr w:type="gramEnd"/>
      <w:r>
        <w:rPr>
          <w:rFonts w:ascii="Lato" w:hAnsi="Lato"/>
          <w:color w:val="273540"/>
        </w:rPr>
        <w:t xml:space="preserve">. Nurses can make a difference in healthcare policy through legislative advocacy and membership in professional nursing organizations. Despite obstacles including busy schedules and a lack of policy understanding, they can be overcome through education, professional growth, and easily accessible lobbying venues. Legislation that expands access to healthcare, enhances patient safety, and improves nursing practice should be a part of every registered nurse's advocacy for their patients, not only at the bedside. </w:t>
      </w:r>
      <w:proofErr w:type="gramStart"/>
      <w:r>
        <w:rPr>
          <w:rFonts w:ascii="Lato" w:hAnsi="Lato"/>
          <w:color w:val="273540"/>
        </w:rPr>
        <w:t>One way</w:t>
      </w:r>
      <w:proofErr w:type="gramEnd"/>
      <w:r>
        <w:rPr>
          <w:rFonts w:ascii="Lato" w:hAnsi="Lato"/>
          <w:color w:val="273540"/>
        </w:rPr>
        <w:t xml:space="preserve"> nurses may help improve healthcare is by taking an active role in shaping policy.</w:t>
      </w:r>
    </w:p>
    <w:p w14:paraId="77FFB1EE"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References:</w:t>
      </w:r>
    </w:p>
    <w:p w14:paraId="2759EE73" w14:textId="77777777" w:rsidR="000A36B4" w:rsidRDefault="000A36B4" w:rsidP="000A36B4">
      <w:pPr>
        <w:pStyle w:val="NormalWeb"/>
        <w:shd w:val="clear" w:color="auto" w:fill="FFFFFF"/>
        <w:spacing w:before="0" w:beforeAutospacing="0" w:after="0" w:afterAutospacing="0"/>
        <w:rPr>
          <w:rFonts w:ascii="Lato" w:hAnsi="Lato"/>
          <w:color w:val="273540"/>
        </w:rPr>
      </w:pPr>
      <w:r>
        <w:rPr>
          <w:rFonts w:ascii="Lato" w:hAnsi="Lato"/>
          <w:color w:val="273540"/>
        </w:rPr>
        <w:t xml:space="preserve">Centers for Disease Control and Prevention. (2024, September 24). </w:t>
      </w:r>
      <w:r>
        <w:rPr>
          <w:rStyle w:val="Emphasis"/>
          <w:rFonts w:ascii="Lato" w:hAnsi="Lato"/>
          <w:color w:val="273540"/>
        </w:rPr>
        <w:t>CDC policy process</w:t>
      </w:r>
      <w:r>
        <w:rPr>
          <w:rFonts w:ascii="Lato" w:hAnsi="Lato"/>
          <w:color w:val="273540"/>
        </w:rPr>
        <w:t xml:space="preserve">. </w:t>
      </w:r>
      <w:hyperlink r:id="rId11" w:tgtFrame="_blank" w:history="1">
        <w:r>
          <w:rPr>
            <w:rStyle w:val="Hyperlink"/>
            <w:rFonts w:ascii="Lato" w:hAnsi="Lato"/>
            <w:color w:val="00687F"/>
          </w:rPr>
          <w:t>https://www.cdc.gov/polaris/php/cdc-policy-process/</w:t>
        </w:r>
        <w:r>
          <w:rPr>
            <w:rStyle w:val="screenreader-only"/>
            <w:rFonts w:ascii="Lato" w:hAnsi="Lato"/>
            <w:color w:val="00687F"/>
            <w:u w:val="single"/>
            <w:bdr w:val="none" w:sz="0" w:space="0" w:color="auto" w:frame="1"/>
          </w:rPr>
          <w:t>Links to an external site.</w:t>
        </w:r>
      </w:hyperlink>
    </w:p>
    <w:p w14:paraId="401D7656" w14:textId="77777777" w:rsidR="000A36B4" w:rsidRDefault="000A36B4" w:rsidP="000A36B4">
      <w:pPr>
        <w:pStyle w:val="NormalWeb"/>
        <w:shd w:val="clear" w:color="auto" w:fill="FFFFFF"/>
        <w:spacing w:before="0" w:beforeAutospacing="0" w:after="0" w:afterAutospacing="0"/>
        <w:rPr>
          <w:rFonts w:ascii="Lato" w:hAnsi="Lato"/>
          <w:color w:val="273540"/>
        </w:rPr>
      </w:pPr>
      <w:r>
        <w:rPr>
          <w:rFonts w:ascii="Lato" w:hAnsi="Lato"/>
          <w:color w:val="273540"/>
        </w:rPr>
        <w:t xml:space="preserve">Congress.gov. (n.d.). </w:t>
      </w:r>
      <w:r>
        <w:rPr>
          <w:rStyle w:val="Emphasis"/>
          <w:rFonts w:ascii="Lato" w:hAnsi="Lato"/>
          <w:color w:val="273540"/>
        </w:rPr>
        <w:t>Congress.gov</w:t>
      </w:r>
      <w:r>
        <w:rPr>
          <w:rFonts w:ascii="Lato" w:hAnsi="Lato"/>
          <w:color w:val="273540"/>
        </w:rPr>
        <w:t xml:space="preserve">. </w:t>
      </w:r>
      <w:hyperlink r:id="rId12" w:tgtFrame="_blank" w:history="1">
        <w:r>
          <w:rPr>
            <w:rStyle w:val="Hyperlink"/>
            <w:rFonts w:ascii="Lato" w:hAnsi="Lato"/>
            <w:color w:val="00687F"/>
          </w:rPr>
          <w:t>https://www.congress.gov/</w:t>
        </w:r>
        <w:r>
          <w:rPr>
            <w:rStyle w:val="screenreader-only"/>
            <w:rFonts w:ascii="Lato" w:hAnsi="Lato"/>
            <w:color w:val="00687F"/>
            <w:u w:val="single"/>
            <w:bdr w:val="none" w:sz="0" w:space="0" w:color="auto" w:frame="1"/>
          </w:rPr>
          <w:t>Links to an external site.</w:t>
        </w:r>
      </w:hyperlink>
    </w:p>
    <w:p w14:paraId="4551A2CC" w14:textId="77777777" w:rsidR="000A36B4" w:rsidRDefault="000A36B4" w:rsidP="000A36B4">
      <w:pPr>
        <w:pStyle w:val="NormalWeb"/>
        <w:shd w:val="clear" w:color="auto" w:fill="FFFFFF"/>
        <w:spacing w:before="180" w:beforeAutospacing="0" w:after="180" w:afterAutospacing="0"/>
        <w:rPr>
          <w:rFonts w:ascii="Lato" w:hAnsi="Lato"/>
          <w:color w:val="273540"/>
        </w:rPr>
      </w:pPr>
      <w:r>
        <w:rPr>
          <w:rFonts w:ascii="Lato" w:hAnsi="Lato"/>
          <w:color w:val="273540"/>
        </w:rPr>
        <w:t xml:space="preserve">Short, N. M. (2022). </w:t>
      </w:r>
      <w:r>
        <w:rPr>
          <w:rStyle w:val="Emphasis"/>
          <w:rFonts w:ascii="Lato" w:hAnsi="Lato"/>
          <w:color w:val="273540"/>
        </w:rPr>
        <w:t>Milstead's health policy and politics: A nurse's guide</w:t>
      </w:r>
      <w:r>
        <w:rPr>
          <w:rFonts w:ascii="Lato" w:hAnsi="Lato"/>
          <w:color w:val="273540"/>
        </w:rPr>
        <w:t xml:space="preserve"> (7th ed.). Jones &amp; Bartlett Learning.</w:t>
      </w:r>
    </w:p>
    <w:p w14:paraId="3045A169" w14:textId="77777777" w:rsidR="000A36B4" w:rsidRDefault="000A36B4" w:rsidP="000A36B4">
      <w:pPr>
        <w:pStyle w:val="NormalWeb"/>
        <w:shd w:val="clear" w:color="auto" w:fill="FFFFFF"/>
        <w:rPr>
          <w:rFonts w:ascii="Lato" w:hAnsi="Lato"/>
          <w:color w:val="273540"/>
        </w:rPr>
      </w:pPr>
    </w:p>
    <w:p w14:paraId="0F63B8D4" w14:textId="77777777" w:rsidR="000A36B4" w:rsidRDefault="000A36B4"/>
    <w:sectPr w:rsidR="000A3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F2B57"/>
    <w:multiLevelType w:val="multilevel"/>
    <w:tmpl w:val="DD0A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490072"/>
    <w:multiLevelType w:val="multilevel"/>
    <w:tmpl w:val="BAB0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091379">
    <w:abstractNumId w:val="1"/>
  </w:num>
  <w:num w:numId="2" w16cid:durableId="417095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B4"/>
    <w:rsid w:val="000A36B4"/>
    <w:rsid w:val="00E95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7E72"/>
  <w15:chartTrackingRefBased/>
  <w15:docId w15:val="{928486C6-6FDB-4BF2-9778-0E1A9A60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6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6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6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6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6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6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6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6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6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6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6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6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6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6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6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6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6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6B4"/>
    <w:rPr>
      <w:rFonts w:eastAsiaTheme="majorEastAsia" w:cstheme="majorBidi"/>
      <w:color w:val="272727" w:themeColor="text1" w:themeTint="D8"/>
    </w:rPr>
  </w:style>
  <w:style w:type="paragraph" w:styleId="Title">
    <w:name w:val="Title"/>
    <w:basedOn w:val="Normal"/>
    <w:next w:val="Normal"/>
    <w:link w:val="TitleChar"/>
    <w:uiPriority w:val="10"/>
    <w:qFormat/>
    <w:rsid w:val="000A36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6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6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6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6B4"/>
    <w:pPr>
      <w:spacing w:before="160"/>
      <w:jc w:val="center"/>
    </w:pPr>
    <w:rPr>
      <w:i/>
      <w:iCs/>
      <w:color w:val="404040" w:themeColor="text1" w:themeTint="BF"/>
    </w:rPr>
  </w:style>
  <w:style w:type="character" w:customStyle="1" w:styleId="QuoteChar">
    <w:name w:val="Quote Char"/>
    <w:basedOn w:val="DefaultParagraphFont"/>
    <w:link w:val="Quote"/>
    <w:uiPriority w:val="29"/>
    <w:rsid w:val="000A36B4"/>
    <w:rPr>
      <w:i/>
      <w:iCs/>
      <w:color w:val="404040" w:themeColor="text1" w:themeTint="BF"/>
    </w:rPr>
  </w:style>
  <w:style w:type="paragraph" w:styleId="ListParagraph">
    <w:name w:val="List Paragraph"/>
    <w:basedOn w:val="Normal"/>
    <w:uiPriority w:val="34"/>
    <w:qFormat/>
    <w:rsid w:val="000A36B4"/>
    <w:pPr>
      <w:ind w:left="720"/>
      <w:contextualSpacing/>
    </w:pPr>
  </w:style>
  <w:style w:type="character" w:styleId="IntenseEmphasis">
    <w:name w:val="Intense Emphasis"/>
    <w:basedOn w:val="DefaultParagraphFont"/>
    <w:uiPriority w:val="21"/>
    <w:qFormat/>
    <w:rsid w:val="000A36B4"/>
    <w:rPr>
      <w:i/>
      <w:iCs/>
      <w:color w:val="0F4761" w:themeColor="accent1" w:themeShade="BF"/>
    </w:rPr>
  </w:style>
  <w:style w:type="paragraph" w:styleId="IntenseQuote">
    <w:name w:val="Intense Quote"/>
    <w:basedOn w:val="Normal"/>
    <w:next w:val="Normal"/>
    <w:link w:val="IntenseQuoteChar"/>
    <w:uiPriority w:val="30"/>
    <w:qFormat/>
    <w:rsid w:val="000A36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6B4"/>
    <w:rPr>
      <w:i/>
      <w:iCs/>
      <w:color w:val="0F4761" w:themeColor="accent1" w:themeShade="BF"/>
    </w:rPr>
  </w:style>
  <w:style w:type="character" w:styleId="IntenseReference">
    <w:name w:val="Intense Reference"/>
    <w:basedOn w:val="DefaultParagraphFont"/>
    <w:uiPriority w:val="32"/>
    <w:qFormat/>
    <w:rsid w:val="000A36B4"/>
    <w:rPr>
      <w:b/>
      <w:bCs/>
      <w:smallCaps/>
      <w:color w:val="0F4761" w:themeColor="accent1" w:themeShade="BF"/>
      <w:spacing w:val="5"/>
    </w:rPr>
  </w:style>
  <w:style w:type="character" w:styleId="Strong">
    <w:name w:val="Strong"/>
    <w:basedOn w:val="DefaultParagraphFont"/>
    <w:uiPriority w:val="22"/>
    <w:qFormat/>
    <w:rsid w:val="000A36B4"/>
    <w:rPr>
      <w:b/>
      <w:bCs/>
    </w:rPr>
  </w:style>
  <w:style w:type="paragraph" w:styleId="NormalWeb">
    <w:name w:val="Normal (Web)"/>
    <w:basedOn w:val="Normal"/>
    <w:uiPriority w:val="99"/>
    <w:semiHidden/>
    <w:unhideWhenUsed/>
    <w:rsid w:val="000A36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A36B4"/>
    <w:rPr>
      <w:i/>
      <w:iCs/>
    </w:rPr>
  </w:style>
  <w:style w:type="character" w:styleId="Hyperlink">
    <w:name w:val="Hyperlink"/>
    <w:basedOn w:val="DefaultParagraphFont"/>
    <w:uiPriority w:val="99"/>
    <w:semiHidden/>
    <w:unhideWhenUsed/>
    <w:rsid w:val="000A36B4"/>
    <w:rPr>
      <w:color w:val="0000FF"/>
      <w:u w:val="single"/>
    </w:rPr>
  </w:style>
  <w:style w:type="character" w:customStyle="1" w:styleId="screenreader-only">
    <w:name w:val="screenreader-only"/>
    <w:basedOn w:val="DefaultParagraphFont"/>
    <w:rsid w:val="000A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polaris/php/cdc-policy-proces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search.ebsco.com/linkprocessor/plink?id=78a8b041-1cab-32bc-90e1-440c3e59d2d5" TargetMode="External"/><Relationship Id="rId12" Type="http://schemas.openxmlformats.org/officeDocument/2006/relationships/hyperlink" Target="https://www.congres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gress.gov/" TargetMode="External"/><Relationship Id="rId11" Type="http://schemas.openxmlformats.org/officeDocument/2006/relationships/hyperlink" Target="https://www.cdc.gov/polaris/php/cdc-policy-process/" TargetMode="External"/><Relationship Id="rId5" Type="http://schemas.openxmlformats.org/officeDocument/2006/relationships/hyperlink" Target="https://www.nursingworld.org/practice-policy/advocacy/" TargetMode="External"/><Relationship Id="rId10" Type="http://schemas.openxmlformats.org/officeDocument/2006/relationships/hyperlink" Target="https://research.ebsco.com/linkprocessor/plink?id=6df11f73-3713-3ba1-a822-95b3d835d9a5" TargetMode="External"/><Relationship Id="rId4" Type="http://schemas.openxmlformats.org/officeDocument/2006/relationships/webSettings" Target="webSettings.xml"/><Relationship Id="rId9" Type="http://schemas.openxmlformats.org/officeDocument/2006/relationships/hyperlink" Target="https://research.ebsco.com/linkprocessor/plink?id=2422e18b-7470-39c2-9b3c-5980e171589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1506</Words>
  <Characters>8588</Characters>
  <Application>Microsoft Office Word</Application>
  <DocSecurity>0</DocSecurity>
  <Lines>71</Lines>
  <Paragraphs>20</Paragraphs>
  <ScaleCrop>false</ScaleCrop>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aanuoluwapo.ayandipe-W209506006</dc:creator>
  <cp:keywords/>
  <dc:description/>
  <cp:lastModifiedBy>aanuoluwapo.ayandipe-W209506006</cp:lastModifiedBy>
  <cp:revision>1</cp:revision>
  <dcterms:created xsi:type="dcterms:W3CDTF">2026-10-20T22:51:00Z</dcterms:created>
  <dcterms:modified xsi:type="dcterms:W3CDTF">2026-10-20T23:01:00Z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63a92030-f6d4-411e-9c02-744e02965075</vt:lpwstr>
  </property>
</Properties>
</file>