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C82793" w14:textId="3338A1DF" w:rsidR="007F07C1" w:rsidRPr="007F07C1" w:rsidRDefault="007F07C1">
      <w:pPr>
        <w:rPr>
          <w:rFonts w:ascii="Times New Roman" w:hAnsi="Times New Roman" w:cs="Times New Roman"/>
          <w:color w:val="FF0000"/>
          <w:sz w:val="32"/>
          <w:szCs w:val="24"/>
        </w:rPr>
      </w:pPr>
      <w:r w:rsidRPr="007F07C1">
        <w:rPr>
          <w:rFonts w:ascii="Times New Roman" w:hAnsi="Times New Roman" w:cs="Times New Roman"/>
          <w:color w:val="FF0000"/>
          <w:sz w:val="32"/>
          <w:szCs w:val="24"/>
        </w:rPr>
        <w:t>Please must read all the instruction below!!! Is supper clear and detail. Please!!!</w:t>
      </w:r>
      <w:r w:rsidR="00755EE2" w:rsidRPr="007F07C1">
        <w:rPr>
          <w:rFonts w:ascii="Times New Roman" w:hAnsi="Times New Roman" w:cs="Times New Roman"/>
          <w:color w:val="FF0000"/>
          <w:sz w:val="32"/>
          <w:szCs w:val="24"/>
        </w:rPr>
        <w:t xml:space="preserve"> </w:t>
      </w:r>
      <w:r w:rsidR="00383244">
        <w:rPr>
          <w:rFonts w:ascii="Times New Roman" w:hAnsi="Times New Roman" w:cs="Times New Roman"/>
          <w:color w:val="FF0000"/>
          <w:sz w:val="32"/>
          <w:szCs w:val="24"/>
        </w:rPr>
        <w:t xml:space="preserve"> 5 page.</w:t>
      </w:r>
      <w:bookmarkStart w:id="0" w:name="_GoBack"/>
      <w:bookmarkEnd w:id="0"/>
    </w:p>
    <w:p w14:paraId="17D60252" w14:textId="3355A7C0" w:rsidR="00755EE2" w:rsidRPr="00755EE2" w:rsidRDefault="00755EE2">
      <w:pPr>
        <w:rPr>
          <w:rFonts w:ascii="Times New Roman" w:hAnsi="Times New Roman" w:cs="Times New Roman"/>
          <w:sz w:val="24"/>
          <w:szCs w:val="24"/>
        </w:rPr>
      </w:pPr>
      <w:r w:rsidRPr="00660C90">
        <w:rPr>
          <w:rFonts w:ascii="Times New Roman" w:hAnsi="Times New Roman" w:cs="Times New Roman"/>
          <w:color w:val="FF0000"/>
          <w:sz w:val="24"/>
          <w:szCs w:val="24"/>
        </w:rPr>
        <w:t>Choose one of the Unit 1 readings</w:t>
      </w:r>
      <w:r w:rsidR="00660C90">
        <w:rPr>
          <w:rFonts w:ascii="Times New Roman" w:hAnsi="Times New Roman" w:cs="Times New Roman"/>
          <w:color w:val="FF0000"/>
          <w:sz w:val="24"/>
          <w:szCs w:val="24"/>
        </w:rPr>
        <w:t xml:space="preserve"> </w:t>
      </w:r>
      <w:proofErr w:type="gramStart"/>
      <w:r w:rsidR="00660C90">
        <w:rPr>
          <w:rFonts w:ascii="Times New Roman" w:hAnsi="Times New Roman" w:cs="Times New Roman"/>
          <w:color w:val="FF0000"/>
          <w:sz w:val="24"/>
          <w:szCs w:val="24"/>
        </w:rPr>
        <w:t>( All</w:t>
      </w:r>
      <w:proofErr w:type="gramEnd"/>
      <w:r w:rsidR="00660C90">
        <w:rPr>
          <w:rFonts w:ascii="Times New Roman" w:hAnsi="Times New Roman" w:cs="Times New Roman"/>
          <w:color w:val="FF0000"/>
          <w:sz w:val="24"/>
          <w:szCs w:val="24"/>
        </w:rPr>
        <w:t xml:space="preserve"> the reading below in the reading list are Unit 1 reading.) </w:t>
      </w:r>
      <w:r w:rsidRPr="00660C90">
        <w:rPr>
          <w:rFonts w:ascii="Times New Roman" w:hAnsi="Times New Roman" w:cs="Times New Roman"/>
          <w:color w:val="FF0000"/>
          <w:sz w:val="24"/>
          <w:szCs w:val="24"/>
        </w:rPr>
        <w:t xml:space="preserve"> and accomplish the following</w:t>
      </w:r>
      <w:r w:rsidRPr="00755EE2">
        <w:rPr>
          <w:rFonts w:ascii="Times New Roman" w:hAnsi="Times New Roman" w:cs="Times New Roman"/>
          <w:sz w:val="24"/>
          <w:szCs w:val="24"/>
        </w:rPr>
        <w:t>: 1) Analyze your chosen argument; 2) Suggest a gap in the author’s presentation of the issue; and 3) Make the move to add to the conversation on the topic.</w:t>
      </w:r>
    </w:p>
    <w:p w14:paraId="611FF07F" w14:textId="1E5FAB70" w:rsidR="00755EE2" w:rsidRDefault="00755EE2">
      <w:pPr>
        <w:rPr>
          <w:rFonts w:ascii="Times New Roman" w:hAnsi="Times New Roman" w:cs="Times New Roman"/>
          <w:sz w:val="24"/>
          <w:szCs w:val="24"/>
        </w:rPr>
      </w:pPr>
      <w:r w:rsidRPr="00755EE2">
        <w:rPr>
          <w:rFonts w:ascii="Times New Roman" w:hAnsi="Times New Roman" w:cs="Times New Roman"/>
          <w:sz w:val="24"/>
          <w:szCs w:val="24"/>
        </w:rPr>
        <w:t xml:space="preserve">Your argument should offer some analysis about the validity (or lack thereof) of the writer’s claim, should provide solid reasoning and text-based evidence for your ideas, and should say something about what you hope your paper will contribute to the larger academic conversation. The paper should be able to be understood without prior knowledge of the class readings; it should include a summary of the main argument your chosen writer makes, as well as summarize information, as needed, from the larger conversation in order to support (or complicate) your claim, as well as anticipate opposing positions. Note that your assessment might not be all pro or all contra—there may be aspects of the writer’s claim that you may agree with, and aspects that you will wish to counter. When assessing the writer’s ideas, you may draw from any of the videos and essays we have discussed in </w:t>
      </w:r>
      <w:proofErr w:type="gramStart"/>
      <w:r w:rsidRPr="00755EE2">
        <w:rPr>
          <w:rFonts w:ascii="Times New Roman" w:hAnsi="Times New Roman" w:cs="Times New Roman"/>
          <w:sz w:val="24"/>
          <w:szCs w:val="24"/>
        </w:rPr>
        <w:t>class</w:t>
      </w:r>
      <w:proofErr w:type="gramEnd"/>
      <w:r w:rsidRPr="00755EE2">
        <w:rPr>
          <w:rFonts w:ascii="Times New Roman" w:hAnsi="Times New Roman" w:cs="Times New Roman"/>
          <w:sz w:val="24"/>
          <w:szCs w:val="24"/>
        </w:rPr>
        <w:t xml:space="preserve"> but </w:t>
      </w:r>
      <w:r w:rsidRPr="00755EE2">
        <w:rPr>
          <w:rFonts w:ascii="Times New Roman" w:hAnsi="Times New Roman" w:cs="Times New Roman"/>
          <w:color w:val="FF0000"/>
          <w:sz w:val="24"/>
          <w:szCs w:val="24"/>
        </w:rPr>
        <w:t>you may not draw on outside sources</w:t>
      </w:r>
      <w:r w:rsidRPr="00755EE2">
        <w:rPr>
          <w:rFonts w:ascii="Times New Roman" w:hAnsi="Times New Roman" w:cs="Times New Roman"/>
          <w:sz w:val="24"/>
          <w:szCs w:val="24"/>
        </w:rPr>
        <w:t xml:space="preserve">. </w:t>
      </w:r>
      <w:r w:rsidRPr="00660C90">
        <w:rPr>
          <w:rFonts w:ascii="Times New Roman" w:hAnsi="Times New Roman" w:cs="Times New Roman"/>
          <w:color w:val="FF0000"/>
          <w:sz w:val="24"/>
          <w:szCs w:val="24"/>
        </w:rPr>
        <w:t>Using at least one other source from Unit 1 is required</w:t>
      </w:r>
      <w:r w:rsidRPr="00755EE2">
        <w:rPr>
          <w:rFonts w:ascii="Times New Roman" w:hAnsi="Times New Roman" w:cs="Times New Roman"/>
          <w:sz w:val="24"/>
          <w:szCs w:val="24"/>
        </w:rPr>
        <w:t>.</w:t>
      </w:r>
    </w:p>
    <w:p w14:paraId="5740B7DC" w14:textId="77777777" w:rsidR="00755EE2" w:rsidRPr="00755EE2" w:rsidRDefault="00755EE2">
      <w:pPr>
        <w:rPr>
          <w:rFonts w:ascii="Times New Roman" w:hAnsi="Times New Roman" w:cs="Times New Roman"/>
          <w:sz w:val="24"/>
          <w:szCs w:val="24"/>
        </w:rPr>
      </w:pPr>
    </w:p>
    <w:p w14:paraId="3C82AEDC" w14:textId="0EAA9013" w:rsidR="00713991" w:rsidRDefault="00755EE2" w:rsidP="00755EE2">
      <w:pPr>
        <w:ind w:firstLine="420"/>
        <w:rPr>
          <w:rFonts w:ascii="Times New Roman" w:hAnsi="Times New Roman" w:cs="Times New Roman"/>
          <w:sz w:val="24"/>
          <w:szCs w:val="24"/>
        </w:rPr>
      </w:pPr>
      <w:r w:rsidRPr="00755EE2">
        <w:rPr>
          <w:rFonts w:ascii="Times New Roman" w:hAnsi="Times New Roman" w:cs="Times New Roman"/>
          <w:sz w:val="24"/>
          <w:szCs w:val="24"/>
        </w:rPr>
        <w:t xml:space="preserve">To do this, think through the prompt carefully, explore the questions it offers, and make decisions about how you’ll focus your analysis. Your introduction should emerge from a debatable question you plan to explore and should contextualize the claim you want to make. Be sure to write your introduction in such a way that your guiding question and claim are easy for the reader to find. Work to create an introduction that is focused and specific. Your introduction itself should be no more than one page. </w:t>
      </w:r>
    </w:p>
    <w:p w14:paraId="4065D9C2" w14:textId="77777777" w:rsidR="00755EE2" w:rsidRPr="00755EE2" w:rsidRDefault="00755EE2" w:rsidP="00755EE2">
      <w:pPr>
        <w:ind w:firstLine="420"/>
        <w:rPr>
          <w:rFonts w:ascii="Times New Roman" w:hAnsi="Times New Roman" w:cs="Times New Roman"/>
          <w:sz w:val="24"/>
          <w:szCs w:val="24"/>
        </w:rPr>
      </w:pPr>
    </w:p>
    <w:p w14:paraId="1BCACEFA" w14:textId="77777777" w:rsidR="00755EE2" w:rsidRDefault="00755EE2" w:rsidP="00755EE2">
      <w:pPr>
        <w:ind w:firstLine="420"/>
        <w:rPr>
          <w:rFonts w:ascii="Times New Roman" w:hAnsi="Times New Roman" w:cs="Times New Roman"/>
          <w:sz w:val="24"/>
          <w:szCs w:val="24"/>
        </w:rPr>
      </w:pPr>
      <w:r w:rsidRPr="00755EE2">
        <w:rPr>
          <w:rFonts w:ascii="Times New Roman" w:hAnsi="Times New Roman" w:cs="Times New Roman"/>
          <w:sz w:val="24"/>
          <w:szCs w:val="24"/>
        </w:rPr>
        <w:t xml:space="preserve">Potential questions your paper might explore include, but are not limited to, the following: What is the purpose of education? More specifically, what are the goals of public education and universities? Have they evolved over time? Do they need to continue to change? Do we go to school to gain a set of skills that are directly transferable to a job? Or should a broad, liberal arts education be valued in its own right? Should universities prioritize career training and job placement over other educational goals, or should they specifically resist this approach? How should we make choices about work, </w:t>
      </w:r>
      <w:proofErr w:type="gramStart"/>
      <w:r w:rsidRPr="00755EE2">
        <w:rPr>
          <w:rFonts w:ascii="Times New Roman" w:hAnsi="Times New Roman" w:cs="Times New Roman"/>
          <w:sz w:val="24"/>
          <w:szCs w:val="24"/>
        </w:rPr>
        <w:t>in particular choosing</w:t>
      </w:r>
      <w:proofErr w:type="gramEnd"/>
      <w:r w:rsidRPr="00755EE2">
        <w:rPr>
          <w:rFonts w:ascii="Times New Roman" w:hAnsi="Times New Roman" w:cs="Times New Roman"/>
          <w:sz w:val="24"/>
          <w:szCs w:val="24"/>
        </w:rPr>
        <w:t xml:space="preserve"> what to do for work? How should we make choices about educational pursuits? When and how should we value happiness as we think about our educational and professional choices? How do our choices relate to satisfaction over the course of our lives? </w:t>
      </w:r>
    </w:p>
    <w:p w14:paraId="2938A6DC" w14:textId="4E731114" w:rsidR="00755EE2" w:rsidRDefault="00755EE2" w:rsidP="00755EE2">
      <w:pPr>
        <w:ind w:firstLine="420"/>
        <w:rPr>
          <w:rFonts w:ascii="Times New Roman" w:hAnsi="Times New Roman" w:cs="Times New Roman"/>
          <w:sz w:val="24"/>
          <w:szCs w:val="24"/>
        </w:rPr>
      </w:pPr>
      <w:r w:rsidRPr="00755EE2">
        <w:rPr>
          <w:rFonts w:ascii="Times New Roman" w:hAnsi="Times New Roman" w:cs="Times New Roman"/>
          <w:sz w:val="24"/>
          <w:szCs w:val="24"/>
        </w:rPr>
        <w:t xml:space="preserve">When outlining your paper, you may want to consider how to answer SOME of the following questions: What is the writer’s claim? What questions does the writer seem to be interested in even if the argument does not definitely answer them? What does the writer NOT </w:t>
      </w:r>
      <w:proofErr w:type="gramStart"/>
      <w:r w:rsidRPr="00755EE2">
        <w:rPr>
          <w:rFonts w:ascii="Times New Roman" w:hAnsi="Times New Roman" w:cs="Times New Roman"/>
          <w:sz w:val="24"/>
          <w:szCs w:val="24"/>
        </w:rPr>
        <w:t>take into account</w:t>
      </w:r>
      <w:proofErr w:type="gramEnd"/>
      <w:r w:rsidRPr="00755EE2">
        <w:rPr>
          <w:rFonts w:ascii="Times New Roman" w:hAnsi="Times New Roman" w:cs="Times New Roman"/>
          <w:sz w:val="24"/>
          <w:szCs w:val="24"/>
        </w:rPr>
        <w:t xml:space="preserve"> that you think is important? How might the other authors we have read shed light on or complicate the argument you have chosen to analyze? </w:t>
      </w:r>
      <w:r w:rsidRPr="00755EE2">
        <w:rPr>
          <w:rFonts w:ascii="Times New Roman" w:hAnsi="Times New Roman" w:cs="Times New Roman"/>
          <w:sz w:val="24"/>
          <w:szCs w:val="24"/>
        </w:rPr>
        <w:lastRenderedPageBreak/>
        <w:t xml:space="preserve">How do the questions they raise contribute to your understanding of the essay you have chosen? What question do you hope your analysis will answer? Why is this </w:t>
      </w:r>
      <w:proofErr w:type="gramStart"/>
      <w:r w:rsidRPr="00755EE2">
        <w:rPr>
          <w:rFonts w:ascii="Times New Roman" w:hAnsi="Times New Roman" w:cs="Times New Roman"/>
          <w:sz w:val="24"/>
          <w:szCs w:val="24"/>
        </w:rPr>
        <w:t>particular question</w:t>
      </w:r>
      <w:proofErr w:type="gramEnd"/>
      <w:r w:rsidRPr="00755EE2">
        <w:rPr>
          <w:rFonts w:ascii="Times New Roman" w:hAnsi="Times New Roman" w:cs="Times New Roman"/>
          <w:sz w:val="24"/>
          <w:szCs w:val="24"/>
        </w:rPr>
        <w:t xml:space="preserve"> important for us to think about?</w:t>
      </w:r>
    </w:p>
    <w:p w14:paraId="4B2D9668" w14:textId="2EEFF244" w:rsidR="00755EE2" w:rsidRDefault="00755EE2" w:rsidP="00755EE2">
      <w:pPr>
        <w:rPr>
          <w:rFonts w:ascii="Times New Roman" w:hAnsi="Times New Roman" w:cs="Times New Roman"/>
          <w:sz w:val="24"/>
          <w:szCs w:val="24"/>
        </w:rPr>
      </w:pPr>
    </w:p>
    <w:p w14:paraId="462DF66A" w14:textId="3DBB638C" w:rsidR="00755EE2" w:rsidRPr="007F07C1" w:rsidRDefault="00755EE2" w:rsidP="00755EE2">
      <w:pPr>
        <w:rPr>
          <w:rFonts w:ascii="Times New Roman" w:hAnsi="Times New Roman" w:cs="Times New Roman"/>
          <w:color w:val="FF0000"/>
          <w:sz w:val="24"/>
          <w:szCs w:val="24"/>
        </w:rPr>
      </w:pPr>
      <w:r w:rsidRPr="007F07C1">
        <w:rPr>
          <w:rFonts w:ascii="Times New Roman" w:hAnsi="Times New Roman" w:cs="Times New Roman" w:hint="eastAsia"/>
          <w:color w:val="FF0000"/>
          <w:sz w:val="24"/>
          <w:szCs w:val="24"/>
        </w:rPr>
        <w:t>R</w:t>
      </w:r>
      <w:r w:rsidRPr="007F07C1">
        <w:rPr>
          <w:rFonts w:ascii="Times New Roman" w:hAnsi="Times New Roman" w:cs="Times New Roman"/>
          <w:color w:val="FF0000"/>
          <w:sz w:val="24"/>
          <w:szCs w:val="24"/>
        </w:rPr>
        <w:t>eading List:</w:t>
      </w:r>
    </w:p>
    <w:p w14:paraId="13D2EC6E" w14:textId="0B936833" w:rsidR="00755EE2" w:rsidRDefault="00755EE2" w:rsidP="007F07C1">
      <w:pPr>
        <w:spacing w:line="360" w:lineRule="auto"/>
        <w:rPr>
          <w:rFonts w:ascii="Times New Roman" w:hAnsi="Times New Roman" w:cs="Times New Roman"/>
          <w:sz w:val="24"/>
          <w:szCs w:val="24"/>
        </w:rPr>
      </w:pPr>
      <w:r>
        <w:rPr>
          <w:rFonts w:ascii="Times New Roman" w:hAnsi="Times New Roman" w:cs="Times New Roman"/>
          <w:sz w:val="24"/>
          <w:szCs w:val="24"/>
        </w:rPr>
        <w:t>1.</w:t>
      </w:r>
      <w:r w:rsidRPr="00755EE2">
        <w:rPr>
          <w:rFonts w:ascii="Times New Roman" w:hAnsi="Times New Roman" w:cs="Times New Roman"/>
          <w:sz w:val="24"/>
          <w:szCs w:val="24"/>
        </w:rPr>
        <w:t>John Dewey, “Labor and Leisure”</w:t>
      </w:r>
    </w:p>
    <w:p w14:paraId="1A1AC2CF" w14:textId="7784695D" w:rsidR="00755EE2" w:rsidRPr="00755EE2" w:rsidRDefault="00755EE2" w:rsidP="007F07C1">
      <w:pPr>
        <w:spacing w:line="360" w:lineRule="auto"/>
        <w:rPr>
          <w:rFonts w:ascii="Times New Roman" w:hAnsi="Times New Roman" w:cs="Times New Roman"/>
          <w:sz w:val="24"/>
          <w:szCs w:val="24"/>
        </w:rPr>
      </w:pPr>
      <w:r>
        <w:rPr>
          <w:rFonts w:ascii="Times New Roman" w:hAnsi="Times New Roman" w:cs="Times New Roman"/>
          <w:sz w:val="24"/>
          <w:szCs w:val="24"/>
        </w:rPr>
        <w:t>2.</w:t>
      </w:r>
      <w:r w:rsidRPr="00755EE2">
        <w:rPr>
          <w:rFonts w:ascii="Times New Roman" w:hAnsi="Times New Roman" w:cs="Times New Roman"/>
          <w:sz w:val="24"/>
          <w:szCs w:val="24"/>
        </w:rPr>
        <w:t>Adam Smith Wealth of Nations Selections</w:t>
      </w:r>
    </w:p>
    <w:p w14:paraId="2B45D390" w14:textId="5F64A886" w:rsidR="00755EE2" w:rsidRDefault="00755EE2" w:rsidP="007F07C1">
      <w:pPr>
        <w:tabs>
          <w:tab w:val="left" w:pos="3387"/>
        </w:tabs>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rPr>
        <w:t>3.</w:t>
      </w:r>
      <w:r w:rsidRPr="00755EE2">
        <w:rPr>
          <w:rFonts w:ascii="Times New Roman" w:hAnsi="Times New Roman" w:cs="Times New Roman"/>
          <w:sz w:val="24"/>
          <w:szCs w:val="24"/>
        </w:rPr>
        <w:t xml:space="preserve">Nicholaos </w:t>
      </w:r>
      <w:proofErr w:type="spellStart"/>
      <w:r w:rsidRPr="00755EE2">
        <w:rPr>
          <w:rFonts w:ascii="Times New Roman" w:hAnsi="Times New Roman" w:cs="Times New Roman"/>
          <w:sz w:val="24"/>
          <w:szCs w:val="24"/>
        </w:rPr>
        <w:t>Jone</w:t>
      </w:r>
      <w:proofErr w:type="spellEnd"/>
      <w:r w:rsidRPr="00755EE2">
        <w:rPr>
          <w:rFonts w:ascii="Times New Roman" w:hAnsi="Times New Roman" w:cs="Times New Roman"/>
          <w:sz w:val="24"/>
          <w:szCs w:val="24"/>
        </w:rPr>
        <w:t xml:space="preserve">, </w:t>
      </w:r>
      <w:r w:rsidRPr="00755EE2">
        <w:rPr>
          <w:rFonts w:ascii="Times New Roman" w:hAnsi="Times New Roman" w:cs="Times New Roman"/>
          <w:sz w:val="24"/>
          <w:szCs w:val="24"/>
          <w:shd w:val="clear" w:color="auto" w:fill="FFFFFF"/>
        </w:rPr>
        <w:t>Liberal Arts</w:t>
      </w:r>
      <w:r>
        <w:rPr>
          <w:rFonts w:ascii="Times New Roman" w:hAnsi="Times New Roman" w:cs="Times New Roman"/>
          <w:sz w:val="24"/>
          <w:szCs w:val="24"/>
          <w:shd w:val="clear" w:color="auto" w:fill="FFFFFF"/>
        </w:rPr>
        <w:t xml:space="preserve"> ( </w:t>
      </w:r>
      <w:hyperlink r:id="rId4" w:history="1">
        <w:r>
          <w:rPr>
            <w:rStyle w:val="Hyperlink"/>
          </w:rPr>
          <w:t>https://www.academia.edu/2454947/Liberal_Arts_and_the_Advantages_of_Being_Useless</w:t>
        </w:r>
      </w:hyperlink>
      <w:r>
        <w:t>)</w:t>
      </w:r>
    </w:p>
    <w:p w14:paraId="0641DD64" w14:textId="6824B65B" w:rsidR="00755EE2" w:rsidRDefault="00755EE2" w:rsidP="007F07C1">
      <w:pPr>
        <w:spacing w:line="360" w:lineRule="auto"/>
      </w:pPr>
      <w:r>
        <w:rPr>
          <w:rFonts w:ascii="Times New Roman" w:hAnsi="Times New Roman" w:cs="Times New Roman"/>
          <w:bCs/>
          <w:sz w:val="24"/>
          <w:szCs w:val="24"/>
          <w:shd w:val="clear" w:color="auto" w:fill="FFFFFF"/>
        </w:rPr>
        <w:t>4.</w:t>
      </w:r>
      <w:r w:rsidRPr="00755EE2">
        <w:rPr>
          <w:rFonts w:ascii="Times New Roman" w:hAnsi="Times New Roman" w:cs="Times New Roman" w:hint="eastAsia"/>
          <w:bCs/>
          <w:sz w:val="24"/>
          <w:szCs w:val="24"/>
          <w:shd w:val="clear" w:color="auto" w:fill="FFFFFF"/>
        </w:rPr>
        <w:t>P</w:t>
      </w:r>
      <w:r w:rsidRPr="00755EE2">
        <w:rPr>
          <w:rFonts w:ascii="Times New Roman" w:hAnsi="Times New Roman" w:cs="Times New Roman"/>
          <w:bCs/>
          <w:sz w:val="24"/>
          <w:szCs w:val="24"/>
          <w:shd w:val="clear" w:color="auto" w:fill="FFFFFF"/>
        </w:rPr>
        <w:t>ew Research Center, The Rising Cost of Not Going to College</w:t>
      </w:r>
      <w:r>
        <w:rPr>
          <w:rFonts w:ascii="Times New Roman" w:hAnsi="Times New Roman" w:cs="Times New Roman"/>
          <w:bCs/>
          <w:sz w:val="24"/>
          <w:szCs w:val="24"/>
          <w:shd w:val="clear" w:color="auto" w:fill="FFFFFF"/>
        </w:rPr>
        <w:t xml:space="preserve"> ( </w:t>
      </w:r>
      <w:hyperlink r:id="rId5" w:history="1">
        <w:r>
          <w:rPr>
            <w:rStyle w:val="Hyperlink"/>
          </w:rPr>
          <w:t>https://www.pewsocialtrends.org/2014/02/11/the-rising-cost-of-not-going-to-college/</w:t>
        </w:r>
      </w:hyperlink>
      <w:r>
        <w:t>)</w:t>
      </w:r>
    </w:p>
    <w:p w14:paraId="1ADE1113" w14:textId="0F24702A" w:rsidR="00755EE2" w:rsidRDefault="00755EE2" w:rsidP="007F07C1">
      <w:pPr>
        <w:spacing w:line="360" w:lineRule="auto"/>
      </w:pPr>
      <w:r>
        <w:t>5.</w:t>
      </w:r>
      <w:r w:rsidRPr="00755EE2">
        <w:t>Wallace, David Foster. “This is Water.</w:t>
      </w:r>
    </w:p>
    <w:p w14:paraId="5DE3DC74" w14:textId="01C62EF2" w:rsidR="00755EE2" w:rsidRDefault="00755EE2" w:rsidP="007F07C1">
      <w:pPr>
        <w:spacing w:line="360" w:lineRule="auto"/>
        <w:rPr>
          <w:b/>
          <w:bCs/>
        </w:rPr>
      </w:pPr>
      <w:r>
        <w:rPr>
          <w:rFonts w:hint="eastAsia"/>
        </w:rPr>
        <w:t>6</w:t>
      </w:r>
      <w:r>
        <w:t>.</w:t>
      </w:r>
      <w:r w:rsidRPr="00755EE2">
        <w:rPr>
          <w:rFonts w:ascii="Bodoni MT" w:hAnsi="Bodoni MT"/>
          <w:b/>
          <w:bCs/>
          <w:color w:val="2A2A2A"/>
          <w:sz w:val="74"/>
          <w:szCs w:val="74"/>
        </w:rPr>
        <w:t xml:space="preserve"> </w:t>
      </w:r>
      <w:r w:rsidRPr="00755EE2">
        <w:rPr>
          <w:b/>
          <w:bCs/>
        </w:rPr>
        <w:t>We don’t need more humanities majors</w:t>
      </w:r>
      <w:r>
        <w:rPr>
          <w:b/>
          <w:bCs/>
        </w:rPr>
        <w:t xml:space="preserve"> (</w:t>
      </w:r>
      <w:hyperlink r:id="rId6" w:history="1">
        <w:r>
          <w:rPr>
            <w:rStyle w:val="Hyperlink"/>
          </w:rPr>
          <w:t>https://www.washingtonpost.com/news/innovations/wp/2013/07/30/we-dont-need-more-humanities-majors/?utm_term=.dd9b832af784</w:t>
        </w:r>
      </w:hyperlink>
      <w:r>
        <w:t>)</w:t>
      </w:r>
    </w:p>
    <w:p w14:paraId="31F931DA" w14:textId="3FFA3569" w:rsidR="007F07C1" w:rsidRPr="007F07C1" w:rsidRDefault="00755EE2" w:rsidP="007F07C1">
      <w:pPr>
        <w:spacing w:line="360" w:lineRule="auto"/>
      </w:pPr>
      <w:r>
        <w:rPr>
          <w:rFonts w:hint="eastAsia"/>
          <w:b/>
          <w:bCs/>
        </w:rPr>
        <w:t>7</w:t>
      </w:r>
      <w:r>
        <w:rPr>
          <w:b/>
          <w:bCs/>
        </w:rPr>
        <w:t>.</w:t>
      </w:r>
      <w:r w:rsidR="007F07C1" w:rsidRPr="007F07C1">
        <w:rPr>
          <w:rFonts w:ascii="Arial" w:hAnsi="Arial" w:cs="Arial"/>
          <w:b/>
          <w:bCs/>
          <w:color w:val="615E5A"/>
          <w:sz w:val="50"/>
          <w:szCs w:val="50"/>
        </w:rPr>
        <w:t xml:space="preserve"> </w:t>
      </w:r>
      <w:r w:rsidR="007F07C1" w:rsidRPr="007F07C1">
        <w:t>Self-Fashioning in Society and Solitude</w:t>
      </w:r>
    </w:p>
    <w:p w14:paraId="3DB29F1B" w14:textId="77777777" w:rsidR="007F07C1" w:rsidRPr="001400E0" w:rsidRDefault="007F07C1" w:rsidP="007F07C1">
      <w:pPr>
        <w:widowControl/>
        <w:spacing w:line="360" w:lineRule="auto"/>
        <w:jc w:val="left"/>
        <w:rPr>
          <w:rFonts w:ascii="宋体" w:eastAsia="宋体" w:hAnsi="宋体" w:cs="宋体"/>
          <w:kern w:val="0"/>
          <w:sz w:val="24"/>
        </w:rPr>
      </w:pPr>
      <w:r>
        <w:rPr>
          <w:b/>
          <w:bCs/>
        </w:rPr>
        <w:t xml:space="preserve"> </w:t>
      </w:r>
      <w:hyperlink r:id="rId7" w:history="1">
        <w:r w:rsidRPr="001400E0">
          <w:rPr>
            <w:rFonts w:ascii="宋体" w:eastAsia="宋体" w:hAnsi="宋体" w:cs="宋体"/>
            <w:color w:val="0000FF"/>
            <w:kern w:val="0"/>
            <w:sz w:val="24"/>
            <w:u w:val="single"/>
          </w:rPr>
          <w:t>http://harvardmagazine.com/2013/09/self-fashioning-in-society-and-solitude</w:t>
        </w:r>
      </w:hyperlink>
    </w:p>
    <w:p w14:paraId="4EF30F4F" w14:textId="3573FBAB" w:rsidR="00755EE2" w:rsidRPr="007F07C1" w:rsidRDefault="00755EE2" w:rsidP="00755EE2"/>
    <w:sectPr w:rsidR="00755EE2" w:rsidRPr="007F07C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Bodoni MT">
    <w:panose1 w:val="020706030806060202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EE2"/>
    <w:rsid w:val="00026F4D"/>
    <w:rsid w:val="00383244"/>
    <w:rsid w:val="00392D6A"/>
    <w:rsid w:val="0041297E"/>
    <w:rsid w:val="0042554E"/>
    <w:rsid w:val="0043624E"/>
    <w:rsid w:val="004C47E5"/>
    <w:rsid w:val="00556C7E"/>
    <w:rsid w:val="005F0724"/>
    <w:rsid w:val="00660C90"/>
    <w:rsid w:val="007474CE"/>
    <w:rsid w:val="00755EE2"/>
    <w:rsid w:val="007B3015"/>
    <w:rsid w:val="007F07C1"/>
    <w:rsid w:val="00840787"/>
    <w:rsid w:val="008861CB"/>
    <w:rsid w:val="00B27538"/>
    <w:rsid w:val="00BC031F"/>
    <w:rsid w:val="00C864C3"/>
    <w:rsid w:val="00DD5A20"/>
    <w:rsid w:val="00E85E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06450"/>
  <w15:chartTrackingRefBased/>
  <w15:docId w15:val="{CA8CD117-5815-4345-B06B-46CBFD682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link w:val="Heading1Char"/>
    <w:uiPriority w:val="9"/>
    <w:qFormat/>
    <w:rsid w:val="00755EE2"/>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5EE2"/>
    <w:rPr>
      <w:rFonts w:ascii="宋体" w:eastAsia="宋体" w:hAnsi="宋体" w:cs="宋体"/>
      <w:b/>
      <w:bCs/>
      <w:kern w:val="36"/>
      <w:sz w:val="48"/>
      <w:szCs w:val="48"/>
    </w:rPr>
  </w:style>
  <w:style w:type="character" w:styleId="Hyperlink">
    <w:name w:val="Hyperlink"/>
    <w:basedOn w:val="DefaultParagraphFont"/>
    <w:uiPriority w:val="99"/>
    <w:semiHidden/>
    <w:unhideWhenUsed/>
    <w:rsid w:val="00755E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860857">
      <w:bodyDiv w:val="1"/>
      <w:marLeft w:val="0"/>
      <w:marRight w:val="0"/>
      <w:marTop w:val="0"/>
      <w:marBottom w:val="0"/>
      <w:divBdr>
        <w:top w:val="none" w:sz="0" w:space="0" w:color="auto"/>
        <w:left w:val="none" w:sz="0" w:space="0" w:color="auto"/>
        <w:bottom w:val="none" w:sz="0" w:space="0" w:color="auto"/>
        <w:right w:val="none" w:sz="0" w:space="0" w:color="auto"/>
      </w:divBdr>
      <w:divsChild>
        <w:div w:id="744228343">
          <w:marLeft w:val="0"/>
          <w:marRight w:val="0"/>
          <w:marTop w:val="0"/>
          <w:marBottom w:val="0"/>
          <w:divBdr>
            <w:top w:val="none" w:sz="0" w:space="0" w:color="auto"/>
            <w:left w:val="none" w:sz="0" w:space="0" w:color="auto"/>
            <w:bottom w:val="none" w:sz="0" w:space="0" w:color="auto"/>
            <w:right w:val="none" w:sz="0" w:space="0" w:color="auto"/>
          </w:divBdr>
        </w:div>
        <w:div w:id="1816607438">
          <w:marLeft w:val="0"/>
          <w:marRight w:val="0"/>
          <w:marTop w:val="0"/>
          <w:marBottom w:val="0"/>
          <w:divBdr>
            <w:top w:val="none" w:sz="0" w:space="0" w:color="auto"/>
            <w:left w:val="none" w:sz="0" w:space="0" w:color="auto"/>
            <w:bottom w:val="none" w:sz="0" w:space="0" w:color="auto"/>
            <w:right w:val="none" w:sz="0" w:space="0" w:color="auto"/>
          </w:divBdr>
        </w:div>
        <w:div w:id="2075276745">
          <w:marLeft w:val="0"/>
          <w:marRight w:val="0"/>
          <w:marTop w:val="0"/>
          <w:marBottom w:val="0"/>
          <w:divBdr>
            <w:top w:val="none" w:sz="0" w:space="0" w:color="auto"/>
            <w:left w:val="none" w:sz="0" w:space="0" w:color="auto"/>
            <w:bottom w:val="none" w:sz="0" w:space="0" w:color="auto"/>
            <w:right w:val="none" w:sz="0" w:space="0" w:color="auto"/>
          </w:divBdr>
        </w:div>
      </w:divsChild>
    </w:div>
    <w:div w:id="1048379519">
      <w:bodyDiv w:val="1"/>
      <w:marLeft w:val="0"/>
      <w:marRight w:val="0"/>
      <w:marTop w:val="0"/>
      <w:marBottom w:val="0"/>
      <w:divBdr>
        <w:top w:val="none" w:sz="0" w:space="0" w:color="auto"/>
        <w:left w:val="none" w:sz="0" w:space="0" w:color="auto"/>
        <w:bottom w:val="none" w:sz="0" w:space="0" w:color="auto"/>
        <w:right w:val="none" w:sz="0" w:space="0" w:color="auto"/>
      </w:divBdr>
    </w:div>
    <w:div w:id="1118260358">
      <w:bodyDiv w:val="1"/>
      <w:marLeft w:val="0"/>
      <w:marRight w:val="0"/>
      <w:marTop w:val="0"/>
      <w:marBottom w:val="0"/>
      <w:divBdr>
        <w:top w:val="none" w:sz="0" w:space="0" w:color="auto"/>
        <w:left w:val="none" w:sz="0" w:space="0" w:color="auto"/>
        <w:bottom w:val="none" w:sz="0" w:space="0" w:color="auto"/>
        <w:right w:val="none" w:sz="0" w:space="0" w:color="auto"/>
      </w:divBdr>
    </w:div>
    <w:div w:id="1703358271">
      <w:bodyDiv w:val="1"/>
      <w:marLeft w:val="0"/>
      <w:marRight w:val="0"/>
      <w:marTop w:val="0"/>
      <w:marBottom w:val="0"/>
      <w:divBdr>
        <w:top w:val="none" w:sz="0" w:space="0" w:color="auto"/>
        <w:left w:val="none" w:sz="0" w:space="0" w:color="auto"/>
        <w:bottom w:val="none" w:sz="0" w:space="0" w:color="auto"/>
        <w:right w:val="none" w:sz="0" w:space="0" w:color="auto"/>
      </w:divBdr>
      <w:divsChild>
        <w:div w:id="1108351614">
          <w:marLeft w:val="0"/>
          <w:marRight w:val="0"/>
          <w:marTop w:val="0"/>
          <w:marBottom w:val="0"/>
          <w:divBdr>
            <w:top w:val="none" w:sz="0" w:space="0" w:color="auto"/>
            <w:left w:val="none" w:sz="0" w:space="0" w:color="auto"/>
            <w:bottom w:val="none" w:sz="0" w:space="0" w:color="auto"/>
            <w:right w:val="none" w:sz="0" w:space="0" w:color="auto"/>
          </w:divBdr>
        </w:div>
        <w:div w:id="1474713894">
          <w:marLeft w:val="0"/>
          <w:marRight w:val="0"/>
          <w:marTop w:val="0"/>
          <w:marBottom w:val="0"/>
          <w:divBdr>
            <w:top w:val="none" w:sz="0" w:space="0" w:color="auto"/>
            <w:left w:val="none" w:sz="0" w:space="0" w:color="auto"/>
            <w:bottom w:val="none" w:sz="0" w:space="0" w:color="auto"/>
            <w:right w:val="none" w:sz="0" w:space="0" w:color="auto"/>
          </w:divBdr>
        </w:div>
        <w:div w:id="9028324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harvardmagazine.com/2013/09/self-fashioning-in-society-and-solitu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ashingtonpost.com/news/innovations/wp/2013/07/30/we-dont-need-more-humanities-majors/?utm_term=.dd9b832af784" TargetMode="External"/><Relationship Id="rId5" Type="http://schemas.openxmlformats.org/officeDocument/2006/relationships/hyperlink" Target="https://www.pewsocialtrends.org/2014/02/11/the-rising-cost-of-not-going-to-college/" TargetMode="External"/><Relationship Id="rId4" Type="http://schemas.openxmlformats.org/officeDocument/2006/relationships/hyperlink" Target="https://www.academia.edu/2454947/Liberal_Arts_and_the_Advantages_of_Being_Useles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670</Words>
  <Characters>3824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zijun wu</dc:creator>
  <cp:keywords/>
  <dc:description/>
  <cp:lastModifiedBy>zijun wu</cp:lastModifiedBy>
  <cp:revision>3</cp:revision>
  <dcterms:created xsi:type="dcterms:W3CDTF">2019-04-16T07:44:00Z</dcterms:created>
  <dcterms:modified xsi:type="dcterms:W3CDTF">2019-04-16T08:00:00Z</dcterms:modified>
</cp:coreProperties>
</file>