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CE764"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07C88388"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3F70C45F"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4508D527"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5B3D67DB"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138416A9"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5F625ED6"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4BE9C7F0"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66144C8A"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0D52C205" w14:textId="62A81AAD" w:rsidR="003F15C3" w:rsidRDefault="003F15C3" w:rsidP="003F15C3">
      <w:pPr>
        <w:pStyle w:val="NormalWeb"/>
        <w:spacing w:before="0" w:beforeAutospacing="0" w:after="0" w:afterAutospacing="0" w:line="480" w:lineRule="auto"/>
        <w:ind w:firstLine="720"/>
        <w:jc w:val="center"/>
        <w:rPr>
          <w:rStyle w:val="Strong"/>
          <w:color w:val="0E101A"/>
        </w:rPr>
      </w:pPr>
      <w:r>
        <w:rPr>
          <w:rStyle w:val="Strong"/>
          <w:color w:val="0E101A"/>
        </w:rPr>
        <w:t>Diabetes Mellitus in UST Hospital and Australia</w:t>
      </w:r>
    </w:p>
    <w:p w14:paraId="054AC30C" w14:textId="77777777" w:rsidR="003F15C3" w:rsidRDefault="003F15C3" w:rsidP="003F15C3">
      <w:pPr>
        <w:pStyle w:val="NormalWeb"/>
        <w:spacing w:before="0" w:beforeAutospacing="0" w:after="0" w:afterAutospacing="0" w:line="480" w:lineRule="auto"/>
        <w:ind w:firstLine="720"/>
        <w:jc w:val="center"/>
        <w:rPr>
          <w:rStyle w:val="Strong"/>
          <w:color w:val="0E101A"/>
        </w:rPr>
      </w:pPr>
    </w:p>
    <w:p w14:paraId="7C227527" w14:textId="50F54D02" w:rsidR="003F15C3" w:rsidRPr="003F15C3" w:rsidRDefault="003F15C3" w:rsidP="003F15C3">
      <w:pPr>
        <w:pStyle w:val="NormalWeb"/>
        <w:spacing w:before="0" w:beforeAutospacing="0" w:after="0" w:afterAutospacing="0" w:line="480" w:lineRule="auto"/>
        <w:ind w:firstLine="720"/>
        <w:jc w:val="center"/>
        <w:rPr>
          <w:rStyle w:val="Strong"/>
          <w:b w:val="0"/>
          <w:bCs w:val="0"/>
          <w:color w:val="0E101A"/>
        </w:rPr>
      </w:pPr>
    </w:p>
    <w:p w14:paraId="6D9818AB" w14:textId="3FBB7454" w:rsidR="003F15C3" w:rsidRPr="003F15C3" w:rsidRDefault="003F15C3" w:rsidP="003F15C3">
      <w:pPr>
        <w:pStyle w:val="NormalWeb"/>
        <w:spacing w:before="0" w:beforeAutospacing="0" w:after="0" w:afterAutospacing="0" w:line="480" w:lineRule="auto"/>
        <w:ind w:firstLine="720"/>
        <w:jc w:val="center"/>
        <w:rPr>
          <w:rStyle w:val="Strong"/>
          <w:b w:val="0"/>
          <w:bCs w:val="0"/>
          <w:color w:val="0E101A"/>
        </w:rPr>
      </w:pPr>
      <w:r w:rsidRPr="003F15C3">
        <w:rPr>
          <w:rStyle w:val="Strong"/>
          <w:b w:val="0"/>
          <w:bCs w:val="0"/>
          <w:color w:val="0E101A"/>
        </w:rPr>
        <w:t xml:space="preserve">Student’s Name </w:t>
      </w:r>
    </w:p>
    <w:p w14:paraId="156A9542" w14:textId="3D26E840" w:rsidR="003F15C3" w:rsidRPr="003F15C3" w:rsidRDefault="003F15C3" w:rsidP="003F15C3">
      <w:pPr>
        <w:pStyle w:val="NormalWeb"/>
        <w:spacing w:before="0" w:beforeAutospacing="0" w:after="0" w:afterAutospacing="0" w:line="480" w:lineRule="auto"/>
        <w:ind w:firstLine="720"/>
        <w:jc w:val="center"/>
        <w:rPr>
          <w:rStyle w:val="Strong"/>
          <w:b w:val="0"/>
          <w:bCs w:val="0"/>
          <w:color w:val="0E101A"/>
        </w:rPr>
      </w:pPr>
      <w:r w:rsidRPr="003F15C3">
        <w:rPr>
          <w:rStyle w:val="Strong"/>
          <w:b w:val="0"/>
          <w:bCs w:val="0"/>
          <w:color w:val="0E101A"/>
        </w:rPr>
        <w:t xml:space="preserve">Institutional Affiliation </w:t>
      </w:r>
    </w:p>
    <w:p w14:paraId="18A8B7E5" w14:textId="733D3388" w:rsidR="003F15C3" w:rsidRPr="003F15C3" w:rsidRDefault="003F15C3" w:rsidP="003F15C3">
      <w:pPr>
        <w:pStyle w:val="NormalWeb"/>
        <w:spacing w:before="0" w:beforeAutospacing="0" w:after="0" w:afterAutospacing="0" w:line="480" w:lineRule="auto"/>
        <w:ind w:firstLine="720"/>
        <w:jc w:val="center"/>
        <w:rPr>
          <w:rStyle w:val="Strong"/>
          <w:b w:val="0"/>
          <w:bCs w:val="0"/>
          <w:color w:val="0E101A"/>
        </w:rPr>
      </w:pPr>
      <w:r w:rsidRPr="003F15C3">
        <w:rPr>
          <w:rStyle w:val="Strong"/>
          <w:b w:val="0"/>
          <w:bCs w:val="0"/>
          <w:color w:val="0E101A"/>
        </w:rPr>
        <w:t>Instructor</w:t>
      </w:r>
    </w:p>
    <w:p w14:paraId="0DEEE9F6" w14:textId="3FC8F140" w:rsidR="003F15C3" w:rsidRPr="003F15C3" w:rsidRDefault="003F15C3" w:rsidP="003F15C3">
      <w:pPr>
        <w:pStyle w:val="NormalWeb"/>
        <w:spacing w:before="0" w:beforeAutospacing="0" w:after="0" w:afterAutospacing="0" w:line="480" w:lineRule="auto"/>
        <w:ind w:firstLine="720"/>
        <w:jc w:val="center"/>
        <w:rPr>
          <w:b/>
          <w:bCs/>
          <w:color w:val="0E101A"/>
        </w:rPr>
      </w:pPr>
      <w:r w:rsidRPr="003F15C3">
        <w:rPr>
          <w:rStyle w:val="Strong"/>
          <w:b w:val="0"/>
          <w:bCs w:val="0"/>
          <w:color w:val="0E101A"/>
        </w:rPr>
        <w:t>Course</w:t>
      </w:r>
    </w:p>
    <w:p w14:paraId="4BC29C16" w14:textId="77777777" w:rsidR="003F15C3" w:rsidRDefault="003F15C3">
      <w:pPr>
        <w:rPr>
          <w:rStyle w:val="Strong"/>
          <w:rFonts w:ascii="Times New Roman" w:eastAsia="Times New Roman" w:hAnsi="Times New Roman" w:cs="Times New Roman"/>
          <w:color w:val="0E101A"/>
          <w:sz w:val="24"/>
          <w:szCs w:val="24"/>
        </w:rPr>
      </w:pPr>
      <w:r>
        <w:rPr>
          <w:rStyle w:val="Strong"/>
          <w:color w:val="0E101A"/>
        </w:rPr>
        <w:br w:type="page"/>
      </w:r>
    </w:p>
    <w:p w14:paraId="130DD605" w14:textId="43175402" w:rsidR="005459E9" w:rsidRDefault="005459E9" w:rsidP="005459E9">
      <w:pPr>
        <w:pStyle w:val="NormalWeb"/>
        <w:spacing w:before="0" w:beforeAutospacing="0" w:after="0" w:afterAutospacing="0" w:line="480" w:lineRule="auto"/>
        <w:ind w:firstLine="720"/>
        <w:jc w:val="center"/>
        <w:rPr>
          <w:rStyle w:val="Strong"/>
          <w:color w:val="0E101A"/>
        </w:rPr>
      </w:pPr>
      <w:r>
        <w:rPr>
          <w:rStyle w:val="Strong"/>
          <w:color w:val="0E101A"/>
        </w:rPr>
        <w:lastRenderedPageBreak/>
        <w:t>Executive Summary</w:t>
      </w:r>
    </w:p>
    <w:p w14:paraId="70FEA099" w14:textId="371D2669" w:rsidR="005459E9" w:rsidRDefault="00F80311" w:rsidP="005459E9">
      <w:pPr>
        <w:pStyle w:val="NormalWeb"/>
        <w:spacing w:before="0" w:beforeAutospacing="0" w:after="0" w:afterAutospacing="0" w:line="480" w:lineRule="auto"/>
        <w:ind w:firstLine="720"/>
        <w:rPr>
          <w:rStyle w:val="Strong"/>
          <w:color w:val="0E101A"/>
        </w:rPr>
      </w:pPr>
      <w:r>
        <w:rPr>
          <w:color w:val="0E101A"/>
        </w:rPr>
        <w:t xml:space="preserve">Diabetes, </w:t>
      </w:r>
      <w:r w:rsidR="00984B1A">
        <w:rPr>
          <w:color w:val="0E101A"/>
        </w:rPr>
        <w:t xml:space="preserve">especially diabetes mellitus of </w:t>
      </w:r>
      <w:r w:rsidR="00984B1A" w:rsidRPr="00984B1A">
        <w:t>(ICD10-AM Codes E10-E14.9)</w:t>
      </w:r>
      <w:r w:rsidR="00984B1A">
        <w:rPr>
          <w:color w:val="0E101A"/>
        </w:rPr>
        <w:t xml:space="preserve"> </w:t>
      </w:r>
      <w:r w:rsidR="005459E9">
        <w:rPr>
          <w:color w:val="0E101A"/>
        </w:rPr>
        <w:t>is one of the most vicious human killer diseases in the world that affects a significant population in the communities.</w:t>
      </w:r>
      <w:r w:rsidR="00DD6494">
        <w:rPr>
          <w:color w:val="0E101A"/>
        </w:rPr>
        <w:t xml:space="preserve"> </w:t>
      </w:r>
      <w:r w:rsidR="00DD6494">
        <w:rPr>
          <w:color w:val="0E101A"/>
        </w:rPr>
        <w:t xml:space="preserve">In this quantitative study, data from UST Hospital is analyzed to determine prevalence of diabetes mellitus of </w:t>
      </w:r>
      <w:r w:rsidR="00DD6494" w:rsidRPr="00984B1A">
        <w:t>(ICD10-AM Codes E10-E14.9)</w:t>
      </w:r>
      <w:r w:rsidR="00DD6494">
        <w:t xml:space="preserve"> among patients. The numerical data</w:t>
      </w:r>
      <w:r w:rsidR="00DD6494">
        <w:rPr>
          <w:color w:val="0E101A"/>
        </w:rPr>
        <w:t xml:space="preserve">, collected and analyzed data from UST Hospital is compared with prevalence statistics of the disease in Australia. </w:t>
      </w:r>
      <w:r w:rsidR="005459E9">
        <w:rPr>
          <w:color w:val="0E101A"/>
        </w:rPr>
        <w:t xml:space="preserve">Primarily, diabetes mellitus is caused by a malfunction of the immune system that damages cells located in the pancreas responsible for producing insulin that regulates the blood sugar. Typically, diabetes mellitus is caused by a low level of insulin in the body, causing blood sugars to rise above the average level. </w:t>
      </w:r>
      <w:r w:rsidR="00DD6494">
        <w:rPr>
          <w:color w:val="0E101A"/>
        </w:rPr>
        <w:t xml:space="preserve">diabetes mellitus of </w:t>
      </w:r>
      <w:r w:rsidR="00DD6494" w:rsidRPr="00984B1A">
        <w:t>(ICD10-AM Codes E10-E14.9)</w:t>
      </w:r>
      <w:r w:rsidR="00DD6494">
        <w:t xml:space="preserve"> </w:t>
      </w:r>
      <w:r w:rsidR="005459E9">
        <w:rPr>
          <w:color w:val="0E101A"/>
        </w:rPr>
        <w:t>development in the human body occurs due to a biological process called an autoimmune reaction, which means the immune body fights against itself. The study shows that they are no definite predisposing factors to diabetes mellitus, but they are triggering risk factors like bacterial infections, foods that contain toxic chemicals, or unknown component leading autoimmune reaction</w:t>
      </w:r>
      <w:r w:rsidR="00DD6494">
        <w:rPr>
          <w:color w:val="0E101A"/>
        </w:rPr>
        <w:t xml:space="preserve">. </w:t>
      </w:r>
    </w:p>
    <w:p w14:paraId="12B63BED" w14:textId="77777777" w:rsidR="005459E9" w:rsidRDefault="005459E9" w:rsidP="003F15C3">
      <w:pPr>
        <w:pStyle w:val="NormalWeb"/>
        <w:spacing w:before="0" w:beforeAutospacing="0" w:after="0" w:afterAutospacing="0" w:line="480" w:lineRule="auto"/>
        <w:ind w:firstLine="720"/>
        <w:jc w:val="center"/>
        <w:rPr>
          <w:rStyle w:val="Strong"/>
          <w:color w:val="0E101A"/>
        </w:rPr>
      </w:pPr>
    </w:p>
    <w:p w14:paraId="41DEDD65" w14:textId="42452825" w:rsidR="00984B1A" w:rsidRDefault="003F15C3" w:rsidP="00984B1A">
      <w:pPr>
        <w:pStyle w:val="NormalWeb"/>
        <w:spacing w:before="0" w:beforeAutospacing="0" w:after="0" w:afterAutospacing="0" w:line="480" w:lineRule="auto"/>
        <w:ind w:firstLine="720"/>
        <w:rPr>
          <w:color w:val="0E101A"/>
        </w:rPr>
      </w:pPr>
      <w:r>
        <w:rPr>
          <w:rStyle w:val="Strong"/>
          <w:color w:val="0E101A"/>
        </w:rPr>
        <w:t>Introduction</w:t>
      </w:r>
    </w:p>
    <w:p w14:paraId="62B80E65" w14:textId="15A6C35B" w:rsidR="003F15C3" w:rsidRDefault="00984B1A" w:rsidP="00984B1A">
      <w:pPr>
        <w:pStyle w:val="NormalWeb"/>
        <w:spacing w:before="0" w:beforeAutospacing="0" w:after="0" w:afterAutospacing="0" w:line="480" w:lineRule="auto"/>
        <w:ind w:firstLine="720"/>
        <w:rPr>
          <w:b/>
          <w:bCs/>
          <w:color w:val="0E101A"/>
        </w:rPr>
      </w:pPr>
      <w:r>
        <w:rPr>
          <w:color w:val="0E101A"/>
        </w:rPr>
        <w:t>Diabetes is one of the most vicious human killer diseases in the world that affects a significant population in the communities. Primarily, diabetes mellitus is caused by a malfunction of the immune system that damages cells located in the pancreas responsible for producing insulin that regulates the blood sugar</w:t>
      </w:r>
      <w:r>
        <w:rPr>
          <w:rFonts w:asciiTheme="minorHAnsi" w:eastAsiaTheme="minorHAnsi" w:hAnsiTheme="minorHAnsi" w:cstheme="minorBidi"/>
          <w:color w:val="0E101A"/>
          <w:sz w:val="22"/>
          <w:szCs w:val="22"/>
        </w:rPr>
        <w:t>, (</w:t>
      </w:r>
      <w:r w:rsidRPr="00352F83">
        <w:rPr>
          <w:color w:val="0E101A"/>
          <w:lang w:val="en-KE"/>
        </w:rPr>
        <w:t>Contreras &amp; Vehi</w:t>
      </w:r>
      <w:r>
        <w:rPr>
          <w:color w:val="0E101A"/>
        </w:rPr>
        <w:t xml:space="preserve">, </w:t>
      </w:r>
      <w:r w:rsidRPr="00352F83">
        <w:rPr>
          <w:color w:val="0E101A"/>
          <w:lang w:val="en-KE"/>
        </w:rPr>
        <w:t>2018)</w:t>
      </w:r>
      <w:r>
        <w:rPr>
          <w:color w:val="0E101A"/>
        </w:rPr>
        <w:t xml:space="preserve">. </w:t>
      </w:r>
      <w:r w:rsidR="003F15C3">
        <w:rPr>
          <w:color w:val="0E101A"/>
        </w:rPr>
        <w:t>The research done</w:t>
      </w:r>
      <w:r w:rsidR="003F15C3" w:rsidRPr="00352F83">
        <w:rPr>
          <w:rFonts w:asciiTheme="minorHAnsi" w:eastAsiaTheme="minorHAnsi" w:hAnsiTheme="minorHAnsi" w:cstheme="minorBidi"/>
          <w:color w:val="0E101A"/>
          <w:sz w:val="22"/>
          <w:szCs w:val="22"/>
          <w:lang w:val="en-KE"/>
        </w:rPr>
        <w:t xml:space="preserve"> </w:t>
      </w:r>
      <w:r w:rsidR="003F15C3" w:rsidRPr="00352F83">
        <w:rPr>
          <w:color w:val="0E101A"/>
          <w:lang w:val="en-KE"/>
        </w:rPr>
        <w:t>Jannasch</w:t>
      </w:r>
      <w:r w:rsidR="003F15C3">
        <w:rPr>
          <w:color w:val="0E101A"/>
        </w:rPr>
        <w:t xml:space="preserve"> </w:t>
      </w:r>
      <w:r w:rsidR="003F15C3" w:rsidRPr="00352F83">
        <w:rPr>
          <w:color w:val="0E101A"/>
          <w:lang w:val="en-KE"/>
        </w:rPr>
        <w:t>&amp; Schulze (2017)</w:t>
      </w:r>
      <w:r w:rsidR="003F15C3">
        <w:rPr>
          <w:color w:val="0E101A"/>
        </w:rPr>
        <w:t xml:space="preserve">, asserts that diabetes mellitus has caused a variety of risk factors that predispose individuals in the community to gain the disorder. Living sedentary lifestyles that </w:t>
      </w:r>
      <w:r w:rsidR="003F15C3">
        <w:rPr>
          <w:color w:val="0E101A"/>
        </w:rPr>
        <w:lastRenderedPageBreak/>
        <w:t xml:space="preserve">little or no physical activities leads to people gaining excess weight, which leads to obesity as a risk factor for diabetes. A poor dietary decision is a risk factor for diabetes because some people prefer taking foods rich in sugars, which in the long-run, leads to over-accumulation of sugar in the bloodstream that causes the development of diabetes development. This paper will widely explore the prevalence of diabetes mellitus </w:t>
      </w:r>
      <w:r w:rsidRPr="00984B1A">
        <w:t>(</w:t>
      </w:r>
      <w:r w:rsidRPr="00984B1A">
        <w:t>ICD10-AM Codes E10-E14.9</w:t>
      </w:r>
      <w:r w:rsidRPr="00984B1A">
        <w:t>)</w:t>
      </w:r>
      <w:r w:rsidR="005E3D3A">
        <w:t xml:space="preserve"> individuals of age group 70 to 79 years old</w:t>
      </w:r>
      <w:r>
        <w:t xml:space="preserve"> </w:t>
      </w:r>
      <w:r w:rsidR="003F15C3">
        <w:rPr>
          <w:color w:val="0E101A"/>
        </w:rPr>
        <w:t>in Australia</w:t>
      </w:r>
      <w:r w:rsidR="005E3D3A">
        <w:rPr>
          <w:color w:val="0E101A"/>
        </w:rPr>
        <w:t xml:space="preserve"> in comparison to their</w:t>
      </w:r>
      <w:r w:rsidR="003F15C3">
        <w:rPr>
          <w:color w:val="0E101A"/>
        </w:rPr>
        <w:t xml:space="preserve"> different dimensions of the illness in terms of long-term </w:t>
      </w:r>
      <w:r w:rsidR="005E3D3A">
        <w:rPr>
          <w:color w:val="0E101A"/>
        </w:rPr>
        <w:t xml:space="preserve">of </w:t>
      </w:r>
      <w:r w:rsidR="003F15C3">
        <w:rPr>
          <w:color w:val="0E101A"/>
        </w:rPr>
        <w:t>stay (LOS) in</w:t>
      </w:r>
      <w:r w:rsidR="005E3D3A">
        <w:rPr>
          <w:color w:val="0E101A"/>
        </w:rPr>
        <w:t xml:space="preserve"> hospital. </w:t>
      </w:r>
    </w:p>
    <w:p w14:paraId="4A0D2A35" w14:textId="77777777" w:rsidR="003F15C3" w:rsidRPr="00964D39" w:rsidRDefault="003F15C3" w:rsidP="003F15C3">
      <w:pPr>
        <w:pStyle w:val="NormalWeb"/>
        <w:jc w:val="center"/>
        <w:rPr>
          <w:b/>
          <w:bCs/>
          <w:color w:val="0E101A"/>
        </w:rPr>
      </w:pPr>
      <w:r w:rsidRPr="00964D39">
        <w:rPr>
          <w:b/>
          <w:bCs/>
          <w:color w:val="0E101A"/>
          <w:lang w:eastAsia="en-KE"/>
        </w:rPr>
        <w:t>Literature Review</w:t>
      </w:r>
    </w:p>
    <w:p w14:paraId="76191435" w14:textId="77777777" w:rsidR="003F15C3" w:rsidRDefault="003F15C3" w:rsidP="00984B1A">
      <w:pPr>
        <w:pStyle w:val="NormalWeb"/>
        <w:spacing w:line="480" w:lineRule="auto"/>
        <w:ind w:firstLine="720"/>
        <w:rPr>
          <w:b/>
          <w:bCs/>
          <w:color w:val="0E101A"/>
        </w:rPr>
      </w:pPr>
      <w:r w:rsidRPr="00337F12">
        <w:rPr>
          <w:b/>
          <w:bCs/>
          <w:color w:val="0E101A"/>
          <w:lang w:val="en-KE" w:eastAsia="en-KE"/>
        </w:rPr>
        <w:t>Diabetes Mellitus in Australia</w:t>
      </w:r>
    </w:p>
    <w:p w14:paraId="3B29371B" w14:textId="309FF028" w:rsidR="003F15C3" w:rsidRPr="00336A5B" w:rsidRDefault="003F15C3" w:rsidP="003F15C3">
      <w:pPr>
        <w:pStyle w:val="NormalWeb"/>
        <w:spacing w:line="480" w:lineRule="auto"/>
        <w:ind w:firstLine="720"/>
        <w:rPr>
          <w:color w:val="0E101A"/>
        </w:rPr>
      </w:pPr>
      <w:r w:rsidRPr="00336A5B">
        <w:rPr>
          <w:color w:val="0E101A"/>
        </w:rPr>
        <w:t xml:space="preserve">In Australia, the prevalence of </w:t>
      </w:r>
      <w:r w:rsidR="00984B1A">
        <w:rPr>
          <w:color w:val="0E101A"/>
        </w:rPr>
        <w:t xml:space="preserve">diabetes mellitus </w:t>
      </w:r>
      <w:r w:rsidR="00984B1A" w:rsidRPr="00984B1A">
        <w:t>(ICD10-AM Codes E10-E14.9)</w:t>
      </w:r>
      <w:r w:rsidR="00984B1A">
        <w:t xml:space="preserve"> </w:t>
      </w:r>
      <w:r w:rsidRPr="00336A5B">
        <w:rPr>
          <w:color w:val="0E101A"/>
        </w:rPr>
        <w:t>disease</w:t>
      </w:r>
      <w:r w:rsidR="00984B1A">
        <w:rPr>
          <w:color w:val="0E101A"/>
        </w:rPr>
        <w:t xml:space="preserve"> </w:t>
      </w:r>
      <w:r w:rsidRPr="00336A5B">
        <w:rPr>
          <w:color w:val="0E101A"/>
        </w:rPr>
        <w:t xml:space="preserve">is high, which shows public health needs to create more continuous appropriate systems to reduce the prevalence of the disease in the Australian communities. According to health data released by the World health organization (WHO) in the year 2017-2018, it indicates that self-reported cases of diabetes mellitus were estimated at 1.2 million people, which constitutes 10% of Australia’s population. </w:t>
      </w:r>
      <w:r>
        <w:rPr>
          <w:color w:val="0E101A"/>
        </w:rPr>
        <w:t>The study done</w:t>
      </w:r>
      <w:r>
        <w:rPr>
          <w:rFonts w:asciiTheme="minorHAnsi" w:eastAsiaTheme="minorHAnsi" w:hAnsiTheme="minorHAnsi" w:cstheme="minorBidi"/>
          <w:color w:val="0E101A"/>
          <w:sz w:val="22"/>
          <w:szCs w:val="22"/>
        </w:rPr>
        <w:t xml:space="preserve"> by </w:t>
      </w:r>
      <w:r w:rsidRPr="00964D39">
        <w:rPr>
          <w:color w:val="0E101A"/>
          <w:lang w:val="en-KE"/>
        </w:rPr>
        <w:t>Davis</w:t>
      </w:r>
      <w:r>
        <w:rPr>
          <w:color w:val="0E101A"/>
        </w:rPr>
        <w:t xml:space="preserve"> </w:t>
      </w:r>
      <w:r w:rsidRPr="00964D39">
        <w:rPr>
          <w:color w:val="0E101A"/>
          <w:lang w:val="en-KE"/>
        </w:rPr>
        <w:t>&amp; Davis</w:t>
      </w:r>
      <w:r>
        <w:rPr>
          <w:color w:val="0E101A"/>
        </w:rPr>
        <w:t xml:space="preserve"> </w:t>
      </w:r>
      <w:r w:rsidRPr="00964D39">
        <w:rPr>
          <w:color w:val="0E101A"/>
          <w:lang w:val="en-KE"/>
        </w:rPr>
        <w:t>(2018)</w:t>
      </w:r>
      <w:r>
        <w:rPr>
          <w:color w:val="0E101A"/>
        </w:rPr>
        <w:t xml:space="preserve"> indicates that </w:t>
      </w:r>
      <w:r w:rsidRPr="00336A5B">
        <w:rPr>
          <w:color w:val="0E101A"/>
        </w:rPr>
        <w:t xml:space="preserve">an estimated 1.2 million Australians hospitalized associated with the disease. The Australian Institute of Health and Welfare (AIHW) monitors the track records of deaths caused by diabetes in Australia. Therefore, AIHW indicated in the annual report of 2017-2018 that 11% of deaths, which translates into a population of 16,700, were associated with diabetes. Diabetes mellitus has different dominance and occurring in terms of age and sex between Australians. Therefore, in terms of age, diabetes mellitus affects many older adults compared to younger people. The study shows that in 10,000 people aged above 85 years, at least more than 1,400 and 1,200 for males </w:t>
      </w:r>
      <w:r w:rsidRPr="00336A5B">
        <w:rPr>
          <w:color w:val="0E101A"/>
        </w:rPr>
        <w:lastRenderedPageBreak/>
        <w:t>and females respectively are affected by diabetes mellitus</w:t>
      </w:r>
      <w:bookmarkStart w:id="0" w:name="_Hlk53993388"/>
      <w:r>
        <w:rPr>
          <w:rFonts w:asciiTheme="minorHAnsi" w:eastAsiaTheme="minorHAnsi" w:hAnsiTheme="minorHAnsi" w:cstheme="minorBidi"/>
          <w:color w:val="0E101A"/>
          <w:sz w:val="22"/>
          <w:szCs w:val="22"/>
        </w:rPr>
        <w:t>, (</w:t>
      </w:r>
      <w:r w:rsidRPr="00964D39">
        <w:rPr>
          <w:color w:val="0E101A"/>
          <w:lang w:val="en-KE"/>
        </w:rPr>
        <w:t>Davis</w:t>
      </w:r>
      <w:r w:rsidRPr="00964D39">
        <w:rPr>
          <w:color w:val="0E101A"/>
        </w:rPr>
        <w:t xml:space="preserve"> </w:t>
      </w:r>
      <w:r w:rsidRPr="00964D39">
        <w:rPr>
          <w:color w:val="0E101A"/>
          <w:lang w:val="en-KE"/>
        </w:rPr>
        <w:t>&amp; Davis</w:t>
      </w:r>
      <w:r>
        <w:rPr>
          <w:color w:val="0E101A"/>
        </w:rPr>
        <w:t xml:space="preserve">, </w:t>
      </w:r>
      <w:r w:rsidRPr="00964D39">
        <w:rPr>
          <w:color w:val="0E101A"/>
          <w:lang w:val="en-KE"/>
        </w:rPr>
        <w:t>2018)</w:t>
      </w:r>
      <w:r w:rsidRPr="00336A5B">
        <w:rPr>
          <w:color w:val="0E101A"/>
        </w:rPr>
        <w:t xml:space="preserve">. </w:t>
      </w:r>
      <w:bookmarkEnd w:id="0"/>
      <w:r w:rsidRPr="00336A5B">
        <w:rPr>
          <w:color w:val="0E101A"/>
        </w:rPr>
        <w:t>Also, it was indicated that between people aged 75-84 years, at least 570 and 334 for males and females respectively are affected by diabetes mellitus in a population of 10,000 people. Generally, the study showed that diabetes is 1.7 times higher in males than in females. Typically, in males and females of 10,000, there are 68 and 41 diabetic Mellitus victims.</w:t>
      </w:r>
    </w:p>
    <w:p w14:paraId="3733D868" w14:textId="77777777" w:rsidR="003F15C3" w:rsidRDefault="003F15C3" w:rsidP="003F15C3">
      <w:pPr>
        <w:pStyle w:val="NormalWeb"/>
        <w:spacing w:line="480" w:lineRule="auto"/>
        <w:ind w:firstLine="720"/>
        <w:rPr>
          <w:color w:val="0E101A"/>
        </w:rPr>
      </w:pPr>
      <w:r w:rsidRPr="00336A5B">
        <w:rPr>
          <w:color w:val="0E101A"/>
        </w:rPr>
        <w:t>The trends of diabetes mellitus in Australia are diverse in terms of deaths or infections. In the past one to two decades, deaths caused by diabetes have remained constant, which reflects their efficient and appropriate strategies made by the Australian Institute of Health and Welfare to track down risk factors of diabetes. The data shows that between the years 1998 and 2018, diabetes mellitus caused 3,300 deaths annually, which translates to 17-22 deaths in 100,000 population for males and 12-15 deaths in 100,000 population for females</w:t>
      </w:r>
      <w:r w:rsidRPr="00964D39">
        <w:rPr>
          <w:color w:val="0E101A"/>
        </w:rPr>
        <w:t>, (</w:t>
      </w:r>
      <w:r w:rsidRPr="00964D39">
        <w:rPr>
          <w:color w:val="0E101A"/>
          <w:lang w:val="en-KE"/>
        </w:rPr>
        <w:t>Davis</w:t>
      </w:r>
      <w:r w:rsidRPr="00964D39">
        <w:rPr>
          <w:color w:val="0E101A"/>
        </w:rPr>
        <w:t xml:space="preserve"> </w:t>
      </w:r>
      <w:r w:rsidRPr="00964D39">
        <w:rPr>
          <w:color w:val="0E101A"/>
          <w:lang w:val="en-KE"/>
        </w:rPr>
        <w:t>&amp; Davis</w:t>
      </w:r>
      <w:r w:rsidRPr="00964D39">
        <w:rPr>
          <w:color w:val="0E101A"/>
        </w:rPr>
        <w:t xml:space="preserve">, </w:t>
      </w:r>
      <w:r w:rsidRPr="00964D39">
        <w:rPr>
          <w:color w:val="0E101A"/>
          <w:lang w:val="en-KE"/>
        </w:rPr>
        <w:t>2018)</w:t>
      </w:r>
      <w:r w:rsidRPr="00336A5B">
        <w:rPr>
          <w:color w:val="0E101A"/>
        </w:rPr>
        <w:t>. Moreover, the study shows in the age of 67-78, between the years of 1997-2017, diabetes mellitus has caused 13,300 deaths per 100,000 population annually. In the age bracket between 41-49 years, there were 8,000 deaths per 100,000 population associated with diabetes mellitus.</w:t>
      </w:r>
    </w:p>
    <w:p w14:paraId="5B01E033" w14:textId="77777777" w:rsidR="003F15C3" w:rsidRDefault="003F15C3" w:rsidP="003F15C3">
      <w:pPr>
        <w:pStyle w:val="NormalWeb"/>
        <w:spacing w:line="480" w:lineRule="auto"/>
        <w:ind w:firstLine="720"/>
        <w:jc w:val="center"/>
        <w:rPr>
          <w:b/>
          <w:bCs/>
          <w:color w:val="0E101A"/>
        </w:rPr>
      </w:pPr>
      <w:r>
        <w:rPr>
          <w:b/>
          <w:bCs/>
          <w:color w:val="0E101A"/>
        </w:rPr>
        <w:t>Admissions and Length of Stay (LOS)</w:t>
      </w:r>
    </w:p>
    <w:p w14:paraId="7202FD3C" w14:textId="77777777" w:rsidR="003F15C3" w:rsidRPr="00FA492A" w:rsidRDefault="003F15C3" w:rsidP="003F15C3">
      <w:pPr>
        <w:pStyle w:val="NormalWeb"/>
        <w:spacing w:line="480" w:lineRule="auto"/>
        <w:ind w:firstLine="720"/>
        <w:rPr>
          <w:color w:val="0E101A"/>
        </w:rPr>
      </w:pPr>
      <w:r w:rsidRPr="00FA492A">
        <w:rPr>
          <w:color w:val="0E101A"/>
        </w:rPr>
        <w:t>Diabetes hospitalizations in Australia are often divided into two depending on the type of diagnosis: principal diagnosis and additional diagnosis. The principal diagnosis is a type of direct hospitalizations connected with diabetes mellitus. In contrast, additional diagnosis is admissions with coexisting circumstances with either principal diagnosis or a condition that develops through hospitalization affecting patient supervision.</w:t>
      </w:r>
      <w:r>
        <w:rPr>
          <w:color w:val="0E101A"/>
        </w:rPr>
        <w:t xml:space="preserve"> The research done by </w:t>
      </w:r>
      <w:bookmarkStart w:id="1" w:name="_Hlk53993682"/>
      <w:r w:rsidRPr="00964D39">
        <w:rPr>
          <w:color w:val="0E101A"/>
          <w:lang w:val="en-KE"/>
        </w:rPr>
        <w:t>Karahalios</w:t>
      </w:r>
      <w:r>
        <w:rPr>
          <w:color w:val="0E101A"/>
        </w:rPr>
        <w:t xml:space="preserve"> </w:t>
      </w:r>
      <w:r w:rsidRPr="00964D39">
        <w:rPr>
          <w:color w:val="0E101A"/>
          <w:lang w:val="en-KE"/>
        </w:rPr>
        <w:t>&amp; Janus (2018)</w:t>
      </w:r>
      <w:r>
        <w:rPr>
          <w:color w:val="0E101A"/>
        </w:rPr>
        <w:t xml:space="preserve"> </w:t>
      </w:r>
      <w:bookmarkEnd w:id="1"/>
      <w:r w:rsidRPr="00FA492A">
        <w:rPr>
          <w:color w:val="0E101A"/>
        </w:rPr>
        <w:t xml:space="preserve">indicates that in the annual report of 2017-2018, 53,000 patients were hospitalized, having diabetes as the principal diagnosis. 64% out of 53,000 patients were associated with </w:t>
      </w:r>
      <w:r w:rsidRPr="00FA492A">
        <w:rPr>
          <w:color w:val="0E101A"/>
        </w:rPr>
        <w:lastRenderedPageBreak/>
        <w:t>diabetes mellitus, 29% had diabetes insipidus, 5% had gestational diabetes, the other 1% had an unknown type of diabetes. Furthermore, the data indicated that 1,149,000 diabetic patients were admitted to Australian hospitals as an additional diagnosis in the same year. 90% of these hospitalizations had diabetes mellitus, 4% had diabetes insipidus, 5% had had gestational diabetes, and 1% of patients portrayed the unknown type of diabetes.</w:t>
      </w:r>
    </w:p>
    <w:p w14:paraId="77B9D889" w14:textId="77777777" w:rsidR="003F15C3" w:rsidRDefault="003F15C3" w:rsidP="003F15C3">
      <w:pPr>
        <w:pStyle w:val="NormalWeb"/>
        <w:spacing w:line="480" w:lineRule="auto"/>
        <w:ind w:firstLine="720"/>
        <w:rPr>
          <w:color w:val="0E101A"/>
        </w:rPr>
      </w:pPr>
      <w:r w:rsidRPr="00FA492A">
        <w:rPr>
          <w:color w:val="0E101A"/>
        </w:rPr>
        <w:t xml:space="preserve"> Length of stay (LOS) for diabetes mellitus patients is typically a period taken by diabetic patients to recover from chronic conditions of diabetes and discharge from inpatient hospitalization. For patients with diabetes mellitus aged more than 70 years in Australia, 73% of the 10,000 population were hospitalized for than six months as a length of stay</w:t>
      </w:r>
      <w:r>
        <w:rPr>
          <w:color w:val="0E101A"/>
        </w:rPr>
        <w:t>, (</w:t>
      </w:r>
      <w:r w:rsidRPr="00964D39">
        <w:rPr>
          <w:rFonts w:asciiTheme="minorHAnsi" w:eastAsiaTheme="minorHAnsi" w:hAnsiTheme="minorHAnsi" w:cstheme="minorBidi"/>
          <w:color w:val="0E101A"/>
          <w:sz w:val="22"/>
          <w:szCs w:val="22"/>
          <w:lang w:val="en-KE"/>
        </w:rPr>
        <w:t>Karahalios</w:t>
      </w:r>
      <w:r w:rsidRPr="00964D39">
        <w:rPr>
          <w:color w:val="0E101A"/>
        </w:rPr>
        <w:t xml:space="preserve"> </w:t>
      </w:r>
      <w:r w:rsidRPr="00964D39">
        <w:rPr>
          <w:color w:val="0E101A"/>
          <w:lang w:val="en-KE"/>
        </w:rPr>
        <w:t>&amp; Janus (2018)</w:t>
      </w:r>
      <w:r w:rsidRPr="00FA492A">
        <w:rPr>
          <w:color w:val="0E101A"/>
        </w:rPr>
        <w:t>. Moreover, in a population of aged below 69 years, 75% of 10,000 hospitalized patients with diabetes mellitus recover from chronic conditions within a period of 1-3 months, which indicates that older adults take considerable long time of more than 2 times to recover compared to younger adults.</w:t>
      </w:r>
    </w:p>
    <w:p w14:paraId="2FB4F5C8" w14:textId="77777777" w:rsidR="003F15C3" w:rsidRDefault="003F15C3" w:rsidP="003F15C3">
      <w:pPr>
        <w:pStyle w:val="NormalWeb"/>
        <w:spacing w:line="480" w:lineRule="auto"/>
        <w:ind w:firstLine="720"/>
        <w:jc w:val="center"/>
        <w:rPr>
          <w:b/>
          <w:bCs/>
          <w:color w:val="0E101A"/>
        </w:rPr>
      </w:pPr>
      <w:r>
        <w:rPr>
          <w:b/>
          <w:bCs/>
          <w:color w:val="0E101A"/>
        </w:rPr>
        <w:t>Approaches to Challenges Diabetes Mellitus in Australia</w:t>
      </w:r>
    </w:p>
    <w:p w14:paraId="429E55DE" w14:textId="71A84D1B" w:rsidR="003F15C3" w:rsidRDefault="003F15C3" w:rsidP="003F15C3">
      <w:pPr>
        <w:pStyle w:val="NormalWeb"/>
        <w:spacing w:line="480" w:lineRule="auto"/>
        <w:ind w:firstLine="720"/>
        <w:rPr>
          <w:color w:val="0E101A"/>
        </w:rPr>
      </w:pPr>
      <w:r w:rsidRPr="001E0DDE">
        <w:rPr>
          <w:color w:val="0E101A"/>
        </w:rPr>
        <w:t xml:space="preserve">The Combat against diabetes mellitus that affects many people in Australian communities needed collaboratives efforts from general healthcare practitioners, allied paramedical professionals, nurses, and other specialists concerned in medicine. </w:t>
      </w:r>
      <w:r>
        <w:rPr>
          <w:color w:val="0E101A"/>
        </w:rPr>
        <w:t xml:space="preserve"> The study conducted by</w:t>
      </w:r>
      <w:r w:rsidRPr="003462AB">
        <w:rPr>
          <w:rFonts w:asciiTheme="minorHAnsi" w:eastAsiaTheme="minorHAnsi" w:hAnsiTheme="minorHAnsi" w:cstheme="minorBidi"/>
          <w:color w:val="0E101A"/>
          <w:sz w:val="22"/>
          <w:szCs w:val="22"/>
          <w:lang w:val="en-KE"/>
        </w:rPr>
        <w:t xml:space="preserve"> </w:t>
      </w:r>
      <w:r w:rsidRPr="003462AB">
        <w:rPr>
          <w:color w:val="0E101A"/>
          <w:lang w:val="en-KE"/>
        </w:rPr>
        <w:t>Lee</w:t>
      </w:r>
      <w:r>
        <w:rPr>
          <w:color w:val="0E101A"/>
        </w:rPr>
        <w:t xml:space="preserve"> </w:t>
      </w:r>
      <w:r w:rsidRPr="003462AB">
        <w:rPr>
          <w:color w:val="0E101A"/>
          <w:lang w:val="en-KE"/>
        </w:rPr>
        <w:t>&amp; Chaiyakunapruk (2017).</w:t>
      </w:r>
      <w:r>
        <w:rPr>
          <w:color w:val="0E101A"/>
        </w:rPr>
        <w:t xml:space="preserve"> Shows </w:t>
      </w:r>
      <w:r w:rsidRPr="001E0DDE">
        <w:rPr>
          <w:color w:val="0E101A"/>
        </w:rPr>
        <w:t xml:space="preserve">the Australian Institute of Health and Welfare (AIHW) has been continuously employing several factors to decrease the rates of diabetes mellitus that is affecting the public health domain. AIHW, in collaboration with the community-based healthcare services, has been conducting the education of people on tips of healthy living with the underlying principle of reducing poor dietary intakes like too-much sugary foods as one the </w:t>
      </w:r>
      <w:r w:rsidRPr="001E0DDE">
        <w:rPr>
          <w:color w:val="0E101A"/>
        </w:rPr>
        <w:lastRenderedPageBreak/>
        <w:t>risk factors to diabetes. Moreover, education aims to equip people with essential health information on how to manage their daily healthy decisions to prevent diabetes and other local diseases. Diabetes mellitus in many patients erupts into worse conditions due to inadequate clinical visits that would have played a role in reducing the risks of chronic conditions. Therefore, AIHW has made sure diabetes patients get consistent and efficient medications for hospital-based treatment and home-based medication to reduce the number of premature deaths</w:t>
      </w:r>
      <w:r>
        <w:rPr>
          <w:color w:val="0E101A"/>
        </w:rPr>
        <w:t>, (</w:t>
      </w:r>
      <w:r w:rsidRPr="003462AB">
        <w:rPr>
          <w:color w:val="0E101A"/>
          <w:lang w:val="en-KE"/>
        </w:rPr>
        <w:t>Lee &amp; Chaiyakunapruk,</w:t>
      </w:r>
      <w:r>
        <w:rPr>
          <w:color w:val="0E101A"/>
        </w:rPr>
        <w:t xml:space="preserve"> </w:t>
      </w:r>
      <w:r w:rsidRPr="003462AB">
        <w:rPr>
          <w:color w:val="0E101A"/>
          <w:lang w:val="en-KE"/>
        </w:rPr>
        <w:t>2017)</w:t>
      </w:r>
      <w:r w:rsidRPr="001E0DDE">
        <w:rPr>
          <w:color w:val="0E101A"/>
        </w:rPr>
        <w:t>. Moreover, healthcare agencies in Australia have been assisting healthcare organizations in improving diabetes mellitus treatment by feeding them with highly-filtered evidence-based data that elevated the clinical insights of handling diabetes mellitus</w:t>
      </w:r>
      <w:r>
        <w:rPr>
          <w:color w:val="0E101A"/>
        </w:rPr>
        <w:t xml:space="preserve">. </w:t>
      </w:r>
    </w:p>
    <w:p w14:paraId="0A4090B1" w14:textId="33C90A56" w:rsidR="005F653D" w:rsidRPr="00AB5E17" w:rsidRDefault="005F653D" w:rsidP="003F15C3">
      <w:pPr>
        <w:pStyle w:val="NormalWeb"/>
        <w:spacing w:line="480" w:lineRule="auto"/>
        <w:ind w:firstLine="720"/>
        <w:rPr>
          <w:color w:val="0E101A"/>
        </w:rPr>
      </w:pPr>
      <w:r w:rsidRPr="00AB5E17">
        <w:rPr>
          <w:rStyle w:val="Strong"/>
          <w:color w:val="0E101A"/>
        </w:rPr>
        <w:t>Methods</w:t>
      </w:r>
    </w:p>
    <w:p w14:paraId="69FB9025" w14:textId="5C968165" w:rsidR="005F653D" w:rsidRPr="00AB5E17" w:rsidRDefault="005F653D" w:rsidP="00A92E05">
      <w:pPr>
        <w:pStyle w:val="NormalWeb"/>
        <w:spacing w:before="0" w:beforeAutospacing="0" w:after="0" w:afterAutospacing="0" w:line="480" w:lineRule="auto"/>
        <w:ind w:firstLine="720"/>
        <w:rPr>
          <w:color w:val="0E101A"/>
        </w:rPr>
      </w:pPr>
      <w:r w:rsidRPr="00AB5E17">
        <w:rPr>
          <w:color w:val="0E101A"/>
        </w:rPr>
        <w:t>Data was extracted from excel sheets of health data from UST Hospital, and it was encoded into a computer using Microsoft Excel Software. Variables were identified, and percentages were reported. Data, particularly age, were grouped in age groups with an interval of 5 years. Categorical variables such as age, insulin, gender, diagnosis level, countries of origin, and weight were used in formatting a pivot table. Numerical values such as age and diagnosis were used in drawing the chart. Numerical variables were compared using the Pivot table and chart.</w:t>
      </w:r>
      <w:r w:rsidR="00984B1A">
        <w:rPr>
          <w:color w:val="0E101A"/>
        </w:rPr>
        <w:t xml:space="preserve"> The data was grouped in age and LOS variables. The variable called “Age_Grp” was created with an interval of 10 years. </w:t>
      </w:r>
    </w:p>
    <w:p w14:paraId="72D5BDF8" w14:textId="77777777" w:rsidR="005F653D" w:rsidRPr="00AB5E17" w:rsidRDefault="005F653D" w:rsidP="00A92E05">
      <w:pPr>
        <w:pStyle w:val="NormalWeb"/>
        <w:spacing w:before="0" w:beforeAutospacing="0" w:after="0" w:afterAutospacing="0" w:line="480" w:lineRule="auto"/>
        <w:ind w:firstLine="720"/>
        <w:rPr>
          <w:color w:val="0E101A"/>
        </w:rPr>
      </w:pPr>
      <w:r w:rsidRPr="00AB5E17">
        <w:rPr>
          <w:rStyle w:val="Strong"/>
          <w:color w:val="0E101A"/>
        </w:rPr>
        <w:t>Results</w:t>
      </w:r>
    </w:p>
    <w:p w14:paraId="2243C6A5" w14:textId="416353A5" w:rsidR="003F15C3" w:rsidRDefault="005F653D" w:rsidP="00523565">
      <w:pPr>
        <w:pStyle w:val="NormalWeb"/>
        <w:spacing w:before="0" w:beforeAutospacing="0" w:after="0" w:afterAutospacing="0" w:line="480" w:lineRule="auto"/>
        <w:ind w:firstLine="720"/>
        <w:rPr>
          <w:color w:val="0E101A"/>
        </w:rPr>
      </w:pPr>
      <w:r w:rsidRPr="00AB5E17">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w:t>
      </w:r>
      <w:r w:rsidRPr="00AB5E17">
        <w:rPr>
          <w:color w:val="0E101A"/>
        </w:rPr>
        <w:lastRenderedPageBreak/>
        <w:t>large quantities of data from excel sheets. Using an excel sheet containing health data from UST Hospital, it is evident that diabetes is increasingly becoming a threat to all age groups of patients visiting the hospital</w:t>
      </w:r>
      <w:r w:rsidR="00C93AEA">
        <w:rPr>
          <w:color w:val="0E101A"/>
        </w:rPr>
        <w:t xml:space="preserve"> but older individual, especially between the ages of 70 and 79 are highly at risk.</w:t>
      </w:r>
      <w:r w:rsidR="00523565">
        <w:rPr>
          <w:color w:val="0E101A"/>
        </w:rPr>
        <w:t xml:space="preserve"> The Length of Stay in hospital of this group of individuals is grand total of 21,650, which is way higher than any other age group. It is also clear from the analysis that there is high prevalence of </w:t>
      </w:r>
      <w:r w:rsidR="00523565">
        <w:rPr>
          <w:color w:val="0E101A"/>
        </w:rPr>
        <w:t xml:space="preserve">diabetes mellitus </w:t>
      </w:r>
      <w:r w:rsidR="00523565" w:rsidRPr="00984B1A">
        <w:t>(ICD10-AM Codes E10-E14.9)</w:t>
      </w:r>
      <w:r w:rsidR="00523565">
        <w:t xml:space="preserve"> </w:t>
      </w:r>
      <w:r w:rsidR="00523565">
        <w:t xml:space="preserve">among the women as compare to males. However, the length of stay of men </w:t>
      </w:r>
      <w:r w:rsidR="002A0604">
        <w:t xml:space="preserve">and women </w:t>
      </w:r>
      <w:r w:rsidR="00523565">
        <w:t>in the age group 70 to 79</w:t>
      </w:r>
      <w:r w:rsidR="002A0604">
        <w:t xml:space="preserve"> is almost similar with a slight5 difference. </w:t>
      </w:r>
      <w:r w:rsidR="005459E9">
        <w:rPr>
          <w:color w:val="0E101A"/>
        </w:rPr>
        <w:t xml:space="preserve">The results are shown in the table below. </w:t>
      </w:r>
    </w:p>
    <w:p w14:paraId="15363AAD" w14:textId="0317B433" w:rsidR="005459E9" w:rsidRPr="00415985" w:rsidRDefault="00CF2097" w:rsidP="00415985">
      <w:pPr>
        <w:pStyle w:val="NormalWeb"/>
        <w:spacing w:before="0" w:beforeAutospacing="0" w:after="0" w:afterAutospacing="0" w:line="480" w:lineRule="auto"/>
        <w:ind w:firstLine="720"/>
        <w:jc w:val="center"/>
        <w:rPr>
          <w:b/>
          <w:bCs/>
          <w:color w:val="0E101A"/>
        </w:rPr>
      </w:pPr>
      <w:r w:rsidRPr="00415985">
        <w:rPr>
          <w:b/>
          <w:bCs/>
          <w:color w:val="0E101A"/>
        </w:rPr>
        <w:t xml:space="preserve">Table 1 Shows </w:t>
      </w:r>
      <w:r w:rsidR="00415985" w:rsidRPr="00415985">
        <w:rPr>
          <w:b/>
          <w:bCs/>
          <w:noProof/>
        </w:rPr>
        <w:t>LOS for Each Age Group</w:t>
      </w:r>
    </w:p>
    <w:tbl>
      <w:tblPr>
        <w:tblW w:w="5700" w:type="dxa"/>
        <w:jc w:val="center"/>
        <w:tblLook w:val="04A0" w:firstRow="1" w:lastRow="0" w:firstColumn="1" w:lastColumn="0" w:noHBand="0" w:noVBand="1"/>
      </w:tblPr>
      <w:tblGrid>
        <w:gridCol w:w="1980"/>
        <w:gridCol w:w="1780"/>
        <w:gridCol w:w="825"/>
        <w:gridCol w:w="1240"/>
      </w:tblGrid>
      <w:tr w:rsidR="005459E9" w:rsidRPr="005459E9" w14:paraId="0AA0A15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E4D9DE1"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Principal Diagnosis</w:t>
            </w:r>
          </w:p>
        </w:tc>
        <w:tc>
          <w:tcPr>
            <w:tcW w:w="1780" w:type="dxa"/>
            <w:tcBorders>
              <w:top w:val="single" w:sz="4" w:space="0" w:color="EBF1DE"/>
              <w:left w:val="nil"/>
              <w:bottom w:val="single" w:sz="4" w:space="0" w:color="EBF1DE"/>
              <w:right w:val="nil"/>
            </w:tcBorders>
            <w:shd w:val="clear" w:color="auto" w:fill="auto"/>
            <w:noWrap/>
            <w:vAlign w:val="bottom"/>
            <w:hideMark/>
          </w:tcPr>
          <w:p w14:paraId="12AEA6B8"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(All)</w:t>
            </w:r>
          </w:p>
        </w:tc>
        <w:tc>
          <w:tcPr>
            <w:tcW w:w="700" w:type="dxa"/>
            <w:tcBorders>
              <w:top w:val="nil"/>
              <w:left w:val="nil"/>
              <w:bottom w:val="nil"/>
              <w:right w:val="nil"/>
            </w:tcBorders>
            <w:shd w:val="clear" w:color="auto" w:fill="auto"/>
            <w:noWrap/>
            <w:vAlign w:val="bottom"/>
            <w:hideMark/>
          </w:tcPr>
          <w:p w14:paraId="513E9C7C"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p>
        </w:tc>
        <w:tc>
          <w:tcPr>
            <w:tcW w:w="1240" w:type="dxa"/>
            <w:tcBorders>
              <w:top w:val="nil"/>
              <w:left w:val="nil"/>
              <w:bottom w:val="nil"/>
              <w:right w:val="nil"/>
            </w:tcBorders>
            <w:shd w:val="clear" w:color="auto" w:fill="auto"/>
            <w:noWrap/>
            <w:vAlign w:val="bottom"/>
            <w:hideMark/>
          </w:tcPr>
          <w:p w14:paraId="6A06315D"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r>
      <w:tr w:rsidR="005459E9" w:rsidRPr="005459E9" w14:paraId="148446E7" w14:textId="77777777" w:rsidTr="005459E9">
        <w:trPr>
          <w:trHeight w:val="315"/>
          <w:jc w:val="center"/>
        </w:trPr>
        <w:tc>
          <w:tcPr>
            <w:tcW w:w="1980" w:type="dxa"/>
            <w:tcBorders>
              <w:top w:val="nil"/>
              <w:left w:val="nil"/>
              <w:bottom w:val="nil"/>
              <w:right w:val="nil"/>
            </w:tcBorders>
            <w:shd w:val="clear" w:color="auto" w:fill="auto"/>
            <w:noWrap/>
            <w:vAlign w:val="bottom"/>
            <w:hideMark/>
          </w:tcPr>
          <w:p w14:paraId="4F5A574D"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c>
          <w:tcPr>
            <w:tcW w:w="1780" w:type="dxa"/>
            <w:tcBorders>
              <w:top w:val="nil"/>
              <w:left w:val="nil"/>
              <w:bottom w:val="nil"/>
              <w:right w:val="nil"/>
            </w:tcBorders>
            <w:shd w:val="clear" w:color="auto" w:fill="auto"/>
            <w:noWrap/>
            <w:vAlign w:val="bottom"/>
            <w:hideMark/>
          </w:tcPr>
          <w:p w14:paraId="57D416DD"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c>
          <w:tcPr>
            <w:tcW w:w="700" w:type="dxa"/>
            <w:tcBorders>
              <w:top w:val="nil"/>
              <w:left w:val="nil"/>
              <w:bottom w:val="nil"/>
              <w:right w:val="nil"/>
            </w:tcBorders>
            <w:shd w:val="clear" w:color="auto" w:fill="auto"/>
            <w:noWrap/>
            <w:vAlign w:val="bottom"/>
            <w:hideMark/>
          </w:tcPr>
          <w:p w14:paraId="7E7DF9B8"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c>
          <w:tcPr>
            <w:tcW w:w="1240" w:type="dxa"/>
            <w:tcBorders>
              <w:top w:val="nil"/>
              <w:left w:val="nil"/>
              <w:bottom w:val="nil"/>
              <w:right w:val="nil"/>
            </w:tcBorders>
            <w:shd w:val="clear" w:color="auto" w:fill="auto"/>
            <w:noWrap/>
            <w:vAlign w:val="bottom"/>
            <w:hideMark/>
          </w:tcPr>
          <w:p w14:paraId="41E1F517"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r>
      <w:tr w:rsidR="005459E9" w:rsidRPr="005459E9" w14:paraId="6CF64727" w14:textId="77777777" w:rsidTr="005459E9">
        <w:trPr>
          <w:trHeight w:val="315"/>
          <w:jc w:val="center"/>
        </w:trPr>
        <w:tc>
          <w:tcPr>
            <w:tcW w:w="1980" w:type="dxa"/>
            <w:tcBorders>
              <w:top w:val="nil"/>
              <w:left w:val="nil"/>
              <w:bottom w:val="single" w:sz="4" w:space="0" w:color="76933C"/>
              <w:right w:val="nil"/>
            </w:tcBorders>
            <w:shd w:val="clear" w:color="76933C" w:fill="76933C"/>
            <w:noWrap/>
            <w:vAlign w:val="bottom"/>
            <w:hideMark/>
          </w:tcPr>
          <w:p w14:paraId="31A0D3B3" w14:textId="77777777" w:rsidR="005459E9" w:rsidRPr="005459E9" w:rsidRDefault="005459E9" w:rsidP="005459E9">
            <w:pPr>
              <w:spacing w:after="0" w:line="240" w:lineRule="auto"/>
              <w:rPr>
                <w:rFonts w:ascii="Calibri" w:eastAsia="Times New Roman" w:hAnsi="Calibri" w:cs="Calibri"/>
                <w:b/>
                <w:bCs/>
                <w:color w:val="FFFFFF"/>
                <w:sz w:val="24"/>
                <w:szCs w:val="24"/>
                <w:lang w:val="en-KE" w:eastAsia="en-KE"/>
              </w:rPr>
            </w:pPr>
            <w:r w:rsidRPr="005459E9">
              <w:rPr>
                <w:rFonts w:ascii="Calibri" w:eastAsia="Times New Roman" w:hAnsi="Calibri" w:cs="Calibri"/>
                <w:b/>
                <w:bCs/>
                <w:color w:val="FFFFFF"/>
                <w:sz w:val="24"/>
                <w:szCs w:val="24"/>
                <w:lang w:val="en-KE" w:eastAsia="en-KE"/>
              </w:rPr>
              <w:t>Sum of LOS</w:t>
            </w:r>
          </w:p>
        </w:tc>
        <w:tc>
          <w:tcPr>
            <w:tcW w:w="1780" w:type="dxa"/>
            <w:tcBorders>
              <w:top w:val="nil"/>
              <w:left w:val="nil"/>
              <w:bottom w:val="single" w:sz="4" w:space="0" w:color="76933C"/>
              <w:right w:val="nil"/>
            </w:tcBorders>
            <w:shd w:val="clear" w:color="76933C" w:fill="76933C"/>
            <w:noWrap/>
            <w:vAlign w:val="bottom"/>
            <w:hideMark/>
          </w:tcPr>
          <w:p w14:paraId="01E65452"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r w:rsidRPr="005459E9">
              <w:rPr>
                <w:rFonts w:ascii="Calibri" w:eastAsia="Times New Roman" w:hAnsi="Calibri" w:cs="Calibri"/>
                <w:color w:val="FFFFFF"/>
                <w:sz w:val="24"/>
                <w:szCs w:val="24"/>
                <w:lang w:val="en-KE" w:eastAsia="en-KE"/>
              </w:rPr>
              <w:t>Column Labels</w:t>
            </w:r>
          </w:p>
        </w:tc>
        <w:tc>
          <w:tcPr>
            <w:tcW w:w="700" w:type="dxa"/>
            <w:tcBorders>
              <w:top w:val="nil"/>
              <w:left w:val="nil"/>
              <w:bottom w:val="single" w:sz="4" w:space="0" w:color="76933C"/>
              <w:right w:val="nil"/>
            </w:tcBorders>
            <w:shd w:val="clear" w:color="76933C" w:fill="76933C"/>
            <w:noWrap/>
            <w:vAlign w:val="bottom"/>
            <w:hideMark/>
          </w:tcPr>
          <w:p w14:paraId="7C3D7C8A"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p>
        </w:tc>
        <w:tc>
          <w:tcPr>
            <w:tcW w:w="1240" w:type="dxa"/>
            <w:tcBorders>
              <w:top w:val="nil"/>
              <w:left w:val="nil"/>
              <w:bottom w:val="single" w:sz="4" w:space="0" w:color="76933C"/>
              <w:right w:val="nil"/>
            </w:tcBorders>
            <w:shd w:val="clear" w:color="76933C" w:fill="76933C"/>
            <w:noWrap/>
            <w:vAlign w:val="bottom"/>
            <w:hideMark/>
          </w:tcPr>
          <w:p w14:paraId="5DDFC786" w14:textId="77777777" w:rsidR="005459E9" w:rsidRPr="005459E9" w:rsidRDefault="005459E9" w:rsidP="005459E9">
            <w:pPr>
              <w:spacing w:after="0" w:line="240" w:lineRule="auto"/>
              <w:rPr>
                <w:rFonts w:ascii="Times New Roman" w:eastAsia="Times New Roman" w:hAnsi="Times New Roman" w:cs="Times New Roman"/>
                <w:sz w:val="20"/>
                <w:szCs w:val="20"/>
                <w:lang w:val="en-KE" w:eastAsia="en-KE"/>
              </w:rPr>
            </w:pPr>
          </w:p>
        </w:tc>
      </w:tr>
      <w:tr w:rsidR="005459E9" w:rsidRPr="005459E9" w14:paraId="65A6721B" w14:textId="77777777" w:rsidTr="005459E9">
        <w:trPr>
          <w:trHeight w:val="315"/>
          <w:jc w:val="center"/>
        </w:trPr>
        <w:tc>
          <w:tcPr>
            <w:tcW w:w="1980" w:type="dxa"/>
            <w:tcBorders>
              <w:top w:val="single" w:sz="4" w:space="0" w:color="76933C"/>
              <w:left w:val="nil"/>
              <w:bottom w:val="single" w:sz="4" w:space="0" w:color="EBF1DE"/>
              <w:right w:val="nil"/>
            </w:tcBorders>
            <w:shd w:val="clear" w:color="76933C" w:fill="76933C"/>
            <w:noWrap/>
            <w:vAlign w:val="bottom"/>
            <w:hideMark/>
          </w:tcPr>
          <w:p w14:paraId="3F149D74"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r w:rsidRPr="005459E9">
              <w:rPr>
                <w:rFonts w:ascii="Calibri" w:eastAsia="Times New Roman" w:hAnsi="Calibri" w:cs="Calibri"/>
                <w:color w:val="FFFFFF"/>
                <w:sz w:val="24"/>
                <w:szCs w:val="24"/>
                <w:lang w:val="en-KE" w:eastAsia="en-KE"/>
              </w:rPr>
              <w:t>Row Labels</w:t>
            </w:r>
          </w:p>
        </w:tc>
        <w:tc>
          <w:tcPr>
            <w:tcW w:w="1780" w:type="dxa"/>
            <w:tcBorders>
              <w:top w:val="single" w:sz="4" w:space="0" w:color="76933C"/>
              <w:left w:val="nil"/>
              <w:bottom w:val="single" w:sz="4" w:space="0" w:color="D8E4BC"/>
              <w:right w:val="nil"/>
            </w:tcBorders>
            <w:shd w:val="clear" w:color="76933C" w:fill="76933C"/>
            <w:noWrap/>
            <w:vAlign w:val="bottom"/>
            <w:hideMark/>
          </w:tcPr>
          <w:p w14:paraId="14E92F67"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r w:rsidRPr="005459E9">
              <w:rPr>
                <w:rFonts w:ascii="Calibri" w:eastAsia="Times New Roman" w:hAnsi="Calibri" w:cs="Calibri"/>
                <w:color w:val="FFFFFF"/>
                <w:sz w:val="24"/>
                <w:szCs w:val="24"/>
                <w:lang w:val="en-KE" w:eastAsia="en-KE"/>
              </w:rPr>
              <w:t>Female</w:t>
            </w:r>
          </w:p>
        </w:tc>
        <w:tc>
          <w:tcPr>
            <w:tcW w:w="700" w:type="dxa"/>
            <w:tcBorders>
              <w:top w:val="single" w:sz="4" w:space="0" w:color="76933C"/>
              <w:left w:val="nil"/>
              <w:bottom w:val="single" w:sz="4" w:space="0" w:color="D8E4BC"/>
              <w:right w:val="nil"/>
            </w:tcBorders>
            <w:shd w:val="clear" w:color="76933C" w:fill="76933C"/>
            <w:noWrap/>
            <w:vAlign w:val="bottom"/>
            <w:hideMark/>
          </w:tcPr>
          <w:p w14:paraId="50CC481A"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r w:rsidRPr="005459E9">
              <w:rPr>
                <w:rFonts w:ascii="Calibri" w:eastAsia="Times New Roman" w:hAnsi="Calibri" w:cs="Calibri"/>
                <w:color w:val="FFFFFF"/>
                <w:sz w:val="24"/>
                <w:szCs w:val="24"/>
                <w:lang w:val="en-KE" w:eastAsia="en-KE"/>
              </w:rPr>
              <w:t>Male</w:t>
            </w:r>
          </w:p>
        </w:tc>
        <w:tc>
          <w:tcPr>
            <w:tcW w:w="1240" w:type="dxa"/>
            <w:tcBorders>
              <w:top w:val="single" w:sz="4" w:space="0" w:color="76933C"/>
              <w:left w:val="nil"/>
              <w:bottom w:val="single" w:sz="4" w:space="0" w:color="EBF1DE"/>
              <w:right w:val="nil"/>
            </w:tcBorders>
            <w:shd w:val="clear" w:color="76933C" w:fill="76933C"/>
            <w:noWrap/>
            <w:vAlign w:val="bottom"/>
            <w:hideMark/>
          </w:tcPr>
          <w:p w14:paraId="47F6E470" w14:textId="77777777" w:rsidR="005459E9" w:rsidRPr="005459E9" w:rsidRDefault="005459E9" w:rsidP="005459E9">
            <w:pPr>
              <w:spacing w:after="0" w:line="240" w:lineRule="auto"/>
              <w:rPr>
                <w:rFonts w:ascii="Calibri" w:eastAsia="Times New Roman" w:hAnsi="Calibri" w:cs="Calibri"/>
                <w:color w:val="FFFFFF"/>
                <w:sz w:val="24"/>
                <w:szCs w:val="24"/>
                <w:lang w:val="en-KE" w:eastAsia="en-KE"/>
              </w:rPr>
            </w:pPr>
            <w:r w:rsidRPr="005459E9">
              <w:rPr>
                <w:rFonts w:ascii="Calibri" w:eastAsia="Times New Roman" w:hAnsi="Calibri" w:cs="Calibri"/>
                <w:color w:val="FFFFFF"/>
                <w:sz w:val="24"/>
                <w:szCs w:val="24"/>
                <w:lang w:val="en-KE" w:eastAsia="en-KE"/>
              </w:rPr>
              <w:t>Grand Total</w:t>
            </w:r>
          </w:p>
        </w:tc>
      </w:tr>
      <w:tr w:rsidR="005459E9" w:rsidRPr="005459E9" w14:paraId="5EB36881"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D745258"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0-9</w:t>
            </w:r>
          </w:p>
        </w:tc>
        <w:tc>
          <w:tcPr>
            <w:tcW w:w="1780" w:type="dxa"/>
            <w:tcBorders>
              <w:top w:val="single" w:sz="4" w:space="0" w:color="EBF1DE"/>
              <w:left w:val="nil"/>
              <w:bottom w:val="single" w:sz="4" w:space="0" w:color="EBF1DE"/>
              <w:right w:val="nil"/>
            </w:tcBorders>
            <w:shd w:val="clear" w:color="auto" w:fill="auto"/>
            <w:noWrap/>
            <w:vAlign w:val="bottom"/>
            <w:hideMark/>
          </w:tcPr>
          <w:p w14:paraId="3287E052"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10229</w:t>
            </w:r>
          </w:p>
        </w:tc>
        <w:tc>
          <w:tcPr>
            <w:tcW w:w="700" w:type="dxa"/>
            <w:tcBorders>
              <w:top w:val="single" w:sz="4" w:space="0" w:color="EBF1DE"/>
              <w:left w:val="nil"/>
              <w:bottom w:val="single" w:sz="4" w:space="0" w:color="EBF1DE"/>
              <w:right w:val="nil"/>
            </w:tcBorders>
            <w:shd w:val="clear" w:color="auto" w:fill="auto"/>
            <w:noWrap/>
            <w:vAlign w:val="bottom"/>
            <w:hideMark/>
          </w:tcPr>
          <w:p w14:paraId="21B58847"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11703</w:t>
            </w:r>
          </w:p>
        </w:tc>
        <w:tc>
          <w:tcPr>
            <w:tcW w:w="1240" w:type="dxa"/>
            <w:tcBorders>
              <w:top w:val="single" w:sz="4" w:space="0" w:color="EBF1DE"/>
              <w:left w:val="nil"/>
              <w:bottom w:val="single" w:sz="4" w:space="0" w:color="EBF1DE"/>
              <w:right w:val="nil"/>
            </w:tcBorders>
            <w:shd w:val="clear" w:color="auto" w:fill="auto"/>
            <w:noWrap/>
            <w:vAlign w:val="bottom"/>
            <w:hideMark/>
          </w:tcPr>
          <w:p w14:paraId="4C39C124"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21932</w:t>
            </w:r>
          </w:p>
        </w:tc>
      </w:tr>
      <w:tr w:rsidR="005459E9" w:rsidRPr="005459E9" w14:paraId="68BE89D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23BD0251"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10-19</w:t>
            </w:r>
          </w:p>
        </w:tc>
        <w:tc>
          <w:tcPr>
            <w:tcW w:w="1780" w:type="dxa"/>
            <w:tcBorders>
              <w:top w:val="single" w:sz="4" w:space="0" w:color="EBF1DE"/>
              <w:left w:val="nil"/>
              <w:bottom w:val="single" w:sz="4" w:space="0" w:color="EBF1DE"/>
              <w:right w:val="nil"/>
            </w:tcBorders>
            <w:shd w:val="clear" w:color="auto" w:fill="auto"/>
            <w:noWrap/>
            <w:vAlign w:val="bottom"/>
            <w:hideMark/>
          </w:tcPr>
          <w:p w14:paraId="250EB505"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3774</w:t>
            </w:r>
          </w:p>
        </w:tc>
        <w:tc>
          <w:tcPr>
            <w:tcW w:w="700" w:type="dxa"/>
            <w:tcBorders>
              <w:top w:val="single" w:sz="4" w:space="0" w:color="EBF1DE"/>
              <w:left w:val="nil"/>
              <w:bottom w:val="single" w:sz="4" w:space="0" w:color="EBF1DE"/>
              <w:right w:val="nil"/>
            </w:tcBorders>
            <w:shd w:val="clear" w:color="auto" w:fill="auto"/>
            <w:noWrap/>
            <w:vAlign w:val="bottom"/>
            <w:hideMark/>
          </w:tcPr>
          <w:p w14:paraId="40434141"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2844</w:t>
            </w:r>
          </w:p>
        </w:tc>
        <w:tc>
          <w:tcPr>
            <w:tcW w:w="1240" w:type="dxa"/>
            <w:tcBorders>
              <w:top w:val="single" w:sz="4" w:space="0" w:color="EBF1DE"/>
              <w:left w:val="nil"/>
              <w:bottom w:val="single" w:sz="4" w:space="0" w:color="EBF1DE"/>
              <w:right w:val="nil"/>
            </w:tcBorders>
            <w:shd w:val="clear" w:color="auto" w:fill="auto"/>
            <w:noWrap/>
            <w:vAlign w:val="bottom"/>
            <w:hideMark/>
          </w:tcPr>
          <w:p w14:paraId="6F2B3C8B"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6618</w:t>
            </w:r>
          </w:p>
        </w:tc>
      </w:tr>
      <w:tr w:rsidR="005459E9" w:rsidRPr="005459E9" w14:paraId="287CFAC7"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70BB0C4A"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20-29</w:t>
            </w:r>
          </w:p>
        </w:tc>
        <w:tc>
          <w:tcPr>
            <w:tcW w:w="1780" w:type="dxa"/>
            <w:tcBorders>
              <w:top w:val="single" w:sz="4" w:space="0" w:color="EBF1DE"/>
              <w:left w:val="nil"/>
              <w:bottom w:val="single" w:sz="4" w:space="0" w:color="EBF1DE"/>
              <w:right w:val="nil"/>
            </w:tcBorders>
            <w:shd w:val="clear" w:color="auto" w:fill="auto"/>
            <w:noWrap/>
            <w:vAlign w:val="bottom"/>
            <w:hideMark/>
          </w:tcPr>
          <w:p w14:paraId="52D37781"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14453</w:t>
            </w:r>
          </w:p>
        </w:tc>
        <w:tc>
          <w:tcPr>
            <w:tcW w:w="700" w:type="dxa"/>
            <w:tcBorders>
              <w:top w:val="single" w:sz="4" w:space="0" w:color="EBF1DE"/>
              <w:left w:val="nil"/>
              <w:bottom w:val="single" w:sz="4" w:space="0" w:color="EBF1DE"/>
              <w:right w:val="nil"/>
            </w:tcBorders>
            <w:shd w:val="clear" w:color="auto" w:fill="auto"/>
            <w:noWrap/>
            <w:vAlign w:val="bottom"/>
            <w:hideMark/>
          </w:tcPr>
          <w:p w14:paraId="159C7D30"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6031</w:t>
            </w:r>
          </w:p>
        </w:tc>
        <w:tc>
          <w:tcPr>
            <w:tcW w:w="1240" w:type="dxa"/>
            <w:tcBorders>
              <w:top w:val="single" w:sz="4" w:space="0" w:color="EBF1DE"/>
              <w:left w:val="nil"/>
              <w:bottom w:val="single" w:sz="4" w:space="0" w:color="EBF1DE"/>
              <w:right w:val="nil"/>
            </w:tcBorders>
            <w:shd w:val="clear" w:color="auto" w:fill="auto"/>
            <w:noWrap/>
            <w:vAlign w:val="bottom"/>
            <w:hideMark/>
          </w:tcPr>
          <w:p w14:paraId="2F7B4E70"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20484</w:t>
            </w:r>
          </w:p>
        </w:tc>
      </w:tr>
      <w:tr w:rsidR="005459E9" w:rsidRPr="005459E9" w14:paraId="4E4F052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5DAD60D5"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30-39</w:t>
            </w:r>
          </w:p>
        </w:tc>
        <w:tc>
          <w:tcPr>
            <w:tcW w:w="1780" w:type="dxa"/>
            <w:tcBorders>
              <w:top w:val="single" w:sz="4" w:space="0" w:color="EBF1DE"/>
              <w:left w:val="nil"/>
              <w:bottom w:val="single" w:sz="4" w:space="0" w:color="EBF1DE"/>
              <w:right w:val="nil"/>
            </w:tcBorders>
            <w:shd w:val="clear" w:color="auto" w:fill="auto"/>
            <w:noWrap/>
            <w:vAlign w:val="bottom"/>
            <w:hideMark/>
          </w:tcPr>
          <w:p w14:paraId="5F68C297"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11118</w:t>
            </w:r>
          </w:p>
        </w:tc>
        <w:tc>
          <w:tcPr>
            <w:tcW w:w="700" w:type="dxa"/>
            <w:tcBorders>
              <w:top w:val="single" w:sz="4" w:space="0" w:color="EBF1DE"/>
              <w:left w:val="nil"/>
              <w:bottom w:val="single" w:sz="4" w:space="0" w:color="EBF1DE"/>
              <w:right w:val="nil"/>
            </w:tcBorders>
            <w:shd w:val="clear" w:color="auto" w:fill="auto"/>
            <w:noWrap/>
            <w:vAlign w:val="bottom"/>
            <w:hideMark/>
          </w:tcPr>
          <w:p w14:paraId="50FDF452"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5033</w:t>
            </w:r>
          </w:p>
        </w:tc>
        <w:tc>
          <w:tcPr>
            <w:tcW w:w="1240" w:type="dxa"/>
            <w:tcBorders>
              <w:top w:val="single" w:sz="4" w:space="0" w:color="EBF1DE"/>
              <w:left w:val="nil"/>
              <w:bottom w:val="single" w:sz="4" w:space="0" w:color="EBF1DE"/>
              <w:right w:val="nil"/>
            </w:tcBorders>
            <w:shd w:val="clear" w:color="auto" w:fill="auto"/>
            <w:noWrap/>
            <w:vAlign w:val="bottom"/>
            <w:hideMark/>
          </w:tcPr>
          <w:p w14:paraId="3992C2FC"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16151</w:t>
            </w:r>
          </w:p>
        </w:tc>
      </w:tr>
      <w:tr w:rsidR="005459E9" w:rsidRPr="005459E9" w14:paraId="40FCAD56"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8868210"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40-49</w:t>
            </w:r>
          </w:p>
        </w:tc>
        <w:tc>
          <w:tcPr>
            <w:tcW w:w="1780" w:type="dxa"/>
            <w:tcBorders>
              <w:top w:val="single" w:sz="4" w:space="0" w:color="EBF1DE"/>
              <w:left w:val="nil"/>
              <w:bottom w:val="single" w:sz="4" w:space="0" w:color="EBF1DE"/>
              <w:right w:val="nil"/>
            </w:tcBorders>
            <w:shd w:val="clear" w:color="auto" w:fill="auto"/>
            <w:noWrap/>
            <w:vAlign w:val="bottom"/>
            <w:hideMark/>
          </w:tcPr>
          <w:p w14:paraId="6B387D2C"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5807</w:t>
            </w:r>
          </w:p>
        </w:tc>
        <w:tc>
          <w:tcPr>
            <w:tcW w:w="700" w:type="dxa"/>
            <w:tcBorders>
              <w:top w:val="single" w:sz="4" w:space="0" w:color="EBF1DE"/>
              <w:left w:val="nil"/>
              <w:bottom w:val="single" w:sz="4" w:space="0" w:color="EBF1DE"/>
              <w:right w:val="nil"/>
            </w:tcBorders>
            <w:shd w:val="clear" w:color="auto" w:fill="auto"/>
            <w:noWrap/>
            <w:vAlign w:val="bottom"/>
            <w:hideMark/>
          </w:tcPr>
          <w:p w14:paraId="7126E742"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6887</w:t>
            </w:r>
          </w:p>
        </w:tc>
        <w:tc>
          <w:tcPr>
            <w:tcW w:w="1240" w:type="dxa"/>
            <w:tcBorders>
              <w:top w:val="single" w:sz="4" w:space="0" w:color="EBF1DE"/>
              <w:left w:val="nil"/>
              <w:bottom w:val="single" w:sz="4" w:space="0" w:color="EBF1DE"/>
              <w:right w:val="nil"/>
            </w:tcBorders>
            <w:shd w:val="clear" w:color="auto" w:fill="auto"/>
            <w:noWrap/>
            <w:vAlign w:val="bottom"/>
            <w:hideMark/>
          </w:tcPr>
          <w:p w14:paraId="7C82CCED"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12694</w:t>
            </w:r>
          </w:p>
        </w:tc>
      </w:tr>
      <w:tr w:rsidR="005459E9" w:rsidRPr="005459E9" w14:paraId="4A701940"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892A538"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50-59</w:t>
            </w:r>
          </w:p>
        </w:tc>
        <w:tc>
          <w:tcPr>
            <w:tcW w:w="1780" w:type="dxa"/>
            <w:tcBorders>
              <w:top w:val="single" w:sz="4" w:space="0" w:color="EBF1DE"/>
              <w:left w:val="nil"/>
              <w:bottom w:val="single" w:sz="4" w:space="0" w:color="EBF1DE"/>
              <w:right w:val="nil"/>
            </w:tcBorders>
            <w:shd w:val="clear" w:color="auto" w:fill="auto"/>
            <w:noWrap/>
            <w:vAlign w:val="bottom"/>
            <w:hideMark/>
          </w:tcPr>
          <w:p w14:paraId="6CD91B2D"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7039</w:t>
            </w:r>
          </w:p>
        </w:tc>
        <w:tc>
          <w:tcPr>
            <w:tcW w:w="700" w:type="dxa"/>
            <w:tcBorders>
              <w:top w:val="single" w:sz="4" w:space="0" w:color="EBF1DE"/>
              <w:left w:val="nil"/>
              <w:bottom w:val="single" w:sz="4" w:space="0" w:color="EBF1DE"/>
              <w:right w:val="nil"/>
            </w:tcBorders>
            <w:shd w:val="clear" w:color="auto" w:fill="auto"/>
            <w:noWrap/>
            <w:vAlign w:val="bottom"/>
            <w:hideMark/>
          </w:tcPr>
          <w:p w14:paraId="5FF47246"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7248</w:t>
            </w:r>
          </w:p>
        </w:tc>
        <w:tc>
          <w:tcPr>
            <w:tcW w:w="1240" w:type="dxa"/>
            <w:tcBorders>
              <w:top w:val="single" w:sz="4" w:space="0" w:color="EBF1DE"/>
              <w:left w:val="nil"/>
              <w:bottom w:val="single" w:sz="4" w:space="0" w:color="EBF1DE"/>
              <w:right w:val="nil"/>
            </w:tcBorders>
            <w:shd w:val="clear" w:color="auto" w:fill="auto"/>
            <w:noWrap/>
            <w:vAlign w:val="bottom"/>
            <w:hideMark/>
          </w:tcPr>
          <w:p w14:paraId="3FD0DB0B"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14287</w:t>
            </w:r>
          </w:p>
        </w:tc>
      </w:tr>
      <w:tr w:rsidR="005459E9" w:rsidRPr="005459E9" w14:paraId="4CF92D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858770"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60-69</w:t>
            </w:r>
          </w:p>
        </w:tc>
        <w:tc>
          <w:tcPr>
            <w:tcW w:w="1780" w:type="dxa"/>
            <w:tcBorders>
              <w:top w:val="single" w:sz="4" w:space="0" w:color="EBF1DE"/>
              <w:left w:val="nil"/>
              <w:bottom w:val="single" w:sz="4" w:space="0" w:color="EBF1DE"/>
              <w:right w:val="nil"/>
            </w:tcBorders>
            <w:shd w:val="clear" w:color="auto" w:fill="auto"/>
            <w:noWrap/>
            <w:vAlign w:val="bottom"/>
            <w:hideMark/>
          </w:tcPr>
          <w:p w14:paraId="22A9AFB4"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7574</w:t>
            </w:r>
          </w:p>
        </w:tc>
        <w:tc>
          <w:tcPr>
            <w:tcW w:w="700" w:type="dxa"/>
            <w:tcBorders>
              <w:top w:val="single" w:sz="4" w:space="0" w:color="EBF1DE"/>
              <w:left w:val="nil"/>
              <w:bottom w:val="single" w:sz="4" w:space="0" w:color="EBF1DE"/>
              <w:right w:val="nil"/>
            </w:tcBorders>
            <w:shd w:val="clear" w:color="auto" w:fill="auto"/>
            <w:noWrap/>
            <w:vAlign w:val="bottom"/>
            <w:hideMark/>
          </w:tcPr>
          <w:p w14:paraId="62C641F6"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8182</w:t>
            </w:r>
          </w:p>
        </w:tc>
        <w:tc>
          <w:tcPr>
            <w:tcW w:w="1240" w:type="dxa"/>
            <w:tcBorders>
              <w:top w:val="single" w:sz="4" w:space="0" w:color="EBF1DE"/>
              <w:left w:val="nil"/>
              <w:bottom w:val="single" w:sz="4" w:space="0" w:color="EBF1DE"/>
              <w:right w:val="nil"/>
            </w:tcBorders>
            <w:shd w:val="clear" w:color="auto" w:fill="auto"/>
            <w:noWrap/>
            <w:vAlign w:val="bottom"/>
            <w:hideMark/>
          </w:tcPr>
          <w:p w14:paraId="6ADD75B2"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15756</w:t>
            </w:r>
          </w:p>
        </w:tc>
      </w:tr>
      <w:tr w:rsidR="005459E9" w:rsidRPr="005459E9" w14:paraId="5B438DB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0E44B0B1"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70-79</w:t>
            </w:r>
          </w:p>
        </w:tc>
        <w:tc>
          <w:tcPr>
            <w:tcW w:w="1780" w:type="dxa"/>
            <w:tcBorders>
              <w:top w:val="single" w:sz="4" w:space="0" w:color="EBF1DE"/>
              <w:left w:val="nil"/>
              <w:bottom w:val="single" w:sz="4" w:space="0" w:color="EBF1DE"/>
              <w:right w:val="nil"/>
            </w:tcBorders>
            <w:shd w:val="clear" w:color="auto" w:fill="auto"/>
            <w:noWrap/>
            <w:vAlign w:val="bottom"/>
            <w:hideMark/>
          </w:tcPr>
          <w:p w14:paraId="7C3B3324"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11650</w:t>
            </w:r>
          </w:p>
        </w:tc>
        <w:tc>
          <w:tcPr>
            <w:tcW w:w="700" w:type="dxa"/>
            <w:tcBorders>
              <w:top w:val="single" w:sz="4" w:space="0" w:color="EBF1DE"/>
              <w:left w:val="nil"/>
              <w:bottom w:val="single" w:sz="4" w:space="0" w:color="EBF1DE"/>
              <w:right w:val="nil"/>
            </w:tcBorders>
            <w:shd w:val="clear" w:color="auto" w:fill="auto"/>
            <w:noWrap/>
            <w:vAlign w:val="bottom"/>
            <w:hideMark/>
          </w:tcPr>
          <w:p w14:paraId="0625D8CE"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10000</w:t>
            </w:r>
          </w:p>
        </w:tc>
        <w:tc>
          <w:tcPr>
            <w:tcW w:w="1240" w:type="dxa"/>
            <w:tcBorders>
              <w:top w:val="single" w:sz="4" w:space="0" w:color="EBF1DE"/>
              <w:left w:val="nil"/>
              <w:bottom w:val="single" w:sz="4" w:space="0" w:color="EBF1DE"/>
              <w:right w:val="nil"/>
            </w:tcBorders>
            <w:shd w:val="clear" w:color="auto" w:fill="auto"/>
            <w:noWrap/>
            <w:vAlign w:val="bottom"/>
            <w:hideMark/>
          </w:tcPr>
          <w:p w14:paraId="74FAF986"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21650</w:t>
            </w:r>
          </w:p>
        </w:tc>
      </w:tr>
      <w:tr w:rsidR="005459E9" w:rsidRPr="005459E9" w14:paraId="0761963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A00E54"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80-89</w:t>
            </w:r>
          </w:p>
        </w:tc>
        <w:tc>
          <w:tcPr>
            <w:tcW w:w="1780" w:type="dxa"/>
            <w:tcBorders>
              <w:top w:val="single" w:sz="4" w:space="0" w:color="EBF1DE"/>
              <w:left w:val="nil"/>
              <w:bottom w:val="single" w:sz="4" w:space="0" w:color="EBF1DE"/>
              <w:right w:val="nil"/>
            </w:tcBorders>
            <w:shd w:val="clear" w:color="auto" w:fill="auto"/>
            <w:noWrap/>
            <w:vAlign w:val="bottom"/>
            <w:hideMark/>
          </w:tcPr>
          <w:p w14:paraId="1C52817D"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10299</w:t>
            </w:r>
          </w:p>
        </w:tc>
        <w:tc>
          <w:tcPr>
            <w:tcW w:w="700" w:type="dxa"/>
            <w:tcBorders>
              <w:top w:val="single" w:sz="4" w:space="0" w:color="EBF1DE"/>
              <w:left w:val="nil"/>
              <w:bottom w:val="single" w:sz="4" w:space="0" w:color="EBF1DE"/>
              <w:right w:val="nil"/>
            </w:tcBorders>
            <w:shd w:val="clear" w:color="auto" w:fill="auto"/>
            <w:noWrap/>
            <w:vAlign w:val="bottom"/>
            <w:hideMark/>
          </w:tcPr>
          <w:p w14:paraId="243E4B23"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5737</w:t>
            </w:r>
          </w:p>
        </w:tc>
        <w:tc>
          <w:tcPr>
            <w:tcW w:w="1240" w:type="dxa"/>
            <w:tcBorders>
              <w:top w:val="single" w:sz="4" w:space="0" w:color="EBF1DE"/>
              <w:left w:val="nil"/>
              <w:bottom w:val="single" w:sz="4" w:space="0" w:color="EBF1DE"/>
              <w:right w:val="nil"/>
            </w:tcBorders>
            <w:shd w:val="clear" w:color="auto" w:fill="auto"/>
            <w:noWrap/>
            <w:vAlign w:val="bottom"/>
            <w:hideMark/>
          </w:tcPr>
          <w:p w14:paraId="04D5566F"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16036</w:t>
            </w:r>
          </w:p>
        </w:tc>
      </w:tr>
      <w:tr w:rsidR="005459E9" w:rsidRPr="005459E9" w14:paraId="6A5AB2CB"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5CBED02"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90-100</w:t>
            </w:r>
          </w:p>
        </w:tc>
        <w:tc>
          <w:tcPr>
            <w:tcW w:w="1780" w:type="dxa"/>
            <w:tcBorders>
              <w:top w:val="single" w:sz="4" w:space="0" w:color="EBF1DE"/>
              <w:left w:val="nil"/>
              <w:bottom w:val="single" w:sz="4" w:space="0" w:color="EBF1DE"/>
              <w:right w:val="nil"/>
            </w:tcBorders>
            <w:shd w:val="clear" w:color="auto" w:fill="auto"/>
            <w:noWrap/>
            <w:vAlign w:val="bottom"/>
            <w:hideMark/>
          </w:tcPr>
          <w:p w14:paraId="3B502E55"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2022</w:t>
            </w:r>
          </w:p>
        </w:tc>
        <w:tc>
          <w:tcPr>
            <w:tcW w:w="700" w:type="dxa"/>
            <w:tcBorders>
              <w:top w:val="single" w:sz="4" w:space="0" w:color="EBF1DE"/>
              <w:left w:val="nil"/>
              <w:bottom w:val="single" w:sz="4" w:space="0" w:color="EBF1DE"/>
              <w:right w:val="nil"/>
            </w:tcBorders>
            <w:shd w:val="clear" w:color="auto" w:fill="auto"/>
            <w:noWrap/>
            <w:vAlign w:val="bottom"/>
            <w:hideMark/>
          </w:tcPr>
          <w:p w14:paraId="0E0E4D19"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913</w:t>
            </w:r>
          </w:p>
        </w:tc>
        <w:tc>
          <w:tcPr>
            <w:tcW w:w="1240" w:type="dxa"/>
            <w:tcBorders>
              <w:top w:val="single" w:sz="4" w:space="0" w:color="EBF1DE"/>
              <w:left w:val="nil"/>
              <w:bottom w:val="single" w:sz="4" w:space="0" w:color="EBF1DE"/>
              <w:right w:val="nil"/>
            </w:tcBorders>
            <w:shd w:val="clear" w:color="auto" w:fill="auto"/>
            <w:noWrap/>
            <w:vAlign w:val="bottom"/>
            <w:hideMark/>
          </w:tcPr>
          <w:p w14:paraId="55B05FDE"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2935</w:t>
            </w:r>
          </w:p>
        </w:tc>
      </w:tr>
      <w:tr w:rsidR="005459E9" w:rsidRPr="005459E9" w14:paraId="3617A1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48A0C35" w14:textId="77777777" w:rsidR="005459E9" w:rsidRPr="005459E9" w:rsidRDefault="005459E9" w:rsidP="005459E9">
            <w:pPr>
              <w:spacing w:after="0" w:line="240" w:lineRule="auto"/>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&gt;100</w:t>
            </w:r>
          </w:p>
        </w:tc>
        <w:tc>
          <w:tcPr>
            <w:tcW w:w="1780" w:type="dxa"/>
            <w:tcBorders>
              <w:top w:val="single" w:sz="4" w:space="0" w:color="EBF1DE"/>
              <w:left w:val="nil"/>
              <w:bottom w:val="single" w:sz="4" w:space="0" w:color="EBF1DE"/>
              <w:right w:val="nil"/>
            </w:tcBorders>
            <w:shd w:val="clear" w:color="auto" w:fill="auto"/>
            <w:noWrap/>
            <w:vAlign w:val="bottom"/>
            <w:hideMark/>
          </w:tcPr>
          <w:p w14:paraId="2F032DC3"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12</w:t>
            </w:r>
          </w:p>
        </w:tc>
        <w:tc>
          <w:tcPr>
            <w:tcW w:w="700" w:type="dxa"/>
            <w:tcBorders>
              <w:top w:val="single" w:sz="4" w:space="0" w:color="EBF1DE"/>
              <w:left w:val="nil"/>
              <w:bottom w:val="single" w:sz="4" w:space="0" w:color="EBF1DE"/>
              <w:right w:val="nil"/>
            </w:tcBorders>
            <w:shd w:val="clear" w:color="auto" w:fill="auto"/>
            <w:noWrap/>
            <w:vAlign w:val="bottom"/>
            <w:hideMark/>
          </w:tcPr>
          <w:p w14:paraId="27FF69E2"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p>
        </w:tc>
        <w:tc>
          <w:tcPr>
            <w:tcW w:w="1240" w:type="dxa"/>
            <w:tcBorders>
              <w:top w:val="single" w:sz="4" w:space="0" w:color="EBF1DE"/>
              <w:left w:val="nil"/>
              <w:bottom w:val="single" w:sz="4" w:space="0" w:color="EBF1DE"/>
              <w:right w:val="nil"/>
            </w:tcBorders>
            <w:shd w:val="clear" w:color="auto" w:fill="auto"/>
            <w:noWrap/>
            <w:vAlign w:val="bottom"/>
            <w:hideMark/>
          </w:tcPr>
          <w:p w14:paraId="0C8DC6FD" w14:textId="77777777" w:rsidR="005459E9" w:rsidRPr="005459E9" w:rsidRDefault="005459E9" w:rsidP="005459E9">
            <w:pPr>
              <w:spacing w:after="0" w:line="240" w:lineRule="auto"/>
              <w:jc w:val="right"/>
              <w:rPr>
                <w:rFonts w:ascii="Calibri" w:eastAsia="Times New Roman" w:hAnsi="Calibri" w:cs="Calibri"/>
                <w:color w:val="000000"/>
                <w:sz w:val="24"/>
                <w:szCs w:val="24"/>
                <w:lang w:val="en-KE" w:eastAsia="en-KE"/>
              </w:rPr>
            </w:pPr>
            <w:r w:rsidRPr="005459E9">
              <w:rPr>
                <w:rFonts w:ascii="Calibri" w:eastAsia="Times New Roman" w:hAnsi="Calibri" w:cs="Calibri"/>
                <w:color w:val="000000"/>
                <w:sz w:val="24"/>
                <w:szCs w:val="24"/>
                <w:lang w:val="en-KE" w:eastAsia="en-KE"/>
              </w:rPr>
              <w:t>12</w:t>
            </w:r>
          </w:p>
        </w:tc>
      </w:tr>
      <w:tr w:rsidR="005459E9" w:rsidRPr="005459E9" w14:paraId="1FA67E87" w14:textId="77777777" w:rsidTr="005459E9">
        <w:trPr>
          <w:trHeight w:val="315"/>
          <w:jc w:val="center"/>
        </w:trPr>
        <w:tc>
          <w:tcPr>
            <w:tcW w:w="1980" w:type="dxa"/>
            <w:tcBorders>
              <w:top w:val="double" w:sz="6" w:space="0" w:color="76933C"/>
              <w:left w:val="nil"/>
              <w:bottom w:val="nil"/>
              <w:right w:val="nil"/>
            </w:tcBorders>
            <w:shd w:val="clear" w:color="auto" w:fill="auto"/>
            <w:noWrap/>
            <w:vAlign w:val="bottom"/>
            <w:hideMark/>
          </w:tcPr>
          <w:p w14:paraId="438CC122" w14:textId="77777777" w:rsidR="005459E9" w:rsidRPr="005459E9" w:rsidRDefault="005459E9" w:rsidP="005459E9">
            <w:pPr>
              <w:spacing w:after="0" w:line="240" w:lineRule="auto"/>
              <w:rPr>
                <w:rFonts w:ascii="Calibri" w:eastAsia="Times New Roman" w:hAnsi="Calibri" w:cs="Calibri"/>
                <w:b/>
                <w:bCs/>
                <w:color w:val="000000"/>
                <w:sz w:val="24"/>
                <w:szCs w:val="24"/>
                <w:lang w:val="en-KE" w:eastAsia="en-KE"/>
              </w:rPr>
            </w:pPr>
            <w:r w:rsidRPr="005459E9">
              <w:rPr>
                <w:rFonts w:ascii="Calibri" w:eastAsia="Times New Roman" w:hAnsi="Calibri" w:cs="Calibri"/>
                <w:b/>
                <w:bCs/>
                <w:color w:val="000000"/>
                <w:sz w:val="24"/>
                <w:szCs w:val="24"/>
                <w:lang w:val="en-KE" w:eastAsia="en-KE"/>
              </w:rPr>
              <w:t>Grand Total</w:t>
            </w:r>
          </w:p>
        </w:tc>
        <w:tc>
          <w:tcPr>
            <w:tcW w:w="1780" w:type="dxa"/>
            <w:tcBorders>
              <w:top w:val="double" w:sz="6" w:space="0" w:color="76933C"/>
              <w:left w:val="nil"/>
              <w:bottom w:val="nil"/>
              <w:right w:val="nil"/>
            </w:tcBorders>
            <w:shd w:val="clear" w:color="auto" w:fill="auto"/>
            <w:noWrap/>
            <w:vAlign w:val="bottom"/>
            <w:hideMark/>
          </w:tcPr>
          <w:p w14:paraId="09DA08E6" w14:textId="77777777" w:rsidR="005459E9" w:rsidRPr="005459E9" w:rsidRDefault="005459E9" w:rsidP="005459E9">
            <w:pPr>
              <w:spacing w:after="0" w:line="240" w:lineRule="auto"/>
              <w:jc w:val="right"/>
              <w:rPr>
                <w:rFonts w:ascii="Calibri" w:eastAsia="Times New Roman" w:hAnsi="Calibri" w:cs="Calibri"/>
                <w:b/>
                <w:bCs/>
                <w:color w:val="000000"/>
                <w:sz w:val="24"/>
                <w:szCs w:val="24"/>
                <w:lang w:val="en-KE" w:eastAsia="en-KE"/>
              </w:rPr>
            </w:pPr>
            <w:r w:rsidRPr="005459E9">
              <w:rPr>
                <w:rFonts w:ascii="Calibri" w:eastAsia="Times New Roman" w:hAnsi="Calibri" w:cs="Calibri"/>
                <w:b/>
                <w:bCs/>
                <w:color w:val="000000"/>
                <w:sz w:val="24"/>
                <w:szCs w:val="24"/>
                <w:lang w:val="en-KE" w:eastAsia="en-KE"/>
              </w:rPr>
              <w:t>83977</w:t>
            </w:r>
          </w:p>
        </w:tc>
        <w:tc>
          <w:tcPr>
            <w:tcW w:w="700" w:type="dxa"/>
            <w:tcBorders>
              <w:top w:val="double" w:sz="6" w:space="0" w:color="76933C"/>
              <w:left w:val="nil"/>
              <w:bottom w:val="nil"/>
              <w:right w:val="nil"/>
            </w:tcBorders>
            <w:shd w:val="clear" w:color="auto" w:fill="auto"/>
            <w:noWrap/>
            <w:vAlign w:val="bottom"/>
            <w:hideMark/>
          </w:tcPr>
          <w:p w14:paraId="0C942757" w14:textId="77777777" w:rsidR="005459E9" w:rsidRPr="005459E9" w:rsidRDefault="005459E9" w:rsidP="005459E9">
            <w:pPr>
              <w:spacing w:after="0" w:line="240" w:lineRule="auto"/>
              <w:jc w:val="right"/>
              <w:rPr>
                <w:rFonts w:ascii="Calibri" w:eastAsia="Times New Roman" w:hAnsi="Calibri" w:cs="Calibri"/>
                <w:b/>
                <w:bCs/>
                <w:color w:val="000000"/>
                <w:sz w:val="24"/>
                <w:szCs w:val="24"/>
                <w:lang w:val="en-KE" w:eastAsia="en-KE"/>
              </w:rPr>
            </w:pPr>
            <w:r w:rsidRPr="005459E9">
              <w:rPr>
                <w:rFonts w:ascii="Calibri" w:eastAsia="Times New Roman" w:hAnsi="Calibri" w:cs="Calibri"/>
                <w:b/>
                <w:bCs/>
                <w:color w:val="000000"/>
                <w:sz w:val="24"/>
                <w:szCs w:val="24"/>
                <w:lang w:val="en-KE" w:eastAsia="en-KE"/>
              </w:rPr>
              <w:t>64578</w:t>
            </w:r>
          </w:p>
        </w:tc>
        <w:tc>
          <w:tcPr>
            <w:tcW w:w="1240" w:type="dxa"/>
            <w:tcBorders>
              <w:top w:val="double" w:sz="6" w:space="0" w:color="76933C"/>
              <w:left w:val="nil"/>
              <w:bottom w:val="nil"/>
              <w:right w:val="nil"/>
            </w:tcBorders>
            <w:shd w:val="clear" w:color="auto" w:fill="auto"/>
            <w:noWrap/>
            <w:vAlign w:val="bottom"/>
            <w:hideMark/>
          </w:tcPr>
          <w:p w14:paraId="2AB5E888" w14:textId="77777777" w:rsidR="005459E9" w:rsidRPr="005459E9" w:rsidRDefault="005459E9" w:rsidP="005459E9">
            <w:pPr>
              <w:spacing w:after="0" w:line="240" w:lineRule="auto"/>
              <w:jc w:val="right"/>
              <w:rPr>
                <w:rFonts w:ascii="Calibri" w:eastAsia="Times New Roman" w:hAnsi="Calibri" w:cs="Calibri"/>
                <w:b/>
                <w:bCs/>
                <w:color w:val="000000"/>
                <w:sz w:val="24"/>
                <w:szCs w:val="24"/>
                <w:lang w:val="en-KE" w:eastAsia="en-KE"/>
              </w:rPr>
            </w:pPr>
            <w:r w:rsidRPr="005459E9">
              <w:rPr>
                <w:rFonts w:ascii="Calibri" w:eastAsia="Times New Roman" w:hAnsi="Calibri" w:cs="Calibri"/>
                <w:b/>
                <w:bCs/>
                <w:color w:val="000000"/>
                <w:sz w:val="24"/>
                <w:szCs w:val="24"/>
                <w:lang w:val="en-KE" w:eastAsia="en-KE"/>
              </w:rPr>
              <w:t>148555</w:t>
            </w:r>
          </w:p>
        </w:tc>
      </w:tr>
    </w:tbl>
    <w:p w14:paraId="6E7B6736" w14:textId="77777777" w:rsidR="005459E9" w:rsidRDefault="005459E9" w:rsidP="00A92E05">
      <w:pPr>
        <w:pStyle w:val="NormalWeb"/>
        <w:spacing w:before="0" w:beforeAutospacing="0" w:after="0" w:afterAutospacing="0" w:line="480" w:lineRule="auto"/>
        <w:ind w:firstLine="720"/>
        <w:rPr>
          <w:color w:val="0E101A"/>
        </w:rPr>
      </w:pPr>
    </w:p>
    <w:p w14:paraId="595EFF81" w14:textId="5122BFC2" w:rsidR="005459E9" w:rsidRDefault="005F653D" w:rsidP="005459E9">
      <w:pPr>
        <w:pStyle w:val="NormalWeb"/>
        <w:spacing w:before="0" w:beforeAutospacing="0" w:after="0" w:afterAutospacing="0" w:line="480" w:lineRule="auto"/>
        <w:ind w:firstLine="720"/>
        <w:rPr>
          <w:color w:val="0E101A"/>
        </w:rPr>
      </w:pPr>
      <w:r w:rsidRPr="00AB5E17">
        <w:rPr>
          <w:color w:val="0E101A"/>
        </w:rPr>
        <w:t xml:space="preserve">There is a wide array of diabetes mellitus prevention and control studies that are being conducted commonly in the modern world. Besides, people are increasingly getting involved in making life changes and taking insulin to control blood pressure and blood fats. Diabetes, </w:t>
      </w:r>
      <w:r w:rsidRPr="00AB5E17">
        <w:rPr>
          <w:color w:val="0E101A"/>
        </w:rPr>
        <w:lastRenderedPageBreak/>
        <w:t>commonly referred to as diabetes mellitus, is a group of metabolic disorders that make a person have high blood sugars either because of inadequate production of insulin or inappropriate response of the cells to insulin.</w:t>
      </w:r>
      <w:r w:rsidR="005459E9">
        <w:rPr>
          <w:color w:val="0E101A"/>
        </w:rPr>
        <w:t xml:space="preserve"> </w:t>
      </w:r>
    </w:p>
    <w:p w14:paraId="43DECDE3" w14:textId="2E4CA6F4" w:rsidR="005459E9" w:rsidRDefault="005459E9" w:rsidP="005459E9">
      <w:pPr>
        <w:pStyle w:val="NormalWeb"/>
        <w:spacing w:before="0" w:beforeAutospacing="0" w:after="0" w:afterAutospacing="0" w:line="480" w:lineRule="auto"/>
        <w:ind w:firstLine="720"/>
        <w:rPr>
          <w:b/>
          <w:bCs/>
          <w:noProof/>
        </w:rPr>
      </w:pPr>
      <w:r w:rsidRPr="00AB5E17">
        <w:rPr>
          <w:color w:val="0E101A"/>
        </w:rPr>
        <w:t xml:space="preserve">The health data from UST Hospital shows that there 20 variables and 150 records of data in total. Some of the data variables are the diagnosis stage of diabetes mellitus, age, gender, weight, hypertension, countries, etc. Cluster analysis of excels using Pivot tables as performed on the health data from UST Hospital. UST is a hospital that operates in Australia. Some of the trends of diabetes identified in the data set are examined in detail. </w:t>
      </w:r>
      <w:r w:rsidR="002A0604">
        <w:rPr>
          <w:color w:val="0E101A"/>
        </w:rPr>
        <w:t>The patient was grouped in the interval of 10 years</w:t>
      </w:r>
      <w:r w:rsidRPr="00AB5E17">
        <w:rPr>
          <w:color w:val="0E101A"/>
        </w:rPr>
        <w:t xml:space="preserve">. The mean age of patients from the data is 50 years, and it is apparent that diabetes is more prevalent among patients </w:t>
      </w:r>
      <w:r w:rsidR="002A0604">
        <w:rPr>
          <w:color w:val="0E101A"/>
        </w:rPr>
        <w:t>of age group 70-79 than any other age group</w:t>
      </w:r>
      <w:r w:rsidRPr="00AB5E17">
        <w:rPr>
          <w:color w:val="0E101A"/>
        </w:rPr>
        <w:t>. Based on age, the pivot table shows that diabetes affects women more than men. The pivot table shows that</w:t>
      </w:r>
      <w:r w:rsidR="002A0604">
        <w:rPr>
          <w:color w:val="0E101A"/>
        </w:rPr>
        <w:t xml:space="preserve"> the length of stay of women in at </w:t>
      </w:r>
      <w:r w:rsidR="002A0604" w:rsidRPr="00AB5E17">
        <w:rPr>
          <w:color w:val="0E101A"/>
        </w:rPr>
        <w:t>UTS Hospital</w:t>
      </w:r>
      <w:r w:rsidR="002A0604">
        <w:rPr>
          <w:color w:val="0E101A"/>
        </w:rPr>
        <w:t xml:space="preserve"> is total of </w:t>
      </w:r>
      <w:r w:rsidR="002A0604">
        <w:rPr>
          <w:color w:val="0E101A"/>
        </w:rPr>
        <w:t xml:space="preserve">11650 </w:t>
      </w:r>
      <w:r w:rsidRPr="00AB5E17">
        <w:rPr>
          <w:color w:val="0E101A"/>
        </w:rPr>
        <w:t xml:space="preserve">compared with </w:t>
      </w:r>
      <w:r w:rsidR="002A0604">
        <w:rPr>
          <w:color w:val="0E101A"/>
        </w:rPr>
        <w:t>10000</w:t>
      </w:r>
      <w:r w:rsidR="002A0604" w:rsidRPr="00AB5E17">
        <w:rPr>
          <w:color w:val="0E101A"/>
        </w:rPr>
        <w:t xml:space="preserve"> </w:t>
      </w:r>
      <w:r w:rsidR="002A0604">
        <w:rPr>
          <w:color w:val="0E101A"/>
        </w:rPr>
        <w:t>of men</w:t>
      </w:r>
      <w:r w:rsidRPr="00AB5E17">
        <w:rPr>
          <w:color w:val="0E101A"/>
        </w:rPr>
        <w:t>. The data reveal that overweight people have a higher risk of diabetes because it is clear from the dataset that people weighing 65 kg are more likely to suffer from diabetes than light people. Both primary and secondary diagnoses show that people aged 60 and above have diabetes than people below the same age. UST received and recorded 3096 patients with diabetes aged 60 years and above compared to only 1957 patients below the age of 60.</w:t>
      </w:r>
    </w:p>
    <w:p w14:paraId="2758BFAB" w14:textId="77777777" w:rsidR="005459E9" w:rsidRDefault="005459E9" w:rsidP="005459E9">
      <w:pPr>
        <w:pStyle w:val="NormalWeb"/>
        <w:spacing w:before="0" w:beforeAutospacing="0" w:after="0" w:afterAutospacing="0" w:line="480" w:lineRule="auto"/>
        <w:ind w:firstLine="720"/>
        <w:jc w:val="center"/>
        <w:rPr>
          <w:b/>
          <w:bCs/>
          <w:noProof/>
        </w:rPr>
      </w:pPr>
    </w:p>
    <w:p w14:paraId="1A940EFD" w14:textId="77777777" w:rsidR="002A0604" w:rsidRDefault="002A0604" w:rsidP="005459E9">
      <w:pPr>
        <w:pStyle w:val="NormalWeb"/>
        <w:spacing w:before="0" w:beforeAutospacing="0" w:after="0" w:afterAutospacing="0" w:line="480" w:lineRule="auto"/>
        <w:ind w:firstLine="720"/>
        <w:jc w:val="center"/>
        <w:rPr>
          <w:b/>
          <w:bCs/>
          <w:noProof/>
        </w:rPr>
      </w:pPr>
    </w:p>
    <w:p w14:paraId="22E81A85" w14:textId="77777777" w:rsidR="002A0604" w:rsidRDefault="002A0604" w:rsidP="005459E9">
      <w:pPr>
        <w:pStyle w:val="NormalWeb"/>
        <w:spacing w:before="0" w:beforeAutospacing="0" w:after="0" w:afterAutospacing="0" w:line="480" w:lineRule="auto"/>
        <w:ind w:firstLine="720"/>
        <w:jc w:val="center"/>
        <w:rPr>
          <w:b/>
          <w:bCs/>
          <w:noProof/>
        </w:rPr>
      </w:pPr>
    </w:p>
    <w:p w14:paraId="7B5C563F" w14:textId="77777777" w:rsidR="002A0604" w:rsidRDefault="002A0604" w:rsidP="005459E9">
      <w:pPr>
        <w:pStyle w:val="NormalWeb"/>
        <w:spacing w:before="0" w:beforeAutospacing="0" w:after="0" w:afterAutospacing="0" w:line="480" w:lineRule="auto"/>
        <w:ind w:firstLine="720"/>
        <w:jc w:val="center"/>
        <w:rPr>
          <w:b/>
          <w:bCs/>
          <w:noProof/>
        </w:rPr>
      </w:pPr>
    </w:p>
    <w:p w14:paraId="75E70F19" w14:textId="77777777" w:rsidR="002A0604" w:rsidRDefault="002A0604" w:rsidP="005459E9">
      <w:pPr>
        <w:pStyle w:val="NormalWeb"/>
        <w:spacing w:before="0" w:beforeAutospacing="0" w:after="0" w:afterAutospacing="0" w:line="480" w:lineRule="auto"/>
        <w:ind w:firstLine="720"/>
        <w:jc w:val="center"/>
        <w:rPr>
          <w:b/>
          <w:bCs/>
          <w:noProof/>
        </w:rPr>
      </w:pPr>
    </w:p>
    <w:p w14:paraId="474F7D78" w14:textId="77777777" w:rsidR="002A0604" w:rsidRDefault="002A0604" w:rsidP="005459E9">
      <w:pPr>
        <w:pStyle w:val="NormalWeb"/>
        <w:spacing w:before="0" w:beforeAutospacing="0" w:after="0" w:afterAutospacing="0" w:line="480" w:lineRule="auto"/>
        <w:ind w:firstLine="720"/>
        <w:jc w:val="center"/>
        <w:rPr>
          <w:b/>
          <w:bCs/>
          <w:noProof/>
        </w:rPr>
      </w:pPr>
    </w:p>
    <w:p w14:paraId="789E1A1F" w14:textId="77777777" w:rsidR="002A0604" w:rsidRDefault="002A0604" w:rsidP="005459E9">
      <w:pPr>
        <w:pStyle w:val="NormalWeb"/>
        <w:spacing w:before="0" w:beforeAutospacing="0" w:after="0" w:afterAutospacing="0" w:line="480" w:lineRule="auto"/>
        <w:ind w:firstLine="720"/>
        <w:jc w:val="center"/>
        <w:rPr>
          <w:b/>
          <w:bCs/>
          <w:noProof/>
        </w:rPr>
      </w:pPr>
    </w:p>
    <w:p w14:paraId="6130F226" w14:textId="4F8D3E5B" w:rsidR="003F15C3" w:rsidRDefault="00B072CB" w:rsidP="005459E9">
      <w:pPr>
        <w:pStyle w:val="NormalWeb"/>
        <w:spacing w:before="0" w:beforeAutospacing="0" w:after="0" w:afterAutospacing="0" w:line="480" w:lineRule="auto"/>
        <w:ind w:firstLine="720"/>
        <w:jc w:val="center"/>
        <w:rPr>
          <w:b/>
          <w:bCs/>
          <w:noProof/>
        </w:rPr>
      </w:pPr>
      <w:r w:rsidRPr="005459E9">
        <w:rPr>
          <w:b/>
          <w:bCs/>
          <w:noProof/>
        </w:rPr>
        <w:t>Pivot Table Chart (Showing LOS for Each Age Group)</w:t>
      </w:r>
    </w:p>
    <w:p w14:paraId="1FD820F9" w14:textId="28D79C11" w:rsidR="00B072CB" w:rsidRPr="005459E9" w:rsidRDefault="005459E9" w:rsidP="005459E9">
      <w:pPr>
        <w:pStyle w:val="NormalWeb"/>
        <w:spacing w:before="0" w:beforeAutospacing="0" w:after="0" w:afterAutospacing="0" w:line="480" w:lineRule="auto"/>
        <w:ind w:firstLine="720"/>
        <w:rPr>
          <w:b/>
          <w:bCs/>
          <w:noProof/>
        </w:rPr>
      </w:pPr>
      <w:r>
        <w:rPr>
          <w:noProof/>
        </w:rPr>
        <w:drawing>
          <wp:inline distT="0" distB="0" distL="0" distR="0" wp14:anchorId="2957A499" wp14:editId="7AE5DC26">
            <wp:extent cx="4962525" cy="2686050"/>
            <wp:effectExtent l="0" t="0" r="9525" b="0"/>
            <wp:docPr id="1" name="Chart 1">
              <a:extLst xmlns:a="http://schemas.openxmlformats.org/drawingml/2006/main">
                <a:ext uri="{FF2B5EF4-FFF2-40B4-BE49-F238E27FC236}">
                  <a16:creationId xmlns:a16="http://schemas.microsoft.com/office/drawing/2014/main" id="{A07D3536-A66C-4EB9-BE12-C69D19FEA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2EC1D45" w14:textId="77777777" w:rsidR="005F653D" w:rsidRPr="00AB5E17" w:rsidRDefault="005F653D" w:rsidP="00A92E05">
      <w:pPr>
        <w:spacing w:line="480" w:lineRule="auto"/>
        <w:ind w:firstLine="720"/>
        <w:rPr>
          <w:rFonts w:ascii="Times New Roman" w:hAnsi="Times New Roman" w:cs="Times New Roman"/>
          <w:b/>
          <w:sz w:val="24"/>
          <w:szCs w:val="24"/>
        </w:rPr>
      </w:pPr>
      <w:r w:rsidRPr="00AB5E17">
        <w:rPr>
          <w:rFonts w:ascii="Times New Roman" w:hAnsi="Times New Roman" w:cs="Times New Roman"/>
          <w:b/>
          <w:sz w:val="24"/>
          <w:szCs w:val="24"/>
        </w:rPr>
        <w:t>Discussion</w:t>
      </w:r>
    </w:p>
    <w:p w14:paraId="472BB110" w14:textId="468BA200" w:rsidR="003802F4" w:rsidRPr="003802F4" w:rsidRDefault="003802F4" w:rsidP="00A92E05">
      <w:pPr>
        <w:spacing w:line="480" w:lineRule="auto"/>
        <w:ind w:firstLine="720"/>
        <w:rPr>
          <w:rFonts w:ascii="Times New Roman" w:hAnsi="Times New Roman" w:cs="Times New Roman"/>
          <w:sz w:val="24"/>
          <w:szCs w:val="24"/>
        </w:rPr>
      </w:pPr>
      <w:r w:rsidRPr="003802F4">
        <w:rPr>
          <w:rFonts w:ascii="Times New Roman" w:hAnsi="Times New Roman" w:cs="Times New Roman"/>
          <w:sz w:val="24"/>
          <w:szCs w:val="24"/>
        </w:rPr>
        <w:t xml:space="preserve">Diabetes mellitus is one of the most common cardiovascular diseases that has become a health problem in Australia and the world. In a bivariate analysis of health data from UST Hospital, a pivot table and chart </w:t>
      </w:r>
      <w:r w:rsidR="005459E9" w:rsidRPr="003802F4">
        <w:rPr>
          <w:rFonts w:ascii="Times New Roman" w:hAnsi="Times New Roman" w:cs="Times New Roman"/>
          <w:sz w:val="24"/>
          <w:szCs w:val="24"/>
        </w:rPr>
        <w:t>were</w:t>
      </w:r>
      <w:r w:rsidRPr="003802F4">
        <w:rPr>
          <w:rFonts w:ascii="Times New Roman" w:hAnsi="Times New Roman" w:cs="Times New Roman"/>
          <w:sz w:val="24"/>
          <w:szCs w:val="24"/>
        </w:rPr>
        <w:t xml:space="preserve"> generated from the prevalence of diabetes mellitus in different age groups of patients visiting the hospital. From the univariate analysis, it was found that diabetes mellitus is prevalent in 60 years above those below that age. These results are an exact reflection of the prevalence of diabetes mellitus in Australia. In a study conducted by Davis et al. (2018), it was found that one out of twenty Australians have diabetes. It is a significant health problem in the country, just as it in UST hospitals. Most Australians suffer from type 2 diabetes, requiring specialized diagnosis, management, and hospitalization (Davis et al. 2018 &amp; O’Reilly 2016). Like the high number of diagnosis and hospitalization cases of acute diagnosis in UST hospital, the Australian government spends a lot through the healthcare budget to help mitigate the problems caused by diabetes mellitus. In a study done by O’Reilly et al. (2016), it is </w:t>
      </w:r>
      <w:r w:rsidRPr="003802F4">
        <w:rPr>
          <w:rFonts w:ascii="Times New Roman" w:hAnsi="Times New Roman" w:cs="Times New Roman"/>
          <w:sz w:val="24"/>
          <w:szCs w:val="24"/>
        </w:rPr>
        <w:lastRenderedPageBreak/>
        <w:t xml:space="preserve">evident that the progressive increase in the number of Australian adults diagnosed with diabetes meaning more resources is needed to manage the disease and its complications. </w:t>
      </w:r>
    </w:p>
    <w:p w14:paraId="72349A36" w14:textId="77777777" w:rsidR="00305EA9" w:rsidRDefault="003802F4" w:rsidP="00A92E05">
      <w:pPr>
        <w:spacing w:line="480" w:lineRule="auto"/>
        <w:ind w:firstLine="720"/>
        <w:rPr>
          <w:rFonts w:ascii="Times New Roman" w:hAnsi="Times New Roman" w:cs="Times New Roman"/>
          <w:color w:val="222222"/>
          <w:sz w:val="24"/>
          <w:szCs w:val="24"/>
          <w:shd w:val="clear" w:color="auto" w:fill="FFFFFF"/>
        </w:rPr>
      </w:pPr>
      <w:r w:rsidRPr="003802F4">
        <w:rPr>
          <w:rFonts w:ascii="Times New Roman" w:hAnsi="Times New Roman" w:cs="Times New Roman"/>
          <w:sz w:val="24"/>
          <w:szCs w:val="24"/>
        </w:rPr>
        <w:t>According to O’Reilly (2016), there has been an increase in the prevalence of diabetes in Australia over the past few decades. However, the UST Hospital data analysis indicates that diabetes management and diagnosis increase and become complex as people age. The research shows that people aged 60 and above are more prone to having diabetes mellitus than younger generations. O’Reilly (2016) affirms that age is a risk factor for diabetes. Research conducted by Holmes (2020) and Baptista (2019) shows that 14% of the people aged 75 and above in Australia have type 2 diabetes. A further 13% of this population is at risk despite being not diagnosed. Holmes (2020) and Baptista (2019) further find that 50% of people aged 65 and above in Australia live with diabetes. The prevalence of diabetes among Australians shows that more men (16 percent) have diabetes mellitus than 10.4 % of women. Nonetheless, over half of the older people in the country are unaware that they have diabetes. Managing diabetes is quite a challenge in contemporary society, health services, and health professionals</w:t>
      </w:r>
      <w:r w:rsidR="002D4D32" w:rsidRPr="002D4D32">
        <w:rPr>
          <w:rFonts w:ascii="Times New Roman" w:hAnsi="Times New Roman" w:cs="Times New Roman"/>
          <w:color w:val="222222"/>
          <w:sz w:val="24"/>
          <w:szCs w:val="24"/>
          <w:shd w:val="clear" w:color="auto" w:fill="FFFFFF"/>
        </w:rPr>
        <w:t xml:space="preserve">. </w:t>
      </w:r>
    </w:p>
    <w:p w14:paraId="670CFCEE" w14:textId="77777777" w:rsidR="00A92E05" w:rsidRDefault="00A92E05" w:rsidP="00A92E05">
      <w:pPr>
        <w:pStyle w:val="NormalWeb"/>
        <w:spacing w:before="0" w:beforeAutospacing="0" w:after="0" w:afterAutospacing="0" w:line="480" w:lineRule="auto"/>
        <w:ind w:firstLine="720"/>
        <w:rPr>
          <w:color w:val="0E101A"/>
        </w:rPr>
      </w:pPr>
      <w:r>
        <w:rPr>
          <w:rStyle w:val="Strong"/>
          <w:color w:val="0E101A"/>
        </w:rPr>
        <w:t>Intervention to Reduce Readmission and Hospitalization of Diabetes</w:t>
      </w:r>
    </w:p>
    <w:p w14:paraId="78502547" w14:textId="77777777" w:rsidR="00A92E05" w:rsidRDefault="00A92E05" w:rsidP="00A92E05">
      <w:pPr>
        <w:pStyle w:val="NormalWeb"/>
        <w:spacing w:before="0" w:beforeAutospacing="0" w:after="0" w:afterAutospacing="0" w:line="480" w:lineRule="auto"/>
        <w:ind w:firstLine="720"/>
        <w:rPr>
          <w:color w:val="0E101A"/>
        </w:rPr>
      </w:pPr>
      <w:r>
        <w:rPr>
          <w:color w:val="0E101A"/>
        </w:rPr>
        <w:t xml:space="preserve">The rate of hospitalization and readmission is high in Australia, just as the health data from UST Hospital indicate. Therefore, readmission should be a priority to health care quality measures and targets for cost reduction caused by diabetes (Rubin, 2018). The burden of diabetes among hospitalized patients in Australia is substantially growing and costly, and readmission and hospitalization play a significant role in increasing this burden. Reducing hospitalization and readmission rates can significantly reduce healthcare costs and improve health care (Rubin, 2018). Possible ways of reducing hospitalization and readmission rates of diabetic patients are increasing inpatient education, better discharge instructions, coordination of care, post-discharge </w:t>
      </w:r>
      <w:r>
        <w:rPr>
          <w:color w:val="0E101A"/>
        </w:rPr>
        <w:lastRenderedPageBreak/>
        <w:t>support, and specialty. Patient-based discharge should be offered by the nurse and other medical professionals to improve inpatient glycemic control and reduce all-cause readmission rates (Rubin, 2018). Nurse and other medical professionals should also dedicate outpatient support to help diabetic medically indigent patients who lack primary care to have diabetes transitional care after admission.</w:t>
      </w:r>
    </w:p>
    <w:p w14:paraId="35B3076F" w14:textId="77777777" w:rsidR="00A92E05" w:rsidRDefault="00A92E05" w:rsidP="00A92E05">
      <w:pPr>
        <w:pStyle w:val="NormalWeb"/>
        <w:spacing w:before="0" w:beforeAutospacing="0" w:after="0" w:afterAutospacing="0" w:line="480" w:lineRule="auto"/>
        <w:ind w:firstLine="720"/>
        <w:rPr>
          <w:color w:val="0E101A"/>
        </w:rPr>
      </w:pPr>
      <w:r>
        <w:rPr>
          <w:rStyle w:val="Strong"/>
          <w:color w:val="0E101A"/>
        </w:rPr>
        <w:t>Specific Recommendations </w:t>
      </w:r>
    </w:p>
    <w:p w14:paraId="303103DE" w14:textId="77777777" w:rsidR="00A92E05" w:rsidRDefault="00A92E05" w:rsidP="00A92E05">
      <w:pPr>
        <w:pStyle w:val="NormalWeb"/>
        <w:spacing w:before="0" w:beforeAutospacing="0" w:after="0" w:afterAutospacing="0" w:line="480" w:lineRule="auto"/>
        <w:ind w:firstLine="720"/>
        <w:rPr>
          <w:color w:val="0E101A"/>
        </w:rPr>
      </w:pPr>
      <w:r>
        <w:rPr>
          <w:color w:val="0E101A"/>
        </w:rPr>
        <w:t>With an increase in the number of hospitalization and readmission of patients released after diabetes treatment, hospital leaders and administrators should deploy multiple readmission reduction plans to improve the transition from caregiving to clients' wellness. Hospitals should there ensure that they deliver discharge information faster (Rubin, 2018). Traditionally, caregiving facilities provide a discharge report within 30 days of discharge after patient departure. Shortening this time to an interval of hours will increase clinical data relevance and provide timely insights into readmission occurrences (Rubin, 2018). Secondly, hospital administrators, clinical officers, nurses, and other medical officers should identify readmission characteristics before launching a readmission reduction initiative. This is vital as it will the area the efforts of the organization will be directed to. Lastly, hospitals should build appropriate strategies because of the nature of readmission being elusive (Rubin, 2018). Multiple applicable strategies increase hospitalization and readmission reduction probabilities. </w:t>
      </w:r>
    </w:p>
    <w:p w14:paraId="636E2D9E" w14:textId="77777777" w:rsidR="00A92E05" w:rsidRDefault="00A92E05" w:rsidP="00A92E05">
      <w:pPr>
        <w:pStyle w:val="NormalWeb"/>
        <w:spacing w:before="0" w:beforeAutospacing="0" w:after="0" w:afterAutospacing="0" w:line="480" w:lineRule="auto"/>
        <w:ind w:firstLine="720"/>
        <w:rPr>
          <w:color w:val="0E101A"/>
        </w:rPr>
      </w:pPr>
      <w:r>
        <w:rPr>
          <w:rStyle w:val="Strong"/>
          <w:color w:val="0E101A"/>
        </w:rPr>
        <w:t>Conclusion </w:t>
      </w:r>
    </w:p>
    <w:p w14:paraId="14D8FBAA" w14:textId="4548A479" w:rsidR="00A92E05" w:rsidRDefault="00A92E05" w:rsidP="00A92E05">
      <w:pPr>
        <w:pStyle w:val="NormalWeb"/>
        <w:spacing w:before="0" w:beforeAutospacing="0" w:after="0" w:afterAutospacing="0" w:line="480" w:lineRule="auto"/>
        <w:ind w:firstLine="720"/>
        <w:rPr>
          <w:color w:val="0E101A"/>
        </w:rPr>
      </w:pPr>
      <w:r>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Reducing hospitalization and readmission rates can </w:t>
      </w:r>
      <w:r>
        <w:rPr>
          <w:color w:val="0E101A"/>
        </w:rPr>
        <w:lastRenderedPageBreak/>
        <w:t xml:space="preserve">play a significant role in reducing healthcare costs and improving health care. Possible ways of reducing hospitalization and readmission rates of diabetic patients are increasing inpatient education, better discharge instructions, and coordination of care, post-discharge support, and specialty. Hospitals should there ensure that they deliver discharge information faster. </w:t>
      </w:r>
    </w:p>
    <w:p w14:paraId="3F780D6B" w14:textId="77777777" w:rsidR="003F15C3" w:rsidRDefault="003F15C3">
      <w:pPr>
        <w:rPr>
          <w:rFonts w:ascii="Times New Roman" w:eastAsia="Times New Roman" w:hAnsi="Times New Roman" w:cs="Times New Roman"/>
          <w:color w:val="0E101A"/>
          <w:sz w:val="24"/>
          <w:szCs w:val="24"/>
        </w:rPr>
      </w:pPr>
      <w:r>
        <w:rPr>
          <w:color w:val="0E101A"/>
        </w:rPr>
        <w:br w:type="page"/>
      </w:r>
    </w:p>
    <w:p w14:paraId="633B667F" w14:textId="049411B5" w:rsidR="00A92E05" w:rsidRPr="003F15C3" w:rsidRDefault="00A92E05" w:rsidP="003F15C3">
      <w:pPr>
        <w:pStyle w:val="NormalWeb"/>
        <w:spacing w:before="0" w:beforeAutospacing="0" w:after="0" w:afterAutospacing="0" w:line="480" w:lineRule="auto"/>
        <w:ind w:firstLine="720"/>
        <w:jc w:val="center"/>
        <w:rPr>
          <w:b/>
          <w:bCs/>
          <w:color w:val="0E101A"/>
        </w:rPr>
      </w:pPr>
      <w:r w:rsidRPr="003F15C3">
        <w:rPr>
          <w:b/>
          <w:bCs/>
          <w:color w:val="0E101A"/>
        </w:rPr>
        <w:lastRenderedPageBreak/>
        <w:t>References</w:t>
      </w:r>
    </w:p>
    <w:p w14:paraId="78D809BF" w14:textId="28F0E583" w:rsidR="00A92E05"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9F6572">
        <w:rPr>
          <w:rFonts w:ascii="Times New Roman" w:hAnsi="Times New Roman" w:cs="Times New Roman"/>
          <w:color w:val="222222"/>
          <w:sz w:val="24"/>
          <w:szCs w:val="24"/>
          <w:shd w:val="clear" w:color="auto" w:fill="FFFFFF"/>
        </w:rPr>
        <w:t>Baptista, S., Trawley, S., Pouwer, F., Oldenburg, B., Wadley, G., &amp; Speight, J. (2019). What do adults with type 2 diabetes want from the “Perfect” App? Results from the second diabetes MILES: Australia (MILES-2) study. </w:t>
      </w:r>
      <w:r w:rsidRPr="009F6572">
        <w:rPr>
          <w:rFonts w:ascii="Times New Roman" w:hAnsi="Times New Roman" w:cs="Times New Roman"/>
          <w:i/>
          <w:iCs/>
          <w:color w:val="222222"/>
          <w:sz w:val="24"/>
          <w:szCs w:val="24"/>
          <w:shd w:val="clear" w:color="auto" w:fill="FFFFFF"/>
        </w:rPr>
        <w:t>Diabetes technology &amp; therapeutics</w:t>
      </w:r>
      <w:r w:rsidRPr="009F6572">
        <w:rPr>
          <w:rFonts w:ascii="Times New Roman" w:hAnsi="Times New Roman" w:cs="Times New Roman"/>
          <w:color w:val="222222"/>
          <w:sz w:val="24"/>
          <w:szCs w:val="24"/>
          <w:shd w:val="clear" w:color="auto" w:fill="FFFFFF"/>
        </w:rPr>
        <w:t>, </w:t>
      </w:r>
      <w:r w:rsidRPr="009F6572">
        <w:rPr>
          <w:rFonts w:ascii="Times New Roman" w:hAnsi="Times New Roman" w:cs="Times New Roman"/>
          <w:i/>
          <w:iCs/>
          <w:color w:val="222222"/>
          <w:sz w:val="24"/>
          <w:szCs w:val="24"/>
          <w:shd w:val="clear" w:color="auto" w:fill="FFFFFF"/>
        </w:rPr>
        <w:t>21</w:t>
      </w:r>
      <w:r w:rsidRPr="009F6572">
        <w:rPr>
          <w:rFonts w:ascii="Times New Roman" w:hAnsi="Times New Roman" w:cs="Times New Roman"/>
          <w:color w:val="222222"/>
          <w:sz w:val="24"/>
          <w:szCs w:val="24"/>
          <w:shd w:val="clear" w:color="auto" w:fill="FFFFFF"/>
        </w:rPr>
        <w:t>(7), 393-399.</w:t>
      </w:r>
    </w:p>
    <w:p w14:paraId="3CA18D8F" w14:textId="14C97383" w:rsidR="003F15C3" w:rsidRDefault="003F15C3" w:rsidP="003F15C3">
      <w:pPr>
        <w:pStyle w:val="NormalWeb"/>
        <w:spacing w:line="360" w:lineRule="auto"/>
        <w:ind w:left="720" w:hanging="720"/>
        <w:rPr>
          <w:color w:val="222222"/>
          <w:shd w:val="clear" w:color="auto" w:fill="FFFFFF"/>
        </w:rPr>
      </w:pPr>
      <w:r w:rsidRPr="00352F83">
        <w:rPr>
          <w:color w:val="0E101A"/>
          <w:lang w:val="en-KE"/>
        </w:rPr>
        <w:t>Contreras, I., &amp; Vehi, J. (2018). Artificial intelligence for diabetes management and decision support: literature review. </w:t>
      </w:r>
      <w:r w:rsidRPr="00352F83">
        <w:rPr>
          <w:i/>
          <w:iCs/>
          <w:color w:val="0E101A"/>
          <w:lang w:val="en-KE"/>
        </w:rPr>
        <w:t>Journal of medical Internet research</w:t>
      </w:r>
      <w:r w:rsidRPr="00352F83">
        <w:rPr>
          <w:color w:val="0E101A"/>
          <w:lang w:val="en-KE"/>
        </w:rPr>
        <w:t>, </w:t>
      </w:r>
      <w:r w:rsidRPr="00352F83">
        <w:rPr>
          <w:i/>
          <w:iCs/>
          <w:color w:val="0E101A"/>
          <w:lang w:val="en-KE"/>
        </w:rPr>
        <w:t>20</w:t>
      </w:r>
      <w:r w:rsidRPr="00352F83">
        <w:rPr>
          <w:color w:val="0E101A"/>
          <w:lang w:val="en-KE"/>
        </w:rPr>
        <w:t>(5), e10775.</w:t>
      </w:r>
    </w:p>
    <w:p w14:paraId="12FAEF02" w14:textId="77777777" w:rsidR="00A92E05"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9F6572">
        <w:rPr>
          <w:rFonts w:ascii="Times New Roman" w:hAnsi="Times New Roman" w:cs="Times New Roman"/>
          <w:color w:val="222222"/>
          <w:sz w:val="24"/>
          <w:szCs w:val="24"/>
          <w:shd w:val="clear" w:color="auto" w:fill="FFFFFF"/>
        </w:rPr>
        <w:t xml:space="preserve"> Davis, W. A., Peters, K. E., Makepeace, A., Griffiths, S., Bundell, C., Grant, S. F., ... &amp; Davis, T. M. (2018). Prevalence of diabetes in Australia: insights from the Fremantle Diabetes Study Phase II. </w:t>
      </w:r>
      <w:r w:rsidRPr="009F6572">
        <w:rPr>
          <w:rFonts w:ascii="Times New Roman" w:hAnsi="Times New Roman" w:cs="Times New Roman"/>
          <w:i/>
          <w:iCs/>
          <w:color w:val="222222"/>
          <w:sz w:val="24"/>
          <w:szCs w:val="24"/>
          <w:shd w:val="clear" w:color="auto" w:fill="FFFFFF"/>
        </w:rPr>
        <w:t>Internal medicine journal</w:t>
      </w:r>
      <w:r w:rsidRPr="009F6572">
        <w:rPr>
          <w:rFonts w:ascii="Times New Roman" w:hAnsi="Times New Roman" w:cs="Times New Roman"/>
          <w:color w:val="222222"/>
          <w:sz w:val="24"/>
          <w:szCs w:val="24"/>
          <w:shd w:val="clear" w:color="auto" w:fill="FFFFFF"/>
        </w:rPr>
        <w:t>, </w:t>
      </w:r>
      <w:r w:rsidRPr="009F6572">
        <w:rPr>
          <w:rFonts w:ascii="Times New Roman" w:hAnsi="Times New Roman" w:cs="Times New Roman"/>
          <w:i/>
          <w:iCs/>
          <w:color w:val="222222"/>
          <w:sz w:val="24"/>
          <w:szCs w:val="24"/>
          <w:shd w:val="clear" w:color="auto" w:fill="FFFFFF"/>
        </w:rPr>
        <w:t>48</w:t>
      </w:r>
      <w:r w:rsidRPr="009F6572">
        <w:rPr>
          <w:rFonts w:ascii="Times New Roman" w:hAnsi="Times New Roman" w:cs="Times New Roman"/>
          <w:color w:val="222222"/>
          <w:sz w:val="24"/>
          <w:szCs w:val="24"/>
          <w:shd w:val="clear" w:color="auto" w:fill="FFFFFF"/>
        </w:rPr>
        <w:t>(7), 803-809..</w:t>
      </w:r>
    </w:p>
    <w:p w14:paraId="3FAFD4B4" w14:textId="77777777" w:rsidR="00A92E05"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9F6572">
        <w:rPr>
          <w:rFonts w:ascii="Times New Roman" w:hAnsi="Times New Roman" w:cs="Times New Roman"/>
          <w:color w:val="222222"/>
          <w:sz w:val="24"/>
          <w:szCs w:val="24"/>
          <w:shd w:val="clear" w:color="auto" w:fill="FFFFFF"/>
        </w:rPr>
        <w:t>Holmes-Truscott, E., Ventura, A. D., Thuraisingam, S., Pouwer, F., &amp; Speight, J. (2020). Psychosocial Moderators of the Impact of Diabetes Stigma: Results From the Second Diabetes MILES–Australia (MILES-2) Study. </w:t>
      </w:r>
      <w:r w:rsidRPr="009F6572">
        <w:rPr>
          <w:rFonts w:ascii="Times New Roman" w:hAnsi="Times New Roman" w:cs="Times New Roman"/>
          <w:i/>
          <w:iCs/>
          <w:color w:val="222222"/>
          <w:sz w:val="24"/>
          <w:szCs w:val="24"/>
          <w:shd w:val="clear" w:color="auto" w:fill="FFFFFF"/>
        </w:rPr>
        <w:t>Diabetes Care</w:t>
      </w:r>
      <w:r w:rsidRPr="009F6572">
        <w:rPr>
          <w:rFonts w:ascii="Times New Roman" w:hAnsi="Times New Roman" w:cs="Times New Roman"/>
          <w:color w:val="222222"/>
          <w:sz w:val="24"/>
          <w:szCs w:val="24"/>
          <w:shd w:val="clear" w:color="auto" w:fill="FFFFFF"/>
        </w:rPr>
        <w:t>.</w:t>
      </w:r>
    </w:p>
    <w:p w14:paraId="5B1B0A84" w14:textId="1AE2C30E" w:rsidR="00A92E05" w:rsidRDefault="00A92E05" w:rsidP="003F15C3">
      <w:pPr>
        <w:spacing w:line="480" w:lineRule="auto"/>
        <w:ind w:left="720" w:hanging="720"/>
        <w:rPr>
          <w:rFonts w:ascii="Times New Roman" w:hAnsi="Times New Roman" w:cs="Times New Roman"/>
          <w:color w:val="222222"/>
          <w:sz w:val="24"/>
          <w:szCs w:val="24"/>
          <w:shd w:val="clear" w:color="auto" w:fill="FFFFFF"/>
        </w:rPr>
      </w:pPr>
      <w:r w:rsidRPr="009F6572">
        <w:rPr>
          <w:rFonts w:ascii="Times New Roman" w:hAnsi="Times New Roman" w:cs="Times New Roman"/>
          <w:color w:val="222222"/>
          <w:sz w:val="24"/>
          <w:szCs w:val="24"/>
          <w:shd w:val="clear" w:color="auto" w:fill="FFFFFF"/>
        </w:rPr>
        <w:t xml:space="preserve"> O’Reilly, S. L., Dunbar, J. A., Versace, V., Janus, E., Best, J. D., Carter, R., ... &amp; Ebeling, P. R. (2016). Mothers after Gestational Diabetes in Australia (MAGDA): a randomised controlled trial of a postnatal diabetes prevention program. </w:t>
      </w:r>
      <w:r w:rsidRPr="009F6572">
        <w:rPr>
          <w:rFonts w:ascii="Times New Roman" w:hAnsi="Times New Roman" w:cs="Times New Roman"/>
          <w:i/>
          <w:iCs/>
          <w:color w:val="222222"/>
          <w:sz w:val="24"/>
          <w:szCs w:val="24"/>
          <w:shd w:val="clear" w:color="auto" w:fill="FFFFFF"/>
        </w:rPr>
        <w:t>PLoS medicine</w:t>
      </w:r>
      <w:r w:rsidRPr="009F6572">
        <w:rPr>
          <w:rFonts w:ascii="Times New Roman" w:hAnsi="Times New Roman" w:cs="Times New Roman"/>
          <w:color w:val="222222"/>
          <w:sz w:val="24"/>
          <w:szCs w:val="24"/>
          <w:shd w:val="clear" w:color="auto" w:fill="FFFFFF"/>
        </w:rPr>
        <w:t>, </w:t>
      </w:r>
      <w:r w:rsidRPr="009F6572">
        <w:rPr>
          <w:rFonts w:ascii="Times New Roman" w:hAnsi="Times New Roman" w:cs="Times New Roman"/>
          <w:i/>
          <w:iCs/>
          <w:color w:val="222222"/>
          <w:sz w:val="24"/>
          <w:szCs w:val="24"/>
          <w:shd w:val="clear" w:color="auto" w:fill="FFFFFF"/>
        </w:rPr>
        <w:t>13</w:t>
      </w:r>
      <w:r w:rsidRPr="009F6572">
        <w:rPr>
          <w:rFonts w:ascii="Times New Roman" w:hAnsi="Times New Roman" w:cs="Times New Roman"/>
          <w:color w:val="222222"/>
          <w:sz w:val="24"/>
          <w:szCs w:val="24"/>
          <w:shd w:val="clear" w:color="auto" w:fill="FFFFFF"/>
        </w:rPr>
        <w:t>(7), e1002092.</w:t>
      </w:r>
    </w:p>
    <w:p w14:paraId="74DB2CAD" w14:textId="77777777" w:rsidR="003F15C3" w:rsidRDefault="003F15C3" w:rsidP="003F15C3">
      <w:pPr>
        <w:pStyle w:val="NormalWeb"/>
        <w:spacing w:line="360" w:lineRule="auto"/>
        <w:ind w:left="720" w:hanging="720"/>
        <w:rPr>
          <w:color w:val="0E101A"/>
        </w:rPr>
      </w:pPr>
      <w:bookmarkStart w:id="2" w:name="_Hlk53993238"/>
      <w:r w:rsidRPr="00352F83">
        <w:rPr>
          <w:color w:val="0E101A"/>
          <w:lang w:val="en-KE"/>
        </w:rPr>
        <w:t xml:space="preserve">Davis, W. A., Peters, K. E., Makepeace, A., Griffiths, S., Bundell, C., Grant, S. F., ... &amp; Davis, T. M. (2018). </w:t>
      </w:r>
      <w:bookmarkEnd w:id="2"/>
      <w:r w:rsidRPr="00352F83">
        <w:rPr>
          <w:color w:val="0E101A"/>
          <w:lang w:val="en-KE"/>
        </w:rPr>
        <w:t>Prevalence of diabetes in Australia: insights from the Fremantle Diabetes Study Phase II. </w:t>
      </w:r>
      <w:r w:rsidRPr="00352F83">
        <w:rPr>
          <w:i/>
          <w:iCs/>
          <w:color w:val="0E101A"/>
          <w:lang w:val="en-KE"/>
        </w:rPr>
        <w:t>Internal medicine journal</w:t>
      </w:r>
      <w:r w:rsidRPr="00352F83">
        <w:rPr>
          <w:color w:val="0E101A"/>
          <w:lang w:val="en-KE"/>
        </w:rPr>
        <w:t>, </w:t>
      </w:r>
      <w:r w:rsidRPr="00352F83">
        <w:rPr>
          <w:i/>
          <w:iCs/>
          <w:color w:val="0E101A"/>
          <w:lang w:val="en-KE"/>
        </w:rPr>
        <w:t>48</w:t>
      </w:r>
      <w:r w:rsidRPr="00352F83">
        <w:rPr>
          <w:color w:val="0E101A"/>
          <w:lang w:val="en-KE"/>
        </w:rPr>
        <w:t>(7), 803-809.</w:t>
      </w:r>
      <w:r>
        <w:rPr>
          <w:color w:val="0E101A"/>
        </w:rPr>
        <w:t xml:space="preserve"> Retrieved from; </w:t>
      </w:r>
      <w:hyperlink r:id="rId5" w:history="1">
        <w:r w:rsidRPr="00D32329">
          <w:rPr>
            <w:rStyle w:val="Hyperlink"/>
          </w:rPr>
          <w:t>https://onlinelibrary.wiley.com/doi/full/10.1111/imj.13792</w:t>
        </w:r>
      </w:hyperlink>
    </w:p>
    <w:p w14:paraId="174DE90E" w14:textId="77777777" w:rsidR="003F15C3" w:rsidRDefault="003F15C3" w:rsidP="003F15C3">
      <w:pPr>
        <w:pStyle w:val="NormalWeb"/>
        <w:spacing w:line="360" w:lineRule="auto"/>
        <w:ind w:left="720" w:hanging="720"/>
        <w:rPr>
          <w:color w:val="0E101A"/>
          <w:lang w:val="en-KE"/>
        </w:rPr>
      </w:pPr>
      <w:bookmarkStart w:id="3" w:name="_Hlk53992913"/>
      <w:r w:rsidRPr="00352F83">
        <w:rPr>
          <w:color w:val="0E101A"/>
          <w:lang w:val="en-KE"/>
        </w:rPr>
        <w:lastRenderedPageBreak/>
        <w:t xml:space="preserve">Jannasch, F., Kröger, J., &amp; Schulze, M. B. (2017). </w:t>
      </w:r>
      <w:bookmarkEnd w:id="3"/>
      <w:r w:rsidRPr="00352F83">
        <w:rPr>
          <w:color w:val="0E101A"/>
          <w:lang w:val="en-KE"/>
        </w:rPr>
        <w:t>Dietary patterns and type 2 diabetes: a systematic literature review and meta-analysis of prospective studies. </w:t>
      </w:r>
      <w:r w:rsidRPr="00352F83">
        <w:rPr>
          <w:i/>
          <w:iCs/>
          <w:color w:val="0E101A"/>
          <w:lang w:val="en-KE"/>
        </w:rPr>
        <w:t>The Journal of nutrition</w:t>
      </w:r>
      <w:r w:rsidRPr="00352F83">
        <w:rPr>
          <w:color w:val="0E101A"/>
          <w:lang w:val="en-KE"/>
        </w:rPr>
        <w:t>, </w:t>
      </w:r>
      <w:r w:rsidRPr="00352F83">
        <w:rPr>
          <w:i/>
          <w:iCs/>
          <w:color w:val="0E101A"/>
          <w:lang w:val="en-KE"/>
        </w:rPr>
        <w:t>147</w:t>
      </w:r>
      <w:r w:rsidRPr="00352F83">
        <w:rPr>
          <w:color w:val="0E101A"/>
          <w:lang w:val="en-KE"/>
        </w:rPr>
        <w:t>(6), 1174-1182.</w:t>
      </w:r>
    </w:p>
    <w:p w14:paraId="22F26979" w14:textId="77777777" w:rsidR="003F15C3" w:rsidRDefault="003F15C3" w:rsidP="003F15C3">
      <w:pPr>
        <w:pStyle w:val="NormalWeb"/>
        <w:spacing w:line="360" w:lineRule="auto"/>
        <w:ind w:left="720" w:hanging="720"/>
        <w:rPr>
          <w:color w:val="0E101A"/>
          <w:lang w:val="en-KE"/>
        </w:rPr>
      </w:pPr>
      <w:bookmarkStart w:id="4" w:name="_Hlk53993579"/>
      <w:r w:rsidRPr="00964D39">
        <w:rPr>
          <w:color w:val="0E101A"/>
          <w:lang w:val="en-KE"/>
        </w:rPr>
        <w:t xml:space="preserve">Karahalios, A., Somarajah, G., Hamblin, P. S., Karunajeewa, H., &amp; Janus, E. D. (2018). </w:t>
      </w:r>
      <w:bookmarkEnd w:id="4"/>
      <w:r w:rsidRPr="00964D39">
        <w:rPr>
          <w:color w:val="0E101A"/>
          <w:lang w:val="en-KE"/>
        </w:rPr>
        <w:t>Quantifying the hidden healthcare cost of diabetes mellitus in Australian hospital patients. </w:t>
      </w:r>
      <w:r w:rsidRPr="00964D39">
        <w:rPr>
          <w:i/>
          <w:iCs/>
          <w:color w:val="0E101A"/>
          <w:lang w:val="en-KE"/>
        </w:rPr>
        <w:t>Internal Medicine Journal</w:t>
      </w:r>
      <w:r w:rsidRPr="00964D39">
        <w:rPr>
          <w:color w:val="0E101A"/>
          <w:lang w:val="en-KE"/>
        </w:rPr>
        <w:t>, </w:t>
      </w:r>
      <w:r w:rsidRPr="00964D39">
        <w:rPr>
          <w:i/>
          <w:iCs/>
          <w:color w:val="0E101A"/>
          <w:lang w:val="en-KE"/>
        </w:rPr>
        <w:t>48</w:t>
      </w:r>
      <w:r w:rsidRPr="00964D39">
        <w:rPr>
          <w:color w:val="0E101A"/>
          <w:lang w:val="en-KE"/>
        </w:rPr>
        <w:t>(3), 286-292.</w:t>
      </w:r>
    </w:p>
    <w:p w14:paraId="48C500F4" w14:textId="77777777" w:rsidR="003F15C3" w:rsidRDefault="003F15C3" w:rsidP="003F15C3">
      <w:pPr>
        <w:pStyle w:val="NormalWeb"/>
        <w:spacing w:line="360" w:lineRule="auto"/>
        <w:ind w:left="720" w:hanging="720"/>
        <w:rPr>
          <w:color w:val="0E101A"/>
        </w:rPr>
      </w:pPr>
      <w:r w:rsidRPr="003462AB">
        <w:rPr>
          <w:color w:val="0E101A"/>
          <w:lang w:val="en-KE"/>
        </w:rPr>
        <w:t>Lee, S. W. H., Chan, C. K. Y., Chua, S. S., &amp; Chaiyakunapruk, N. (2017). Comparative effectiveness of telemedicine strategies on type 2 diabetes management: a systematic review and network meta-analysis. </w:t>
      </w:r>
      <w:r w:rsidRPr="003462AB">
        <w:rPr>
          <w:i/>
          <w:iCs/>
          <w:color w:val="0E101A"/>
          <w:lang w:val="en-KE"/>
        </w:rPr>
        <w:t>Scientific reports</w:t>
      </w:r>
      <w:r w:rsidRPr="003462AB">
        <w:rPr>
          <w:color w:val="0E101A"/>
          <w:lang w:val="en-KE"/>
        </w:rPr>
        <w:t>, </w:t>
      </w:r>
      <w:r w:rsidRPr="003462AB">
        <w:rPr>
          <w:i/>
          <w:iCs/>
          <w:color w:val="0E101A"/>
          <w:lang w:val="en-KE"/>
        </w:rPr>
        <w:t>7</w:t>
      </w:r>
      <w:r w:rsidRPr="003462AB">
        <w:rPr>
          <w:color w:val="0E101A"/>
          <w:lang w:val="en-KE"/>
        </w:rPr>
        <w:t>(1), 1-11.</w:t>
      </w:r>
    </w:p>
    <w:p w14:paraId="66A616F4" w14:textId="0861A36A" w:rsidR="003F15C3" w:rsidRPr="009F6572" w:rsidRDefault="003F15C3" w:rsidP="00A92E05">
      <w:pPr>
        <w:spacing w:line="480" w:lineRule="auto"/>
        <w:ind w:left="720" w:hanging="720"/>
        <w:rPr>
          <w:rFonts w:ascii="Times New Roman" w:hAnsi="Times New Roman" w:cs="Times New Roman"/>
          <w:sz w:val="24"/>
          <w:szCs w:val="24"/>
        </w:rPr>
      </w:pPr>
      <w:r w:rsidRPr="009F6572">
        <w:rPr>
          <w:rFonts w:ascii="Times New Roman" w:hAnsi="Times New Roman" w:cs="Times New Roman"/>
          <w:color w:val="222222"/>
          <w:sz w:val="24"/>
          <w:szCs w:val="24"/>
          <w:shd w:val="clear" w:color="auto" w:fill="FFFFFF"/>
        </w:rPr>
        <w:t>Rubin, D. J. (2018). Correction to: hospital readmission of patients with diabetes. </w:t>
      </w:r>
      <w:r w:rsidRPr="009F6572">
        <w:rPr>
          <w:rFonts w:ascii="Times New Roman" w:hAnsi="Times New Roman" w:cs="Times New Roman"/>
          <w:i/>
          <w:iCs/>
          <w:color w:val="222222"/>
          <w:sz w:val="24"/>
          <w:szCs w:val="24"/>
          <w:shd w:val="clear" w:color="auto" w:fill="FFFFFF"/>
        </w:rPr>
        <w:t>Current diabetes reports</w:t>
      </w:r>
      <w:r w:rsidRPr="009F6572">
        <w:rPr>
          <w:rFonts w:ascii="Times New Roman" w:hAnsi="Times New Roman" w:cs="Times New Roman"/>
          <w:color w:val="222222"/>
          <w:sz w:val="24"/>
          <w:szCs w:val="24"/>
          <w:shd w:val="clear" w:color="auto" w:fill="FFFFFF"/>
        </w:rPr>
        <w:t>, </w:t>
      </w:r>
      <w:r w:rsidRPr="009F6572">
        <w:rPr>
          <w:rFonts w:ascii="Times New Roman" w:hAnsi="Times New Roman" w:cs="Times New Roman"/>
          <w:i/>
          <w:iCs/>
          <w:color w:val="222222"/>
          <w:sz w:val="24"/>
          <w:szCs w:val="24"/>
          <w:shd w:val="clear" w:color="auto" w:fill="FFFFFF"/>
        </w:rPr>
        <w:t>18</w:t>
      </w:r>
      <w:r w:rsidRPr="009F6572">
        <w:rPr>
          <w:rFonts w:ascii="Times New Roman" w:hAnsi="Times New Roman" w:cs="Times New Roman"/>
          <w:color w:val="222222"/>
          <w:sz w:val="24"/>
          <w:szCs w:val="24"/>
          <w:shd w:val="clear" w:color="auto" w:fill="FFFFFF"/>
        </w:rPr>
        <w:t>(4), 21.</w:t>
      </w:r>
    </w:p>
    <w:p w14:paraId="376F3FAC" w14:textId="77777777" w:rsidR="00A92E05" w:rsidRDefault="00A92E05" w:rsidP="00A92E05">
      <w:pPr>
        <w:pStyle w:val="NormalWeb"/>
        <w:spacing w:before="0" w:beforeAutospacing="0" w:after="0" w:afterAutospacing="0" w:line="480" w:lineRule="auto"/>
        <w:ind w:firstLine="720"/>
        <w:rPr>
          <w:color w:val="0E101A"/>
        </w:rPr>
      </w:pPr>
    </w:p>
    <w:p w14:paraId="41EA7B88" w14:textId="77777777" w:rsidR="00A92E05" w:rsidRPr="00A92E05" w:rsidRDefault="00A92E05" w:rsidP="00A92E05">
      <w:pPr>
        <w:spacing w:line="480" w:lineRule="auto"/>
        <w:ind w:firstLine="720"/>
        <w:rPr>
          <w:rFonts w:ascii="Times New Roman" w:hAnsi="Times New Roman" w:cs="Times New Roman"/>
          <w:b/>
          <w:color w:val="222222"/>
          <w:sz w:val="24"/>
          <w:szCs w:val="24"/>
          <w:shd w:val="clear" w:color="auto" w:fill="FFFFFF"/>
        </w:rPr>
      </w:pPr>
    </w:p>
    <w:sectPr w:rsidR="00A92E05" w:rsidRPr="00A92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76"/>
    <w:rsid w:val="00035BD6"/>
    <w:rsid w:val="000865FE"/>
    <w:rsid w:val="002031DF"/>
    <w:rsid w:val="00210CAC"/>
    <w:rsid w:val="002336C6"/>
    <w:rsid w:val="002574C0"/>
    <w:rsid w:val="0029399D"/>
    <w:rsid w:val="002A0604"/>
    <w:rsid w:val="002D4D32"/>
    <w:rsid w:val="00305EA9"/>
    <w:rsid w:val="00316B8A"/>
    <w:rsid w:val="003802F4"/>
    <w:rsid w:val="003C27A9"/>
    <w:rsid w:val="003F15C3"/>
    <w:rsid w:val="00415985"/>
    <w:rsid w:val="004634FC"/>
    <w:rsid w:val="0049093C"/>
    <w:rsid w:val="00523565"/>
    <w:rsid w:val="005459E9"/>
    <w:rsid w:val="00585F17"/>
    <w:rsid w:val="005C486A"/>
    <w:rsid w:val="005E3D3A"/>
    <w:rsid w:val="005F653D"/>
    <w:rsid w:val="00654631"/>
    <w:rsid w:val="006712A3"/>
    <w:rsid w:val="00675BA8"/>
    <w:rsid w:val="006B67F9"/>
    <w:rsid w:val="006F341F"/>
    <w:rsid w:val="006F6278"/>
    <w:rsid w:val="00703C7E"/>
    <w:rsid w:val="00722176"/>
    <w:rsid w:val="00741DFD"/>
    <w:rsid w:val="00766EFC"/>
    <w:rsid w:val="008176EB"/>
    <w:rsid w:val="00984B1A"/>
    <w:rsid w:val="00A56364"/>
    <w:rsid w:val="00A92E05"/>
    <w:rsid w:val="00AB5E17"/>
    <w:rsid w:val="00B072CB"/>
    <w:rsid w:val="00BE1777"/>
    <w:rsid w:val="00C21846"/>
    <w:rsid w:val="00C93AEA"/>
    <w:rsid w:val="00CF2097"/>
    <w:rsid w:val="00D352C8"/>
    <w:rsid w:val="00D774FB"/>
    <w:rsid w:val="00DD6494"/>
    <w:rsid w:val="00E25C5D"/>
    <w:rsid w:val="00F20FD9"/>
    <w:rsid w:val="00F37681"/>
    <w:rsid w:val="00F45591"/>
    <w:rsid w:val="00F80311"/>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EB6B"/>
  <w15:chartTrackingRefBased/>
  <w15:docId w15:val="{8BC37E7A-B087-4D24-B1F5-ECC27248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65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653D"/>
    <w:rPr>
      <w:b/>
      <w:bCs/>
    </w:rPr>
  </w:style>
  <w:style w:type="character" w:styleId="Hyperlink">
    <w:name w:val="Hyperlink"/>
    <w:basedOn w:val="DefaultParagraphFont"/>
    <w:uiPriority w:val="99"/>
    <w:unhideWhenUsed/>
    <w:rsid w:val="003F15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597727">
      <w:bodyDiv w:val="1"/>
      <w:marLeft w:val="0"/>
      <w:marRight w:val="0"/>
      <w:marTop w:val="0"/>
      <w:marBottom w:val="0"/>
      <w:divBdr>
        <w:top w:val="none" w:sz="0" w:space="0" w:color="auto"/>
        <w:left w:val="none" w:sz="0" w:space="0" w:color="auto"/>
        <w:bottom w:val="none" w:sz="0" w:space="0" w:color="auto"/>
        <w:right w:val="none" w:sz="0" w:space="0" w:color="auto"/>
      </w:divBdr>
    </w:div>
    <w:div w:id="412698661">
      <w:bodyDiv w:val="1"/>
      <w:marLeft w:val="0"/>
      <w:marRight w:val="0"/>
      <w:marTop w:val="0"/>
      <w:marBottom w:val="0"/>
      <w:divBdr>
        <w:top w:val="none" w:sz="0" w:space="0" w:color="auto"/>
        <w:left w:val="none" w:sz="0" w:space="0" w:color="auto"/>
        <w:bottom w:val="none" w:sz="0" w:space="0" w:color="auto"/>
        <w:right w:val="none" w:sz="0" w:space="0" w:color="auto"/>
      </w:divBdr>
    </w:div>
    <w:div w:id="1559973354">
      <w:bodyDiv w:val="1"/>
      <w:marLeft w:val="0"/>
      <w:marRight w:val="0"/>
      <w:marTop w:val="0"/>
      <w:marBottom w:val="0"/>
      <w:divBdr>
        <w:top w:val="none" w:sz="0" w:space="0" w:color="auto"/>
        <w:left w:val="none" w:sz="0" w:space="0" w:color="auto"/>
        <w:bottom w:val="none" w:sz="0" w:space="0" w:color="auto"/>
        <w:right w:val="none" w:sz="0" w:space="0" w:color="auto"/>
      </w:divBdr>
    </w:div>
    <w:div w:id="21016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nlinelibrary.wiley.com/doi/full/10.1111/imj.13792" TargetMode="Externa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20201018075456uts_hospital_data_3__2_%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[20201018075456uts_hospital_data_3__2_ (1).xlsx]Pivot Table and Chart!Diabetes Mellitus Variables (Age and LOS)</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LOS for Each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cked"/>
        <c:varyColors val="0"/>
        <c:ser>
          <c:idx val="0"/>
          <c:order val="0"/>
          <c:tx>
            <c:strRef>
              <c:f>'Pivot Table and Chart'!$B$3:$B$4</c:f>
              <c:strCache>
                <c:ptCount val="1"/>
                <c:pt idx="0">
                  <c:v>Female</c:v>
                </c:pt>
              </c:strCache>
            </c:strRef>
          </c:tx>
          <c:spPr>
            <a:ln w="28575" cap="rnd">
              <a:solidFill>
                <a:schemeClr val="accent1"/>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Chart'!$B$5:$B$16</c:f>
              <c:numCache>
                <c:formatCode>General</c:formatCode>
                <c:ptCount val="11"/>
                <c:pt idx="0">
                  <c:v>10229</c:v>
                </c:pt>
                <c:pt idx="1">
                  <c:v>3774</c:v>
                </c:pt>
                <c:pt idx="2">
                  <c:v>14453</c:v>
                </c:pt>
                <c:pt idx="3">
                  <c:v>11118</c:v>
                </c:pt>
                <c:pt idx="4">
                  <c:v>5807</c:v>
                </c:pt>
                <c:pt idx="5">
                  <c:v>7039</c:v>
                </c:pt>
                <c:pt idx="6">
                  <c:v>7574</c:v>
                </c:pt>
                <c:pt idx="7">
                  <c:v>11650</c:v>
                </c:pt>
                <c:pt idx="8">
                  <c:v>10299</c:v>
                </c:pt>
                <c:pt idx="9">
                  <c:v>2022</c:v>
                </c:pt>
                <c:pt idx="10">
                  <c:v>12</c:v>
                </c:pt>
              </c:numCache>
            </c:numRef>
          </c:val>
          <c:smooth val="0"/>
          <c:extLst>
            <c:ext xmlns:c16="http://schemas.microsoft.com/office/drawing/2014/chart" uri="{C3380CC4-5D6E-409C-BE32-E72D297353CC}">
              <c16:uniqueId val="{00000000-CC6B-43D1-BC85-F8FB8E555AB2}"/>
            </c:ext>
          </c:extLst>
        </c:ser>
        <c:ser>
          <c:idx val="1"/>
          <c:order val="1"/>
          <c:tx>
            <c:strRef>
              <c:f>'Pivot Table and Chart'!$C$3:$C$4</c:f>
              <c:strCache>
                <c:ptCount val="1"/>
                <c:pt idx="0">
                  <c:v>Male</c:v>
                </c:pt>
              </c:strCache>
            </c:strRef>
          </c:tx>
          <c:spPr>
            <a:ln w="28575" cap="rnd">
              <a:solidFill>
                <a:schemeClr val="accent2"/>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Chart'!$C$5:$C$16</c:f>
              <c:numCache>
                <c:formatCode>General</c:formatCode>
                <c:ptCount val="11"/>
                <c:pt idx="0">
                  <c:v>11703</c:v>
                </c:pt>
                <c:pt idx="1">
                  <c:v>2844</c:v>
                </c:pt>
                <c:pt idx="2">
                  <c:v>6031</c:v>
                </c:pt>
                <c:pt idx="3">
                  <c:v>5033</c:v>
                </c:pt>
                <c:pt idx="4">
                  <c:v>6887</c:v>
                </c:pt>
                <c:pt idx="5">
                  <c:v>7248</c:v>
                </c:pt>
                <c:pt idx="6">
                  <c:v>8182</c:v>
                </c:pt>
                <c:pt idx="7">
                  <c:v>10000</c:v>
                </c:pt>
                <c:pt idx="8">
                  <c:v>5737</c:v>
                </c:pt>
                <c:pt idx="9">
                  <c:v>913</c:v>
                </c:pt>
              </c:numCache>
            </c:numRef>
          </c:val>
          <c:smooth val="0"/>
          <c:extLst>
            <c:ext xmlns:c16="http://schemas.microsoft.com/office/drawing/2014/chart" uri="{C3380CC4-5D6E-409C-BE32-E72D297353CC}">
              <c16:uniqueId val="{00000001-CC6B-43D1-BC85-F8FB8E555AB2}"/>
            </c:ext>
          </c:extLst>
        </c:ser>
        <c:dLbls>
          <c:showLegendKey val="0"/>
          <c:showVal val="0"/>
          <c:showCatName val="0"/>
          <c:showSerName val="0"/>
          <c:showPercent val="0"/>
          <c:showBubbleSize val="0"/>
        </c:dLbls>
        <c:smooth val="0"/>
        <c:axId val="437367663"/>
        <c:axId val="442963231"/>
      </c:lineChart>
      <c:catAx>
        <c:axId val="43736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42963231"/>
        <c:crosses val="autoZero"/>
        <c:auto val="1"/>
        <c:lblAlgn val="ctr"/>
        <c:lblOffset val="100"/>
        <c:noMultiLvlLbl val="0"/>
      </c:catAx>
      <c:valAx>
        <c:axId val="442963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373676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14</Pages>
  <Words>3059</Words>
  <Characters>17439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10</cp:revision>
  <dcterms:created xsi:type="dcterms:W3CDTF">2020-10-19T07:56:00Z</dcterms:created>
  <dcterms:modified xsi:type="dcterms:W3CDTF">2020-10-20T04:23:00Z</dcterms:modified>
</cp:coreProperties>
</file>