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75AF7" w14:textId="77777777" w:rsidR="002942E4" w:rsidRPr="00CF4759" w:rsidRDefault="002942E4" w:rsidP="002942E4">
      <w:pPr>
        <w:rPr>
          <w:rFonts w:ascii="Arial Narrow" w:hAnsi="Arial Narrow" w:cstheme="minorBidi"/>
          <w:b/>
          <w:bCs/>
        </w:rPr>
      </w:pPr>
      <w:r w:rsidRPr="00CF4759">
        <w:rPr>
          <w:rFonts w:ascii="Arial Narrow" w:hAnsi="Arial Narrow" w:cstheme="minorBidi"/>
          <w:b/>
          <w:bCs/>
        </w:rPr>
        <w:t>The Bases for Our Decisions.</w:t>
      </w:r>
    </w:p>
    <w:p w14:paraId="78999B42" w14:textId="77777777" w:rsidR="002942E4" w:rsidRPr="002942E4" w:rsidRDefault="002942E4" w:rsidP="002942E4">
      <w:pPr>
        <w:rPr>
          <w:rFonts w:ascii="Arial Narrow" w:hAnsi="Arial Narrow" w:cstheme="minorBidi"/>
        </w:rPr>
      </w:pPr>
      <w:bookmarkStart w:id="0" w:name="_GoBack"/>
      <w:bookmarkEnd w:id="0"/>
    </w:p>
    <w:p w14:paraId="37E61D00" w14:textId="77777777" w:rsidR="002942E4" w:rsidRPr="002942E4" w:rsidRDefault="002942E4" w:rsidP="002942E4">
      <w:pPr>
        <w:numPr>
          <w:ilvl w:val="0"/>
          <w:numId w:val="1"/>
        </w:numPr>
        <w:spacing w:line="360" w:lineRule="auto"/>
        <w:rPr>
          <w:rFonts w:ascii="Arial Narrow" w:hAnsi="Arial Narrow" w:cstheme="minorBidi"/>
        </w:rPr>
      </w:pPr>
      <w:r w:rsidRPr="002942E4">
        <w:rPr>
          <w:rFonts w:ascii="Arial Narrow" w:hAnsi="Arial Narrow" w:cstheme="minorBidi"/>
        </w:rPr>
        <w:t xml:space="preserve">On what do we base our decisions? We’ve talked about </w:t>
      </w:r>
      <w:r w:rsidRPr="002942E4">
        <w:rPr>
          <w:rFonts w:ascii="Arial Narrow" w:hAnsi="Arial Narrow" w:cstheme="minorBidi"/>
          <w:u w:val="single"/>
        </w:rPr>
        <w:t>virtues, principles, and consequences</w:t>
      </w:r>
      <w:r w:rsidRPr="002942E4">
        <w:rPr>
          <w:rFonts w:ascii="Arial Narrow" w:hAnsi="Arial Narrow" w:cstheme="minorBidi"/>
        </w:rPr>
        <w:t>—but we need to look at the normative basis for our decisions. Norms are standards; for example, the various codes of ethics about which you wrote, enumerate standards of behavior for the practice of their particular professions.  Essentially, what criteria do we use when deciding? Normative Ethics are ethical theories which attempt to identify moral norms, values, or traits that should be accepted as standards or guides for moral behavior and moral judgments.</w:t>
      </w:r>
    </w:p>
    <w:p w14:paraId="11F363BE" w14:textId="77777777" w:rsidR="002942E4" w:rsidRPr="002942E4" w:rsidRDefault="002942E4" w:rsidP="002942E4">
      <w:pPr>
        <w:numPr>
          <w:ilvl w:val="0"/>
          <w:numId w:val="1"/>
        </w:numPr>
        <w:spacing w:line="360" w:lineRule="auto"/>
        <w:rPr>
          <w:rFonts w:ascii="Arial Narrow" w:hAnsi="Arial Narrow" w:cstheme="minorBidi"/>
        </w:rPr>
      </w:pPr>
      <w:r w:rsidRPr="002942E4">
        <w:rPr>
          <w:rFonts w:ascii="Arial Narrow" w:hAnsi="Arial Narrow" w:cstheme="minorBidi"/>
        </w:rPr>
        <w:t xml:space="preserve">A normative basis provides a framework, a point of reference, or backdrop against which we make decisions. Our book uses the example of basketball with its rulebook, sometimes these rules change based on making the game better or the players safer. Human experience, community life, revelation and other sources give us an idea of who we should become as individuals and how we should act with others. </w:t>
      </w:r>
    </w:p>
    <w:p w14:paraId="4146223A" w14:textId="77777777" w:rsidR="002942E4" w:rsidRPr="002942E4" w:rsidRDefault="002942E4" w:rsidP="002942E4">
      <w:pPr>
        <w:numPr>
          <w:ilvl w:val="0"/>
          <w:numId w:val="1"/>
        </w:numPr>
        <w:spacing w:line="360" w:lineRule="auto"/>
        <w:rPr>
          <w:rFonts w:ascii="Arial Narrow" w:hAnsi="Arial Narrow" w:cstheme="minorBidi"/>
        </w:rPr>
      </w:pPr>
      <w:r w:rsidRPr="002942E4">
        <w:rPr>
          <w:rFonts w:ascii="Arial Narrow" w:hAnsi="Arial Narrow" w:cstheme="minorBidi"/>
        </w:rPr>
        <w:t>If we have a normative basis and understand virtues, principles and consequences, how come everyone doesn’t live morally? Several reasons:</w:t>
      </w:r>
    </w:p>
    <w:p w14:paraId="3A9BD95F" w14:textId="77777777" w:rsidR="002942E4" w:rsidRPr="002942E4" w:rsidRDefault="002942E4" w:rsidP="002942E4">
      <w:pPr>
        <w:numPr>
          <w:ilvl w:val="1"/>
          <w:numId w:val="1"/>
        </w:numPr>
        <w:spacing w:line="360" w:lineRule="auto"/>
        <w:rPr>
          <w:rFonts w:ascii="Arial Narrow" w:hAnsi="Arial Narrow" w:cstheme="minorBidi"/>
        </w:rPr>
      </w:pPr>
      <w:r w:rsidRPr="002942E4">
        <w:rPr>
          <w:rFonts w:ascii="Arial Narrow" w:hAnsi="Arial Narrow" w:cstheme="minorBidi"/>
        </w:rPr>
        <w:t>We’re imperfect and our physical, mental, and moral limitations may prevent us from acting in the best way.</w:t>
      </w:r>
    </w:p>
    <w:p w14:paraId="07EEE43C" w14:textId="77777777" w:rsidR="002942E4" w:rsidRPr="002942E4" w:rsidRDefault="002942E4" w:rsidP="002942E4">
      <w:pPr>
        <w:numPr>
          <w:ilvl w:val="1"/>
          <w:numId w:val="1"/>
        </w:numPr>
        <w:spacing w:line="360" w:lineRule="auto"/>
        <w:rPr>
          <w:rFonts w:ascii="Arial Narrow" w:hAnsi="Arial Narrow" w:cstheme="minorBidi"/>
        </w:rPr>
      </w:pPr>
      <w:r w:rsidRPr="002942E4">
        <w:rPr>
          <w:rFonts w:ascii="Arial Narrow" w:hAnsi="Arial Narrow" w:cstheme="minorBidi"/>
        </w:rPr>
        <w:t>Our society also is imperfect and may not always help us live morally.</w:t>
      </w:r>
    </w:p>
    <w:p w14:paraId="72B699A6" w14:textId="77777777" w:rsidR="002942E4" w:rsidRPr="002942E4" w:rsidRDefault="002942E4" w:rsidP="002942E4">
      <w:pPr>
        <w:numPr>
          <w:ilvl w:val="1"/>
          <w:numId w:val="1"/>
        </w:numPr>
        <w:spacing w:line="360" w:lineRule="auto"/>
        <w:rPr>
          <w:rFonts w:ascii="Arial Narrow" w:hAnsi="Arial Narrow" w:cstheme="minorBidi"/>
        </w:rPr>
      </w:pPr>
      <w:r w:rsidRPr="002942E4">
        <w:rPr>
          <w:rFonts w:ascii="Arial Narrow" w:hAnsi="Arial Narrow" w:cstheme="minorBidi"/>
        </w:rPr>
        <w:t>We may not know the right thing to do and may lack the ability to discern it.</w:t>
      </w:r>
    </w:p>
    <w:p w14:paraId="62317CEC" w14:textId="77777777" w:rsidR="002942E4" w:rsidRPr="002942E4" w:rsidRDefault="002942E4" w:rsidP="002942E4">
      <w:pPr>
        <w:numPr>
          <w:ilvl w:val="1"/>
          <w:numId w:val="1"/>
        </w:numPr>
        <w:spacing w:line="360" w:lineRule="auto"/>
        <w:rPr>
          <w:rFonts w:ascii="Arial Narrow" w:hAnsi="Arial Narrow" w:cstheme="minorBidi"/>
        </w:rPr>
      </w:pPr>
      <w:r w:rsidRPr="002942E4">
        <w:rPr>
          <w:rFonts w:ascii="Arial Narrow" w:hAnsi="Arial Narrow" w:cstheme="minorBidi"/>
        </w:rPr>
        <w:t>Most important, we may make ethical judgments based on a short-term view of the benefits. As our book says, we may not see the big picture with our ultimate goals but be sidetracked by our immediate goals or desires.</w:t>
      </w:r>
    </w:p>
    <w:p w14:paraId="1F92613F"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Goals are behind and motivate most of our actions, our moral actions are especially directed toward goals. In order to understand and follow a normative basis, we have to understand the ultimate goal we’re striving for as human beings. Fun, success, compassion, love—all have been considered goals. But is one of them the ultimate goal?</w:t>
      </w:r>
    </w:p>
    <w:p w14:paraId="4DA97CDC"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Those goals offer us the possibility of living a good life, but maybe that good life helps us toward our ultimate goal; the one our authors refer to as human flourishing. What is human flourishing? The Greeks referred to ‘</w:t>
      </w:r>
      <w:proofErr w:type="spellStart"/>
      <w:r w:rsidRPr="002942E4">
        <w:rPr>
          <w:rFonts w:ascii="Arial Narrow" w:hAnsi="Arial Narrow" w:cstheme="minorBidi"/>
        </w:rPr>
        <w:t>eudaimonia</w:t>
      </w:r>
      <w:proofErr w:type="spellEnd"/>
      <w:r w:rsidRPr="002942E4">
        <w:rPr>
          <w:rFonts w:ascii="Arial Narrow" w:hAnsi="Arial Narrow" w:cstheme="minorBidi"/>
        </w:rPr>
        <w:t>’ which literally means having or being a good (</w:t>
      </w:r>
      <w:proofErr w:type="spellStart"/>
      <w:r w:rsidRPr="002942E4">
        <w:rPr>
          <w:rFonts w:ascii="Arial Narrow" w:hAnsi="Arial Narrow" w:cstheme="minorBidi"/>
        </w:rPr>
        <w:t>eu</w:t>
      </w:r>
      <w:proofErr w:type="spellEnd"/>
      <w:r w:rsidRPr="002942E4">
        <w:rPr>
          <w:rFonts w:ascii="Arial Narrow" w:hAnsi="Arial Narrow" w:cstheme="minorBidi"/>
        </w:rPr>
        <w:t>-) spirit (</w:t>
      </w:r>
      <w:proofErr w:type="spellStart"/>
      <w:r w:rsidRPr="002942E4">
        <w:rPr>
          <w:rFonts w:ascii="Arial Narrow" w:hAnsi="Arial Narrow" w:cstheme="minorBidi"/>
        </w:rPr>
        <w:t>daimon</w:t>
      </w:r>
      <w:proofErr w:type="spellEnd"/>
      <w:r w:rsidRPr="002942E4">
        <w:rPr>
          <w:rFonts w:ascii="Arial Narrow" w:hAnsi="Arial Narrow" w:cstheme="minorBidi"/>
        </w:rPr>
        <w:t>). Sometimes we translate this as happiness but it goes beyond our concept of happiness; having a good or well-formed character seems closer to the meaning.</w:t>
      </w:r>
    </w:p>
    <w:p w14:paraId="7A27EEFE" w14:textId="77777777" w:rsidR="002942E4" w:rsidRPr="002942E4" w:rsidRDefault="002942E4" w:rsidP="002942E4">
      <w:pPr>
        <w:spacing w:line="360" w:lineRule="auto"/>
        <w:ind w:left="720"/>
        <w:rPr>
          <w:rFonts w:ascii="Arial Narrow" w:hAnsi="Arial Narrow" w:cstheme="minorBidi"/>
        </w:rPr>
      </w:pPr>
      <w:r w:rsidRPr="002942E4">
        <w:rPr>
          <w:rFonts w:ascii="Arial Narrow" w:hAnsi="Arial Narrow" w:cstheme="minorBidi"/>
        </w:rPr>
        <w:t>(Exercise on pp. 48-49.)</w:t>
      </w:r>
    </w:p>
    <w:p w14:paraId="690875C4"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lastRenderedPageBreak/>
        <w:t>Christians equate human flourishing with the love of God. So the question is, how do we love God? “Human flourishing, understood as love of God, is pursued most tangibly within the context of relationships. We encounter God primarily though relationships with others, though we can also encounter God in other ways.” (p. 49) We are social beings and it is in society with others that we realize our potential.</w:t>
      </w:r>
    </w:p>
    <w:p w14:paraId="049AC4D6"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“Right relationships” are those founded on love, respect, dignity, and justice. And it’s these relationships that are necessary to human flourishing.</w:t>
      </w:r>
    </w:p>
    <w:p w14:paraId="407DF70C"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 xml:space="preserve">The role of virtues in human flourishing is key. We develop virtues by attempting to act virtuously. </w:t>
      </w:r>
    </w:p>
    <w:p w14:paraId="3B7B4EC4"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 xml:space="preserve">“What habits, characteristics, feelings, and intuitions should define us as individuals?” </w:t>
      </w:r>
    </w:p>
    <w:p w14:paraId="04899304"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The role of principles: principles help us to act virtuously in 3 ways: principles give rise to virtues and pave the way for becoming virtuous; principles tell us what virtue demands of us in concrete situations; principles serve as a standard against which we can evaluate our choices.</w:t>
      </w:r>
    </w:p>
    <w:p w14:paraId="2CD9C3D1"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We’re going to consider principles as guides to our actions, not as ironclad rules which we must follow. We’ll weigh principles against the total moral picture also considering the virtues, consequences, and our goals—particularly human flourishing.</w:t>
      </w:r>
    </w:p>
    <w:p w14:paraId="3939E7B7"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 xml:space="preserve">Two over-arching principles comprise the principles we’ll consider. They are </w:t>
      </w:r>
      <w:r w:rsidRPr="002942E4">
        <w:rPr>
          <w:rFonts w:ascii="Arial Narrow" w:hAnsi="Arial Narrow" w:cstheme="minorBidi"/>
          <w:u w:val="single"/>
        </w:rPr>
        <w:t>human dignity</w:t>
      </w:r>
      <w:r w:rsidRPr="002942E4">
        <w:rPr>
          <w:rFonts w:ascii="Arial Narrow" w:hAnsi="Arial Narrow" w:cstheme="minorBidi"/>
        </w:rPr>
        <w:t xml:space="preserve"> and </w:t>
      </w:r>
      <w:r w:rsidRPr="002942E4">
        <w:rPr>
          <w:rFonts w:ascii="Arial Narrow" w:hAnsi="Arial Narrow" w:cstheme="minorBidi"/>
          <w:u w:val="single"/>
        </w:rPr>
        <w:t>justice</w:t>
      </w:r>
      <w:r w:rsidRPr="002942E4">
        <w:rPr>
          <w:rFonts w:ascii="Arial Narrow" w:hAnsi="Arial Narrow" w:cstheme="minorBidi"/>
        </w:rPr>
        <w:t xml:space="preserve">. </w:t>
      </w:r>
    </w:p>
    <w:p w14:paraId="7D7B398F" w14:textId="77777777" w:rsidR="002942E4" w:rsidRPr="002942E4" w:rsidRDefault="002942E4" w:rsidP="002942E4">
      <w:pPr>
        <w:spacing w:line="360" w:lineRule="auto"/>
        <w:ind w:left="734"/>
        <w:rPr>
          <w:rFonts w:ascii="Arial Narrow" w:hAnsi="Arial Narrow" w:cstheme="minorBidi"/>
        </w:rPr>
      </w:pPr>
      <w:r w:rsidRPr="002942E4">
        <w:rPr>
          <w:rFonts w:ascii="Arial Narrow" w:hAnsi="Arial Narrow" w:cstheme="minorBidi"/>
        </w:rPr>
        <w:t xml:space="preserve">Under </w:t>
      </w:r>
      <w:r w:rsidRPr="002942E4">
        <w:rPr>
          <w:rFonts w:ascii="Arial Narrow" w:hAnsi="Arial Narrow" w:cstheme="minorBidi"/>
          <w:u w:val="single"/>
        </w:rPr>
        <w:t>human dignity</w:t>
      </w:r>
      <w:r w:rsidRPr="002942E4">
        <w:rPr>
          <w:rFonts w:ascii="Arial Narrow" w:hAnsi="Arial Narrow" w:cstheme="minorBidi"/>
        </w:rPr>
        <w:t xml:space="preserve"> we’ll look at:</w:t>
      </w:r>
    </w:p>
    <w:p w14:paraId="7B5C1A3B" w14:textId="77777777" w:rsidR="002942E4" w:rsidRPr="002942E4" w:rsidRDefault="002942E4" w:rsidP="002942E4">
      <w:pPr>
        <w:numPr>
          <w:ilvl w:val="1"/>
          <w:numId w:val="1"/>
        </w:numPr>
        <w:spacing w:line="360" w:lineRule="auto"/>
        <w:rPr>
          <w:rFonts w:ascii="Arial Narrow" w:hAnsi="Arial Narrow" w:cstheme="minorBidi"/>
        </w:rPr>
      </w:pPr>
      <w:r w:rsidRPr="002942E4">
        <w:rPr>
          <w:rFonts w:ascii="Arial Narrow" w:hAnsi="Arial Narrow" w:cstheme="minorBidi"/>
        </w:rPr>
        <w:t xml:space="preserve">Sanctity of life, Beneficence, Veracity, Autonomy, Informed consent, Privacy/confidentiality, </w:t>
      </w:r>
    </w:p>
    <w:p w14:paraId="1767503B" w14:textId="77777777" w:rsidR="002942E4" w:rsidRPr="002942E4" w:rsidRDefault="002942E4" w:rsidP="002942E4">
      <w:pPr>
        <w:spacing w:line="360" w:lineRule="auto"/>
        <w:ind w:firstLine="720"/>
        <w:rPr>
          <w:rFonts w:ascii="Arial Narrow" w:hAnsi="Arial Narrow" w:cstheme="minorBidi"/>
        </w:rPr>
      </w:pPr>
      <w:r w:rsidRPr="002942E4">
        <w:rPr>
          <w:rFonts w:ascii="Arial Narrow" w:hAnsi="Arial Narrow" w:cstheme="minorBidi"/>
        </w:rPr>
        <w:t xml:space="preserve">Under the overarching principle of </w:t>
      </w:r>
      <w:r w:rsidRPr="002942E4">
        <w:rPr>
          <w:rFonts w:ascii="Arial Narrow" w:hAnsi="Arial Narrow" w:cstheme="minorBidi"/>
          <w:u w:val="single"/>
        </w:rPr>
        <w:t>justice</w:t>
      </w:r>
      <w:r w:rsidRPr="002942E4">
        <w:rPr>
          <w:rFonts w:ascii="Arial Narrow" w:hAnsi="Arial Narrow" w:cstheme="minorBidi"/>
        </w:rPr>
        <w:t>, we’ll look at:</w:t>
      </w:r>
    </w:p>
    <w:p w14:paraId="717DB894" w14:textId="77777777" w:rsidR="002942E4" w:rsidRPr="002942E4" w:rsidRDefault="002942E4" w:rsidP="002942E4">
      <w:pPr>
        <w:numPr>
          <w:ilvl w:val="0"/>
          <w:numId w:val="2"/>
        </w:numPr>
        <w:spacing w:line="360" w:lineRule="auto"/>
        <w:rPr>
          <w:rFonts w:ascii="Arial Narrow" w:hAnsi="Arial Narrow" w:cstheme="minorBidi"/>
        </w:rPr>
      </w:pPr>
      <w:r w:rsidRPr="002942E4">
        <w:rPr>
          <w:rFonts w:ascii="Arial Narrow" w:hAnsi="Arial Narrow" w:cstheme="minorBidi"/>
        </w:rPr>
        <w:t>Common good, Relationality Solidarity, Subsidiarity, Stewardship, Care for the disadvantaged, Equitable Distribution of Health Care, Preferential option for the poor.</w:t>
      </w:r>
    </w:p>
    <w:p w14:paraId="7F1EFB1A" w14:textId="77777777" w:rsidR="002942E4" w:rsidRPr="002942E4" w:rsidRDefault="002942E4" w:rsidP="002942E4">
      <w:pPr>
        <w:numPr>
          <w:ilvl w:val="0"/>
          <w:numId w:val="1"/>
        </w:numPr>
        <w:tabs>
          <w:tab w:val="clear" w:pos="720"/>
          <w:tab w:val="num" w:pos="360"/>
        </w:tabs>
        <w:spacing w:line="360" w:lineRule="auto"/>
        <w:ind w:left="734" w:hanging="547"/>
        <w:rPr>
          <w:rFonts w:ascii="Arial Narrow" w:hAnsi="Arial Narrow" w:cstheme="minorBidi"/>
        </w:rPr>
      </w:pPr>
      <w:r w:rsidRPr="002942E4">
        <w:rPr>
          <w:rFonts w:ascii="Arial Narrow" w:hAnsi="Arial Narrow" w:cstheme="minorBidi"/>
        </w:rPr>
        <w:t>Conclusion: there could be a range of ethical options. Remember that a normative basis doesn’t work like a mathematical formula but it enables us to see the bigger picture as we try to meet our goals.</w:t>
      </w:r>
    </w:p>
    <w:p w14:paraId="6293FFAA" w14:textId="77777777" w:rsidR="002942E4" w:rsidRPr="00EE70A6" w:rsidRDefault="002942E4" w:rsidP="002942E4">
      <w:pPr>
        <w:spacing w:line="360" w:lineRule="auto"/>
        <w:rPr>
          <w:rFonts w:ascii="Arial Narrow" w:hAnsi="Arial Narrow" w:cs="Courier New"/>
        </w:rPr>
      </w:pPr>
      <w:r w:rsidRPr="002942E4">
        <w:rPr>
          <w:rFonts w:ascii="Arial Narrow" w:hAnsi="Arial Narrow" w:cstheme="minorBidi"/>
        </w:rPr>
        <w:br w:type="page"/>
      </w:r>
      <w:r w:rsidRPr="00EE70A6">
        <w:rPr>
          <w:rFonts w:ascii="Arial Narrow" w:hAnsi="Arial Narrow" w:cs="Courier New"/>
        </w:rPr>
        <w:t>Advance Directives.</w:t>
      </w:r>
    </w:p>
    <w:p w14:paraId="62C41A43"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 xml:space="preserve">The Patient Self Determination Act of 1990 is a federal act which guarantees that individuals have the right to refuse treatments which are burdensome to them. Patients may create advance directives to make their wishes known beforehand. </w:t>
      </w:r>
    </w:p>
    <w:p w14:paraId="18305FB3"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Advance directives, also known as advance care planning, provide a way for people to decide, while they are still able to do so, what medical treatments they would want—or not want—when unable to make decisions about their own care and terminally ill or permanently unconscious.</w:t>
      </w:r>
    </w:p>
    <w:p w14:paraId="12D403F6"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 xml:space="preserve">PA Act 169, which went into effect in January 2007, deals with end of life decision making and advance directives in the state. Both statutes protect the rights of patients to make their own decisions, or to have decisions made by surrogates who know their values. </w:t>
      </w:r>
    </w:p>
    <w:p w14:paraId="6AA8B51A"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PA 169 provides a hierarchy of persons who may act as surrogates for a patient who has not made advance directives. This hierarchy includes spouse &amp; adult children of patient (but not of the spouse); adult children of spouse and patient; parent; adult sibling; adult grandchildren; close friend or other relative who is aware of the values and goals of the patient.</w:t>
      </w:r>
    </w:p>
    <w:p w14:paraId="6538A43F"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Both PSDA and PA 169 also provide immunity for health care providers who act in good faith to follow a patient’s advance directive.</w:t>
      </w:r>
    </w:p>
    <w:p w14:paraId="4902041D"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Although the term advance directives can refer to any advance care planning for example, telling your family members what you’d want, in bioethics we speak specifically of advance directives as legally recognized documents which make one’s wishes known.</w:t>
      </w:r>
    </w:p>
    <w:p w14:paraId="6D64B6B5"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 xml:space="preserve">There are </w:t>
      </w:r>
      <w:r w:rsidRPr="00EE70A6">
        <w:rPr>
          <w:rFonts w:ascii="Arial Narrow" w:hAnsi="Arial Narrow" w:cs="Courier New"/>
          <w:b/>
        </w:rPr>
        <w:t>two types</w:t>
      </w:r>
      <w:r w:rsidRPr="00EE70A6">
        <w:rPr>
          <w:rFonts w:ascii="Arial Narrow" w:hAnsi="Arial Narrow" w:cs="Courier New"/>
        </w:rPr>
        <w:t xml:space="preserve"> of document, protected by federal and state law, which make a person’s wishes known. These are: The </w:t>
      </w:r>
      <w:r w:rsidRPr="00EE70A6">
        <w:rPr>
          <w:rFonts w:ascii="Arial Narrow" w:hAnsi="Arial Narrow" w:cs="Courier New"/>
          <w:u w:val="single"/>
        </w:rPr>
        <w:t>Power of Attorney for Health Care</w:t>
      </w:r>
      <w:r w:rsidRPr="00EE70A6">
        <w:rPr>
          <w:rFonts w:ascii="Arial Narrow" w:hAnsi="Arial Narrow" w:cs="Courier New"/>
        </w:rPr>
        <w:t xml:space="preserve"> in which an individual is given the authority to make decisions for another in the event that the other cannot make decisions for himself or herself. The POA goes into effect when the patient can no longer make his or her own decisions.</w:t>
      </w:r>
    </w:p>
    <w:p w14:paraId="4BC2265A"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u w:val="single"/>
        </w:rPr>
        <w:t>The Living Will</w:t>
      </w:r>
      <w:r w:rsidRPr="00EE70A6">
        <w:rPr>
          <w:rFonts w:ascii="Arial Narrow" w:hAnsi="Arial Narrow" w:cs="Courier New"/>
        </w:rPr>
        <w:t xml:space="preserve"> which provides a list or statement of treatments that the person would want or would refuse in certain situations.  The living will </w:t>
      </w:r>
      <w:proofErr w:type="gramStart"/>
      <w:r w:rsidRPr="00EE70A6">
        <w:rPr>
          <w:rFonts w:ascii="Arial Narrow" w:hAnsi="Arial Narrow" w:cs="Courier New"/>
        </w:rPr>
        <w:t>becomes</w:t>
      </w:r>
      <w:proofErr w:type="gramEnd"/>
      <w:r w:rsidRPr="00EE70A6">
        <w:rPr>
          <w:rFonts w:ascii="Arial Narrow" w:hAnsi="Arial Narrow" w:cs="Courier New"/>
        </w:rPr>
        <w:t xml:space="preserve"> effective when the person is incompetent and has an end-stage condition or is permanently unconscious. The hospital and/or doctor needs to have a copy in order to follow the advance directives.</w:t>
      </w:r>
    </w:p>
    <w:p w14:paraId="72463A69"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 xml:space="preserve"> The combined document is convenient.</w:t>
      </w:r>
    </w:p>
    <w:p w14:paraId="0B3BC7AF" w14:textId="77777777" w:rsidR="002942E4" w:rsidRPr="00EE70A6" w:rsidRDefault="002942E4" w:rsidP="002942E4">
      <w:pPr>
        <w:spacing w:line="360" w:lineRule="auto"/>
        <w:ind w:left="734"/>
        <w:rPr>
          <w:rFonts w:ascii="Arial Narrow" w:hAnsi="Arial Narrow" w:cs="Courier New"/>
        </w:rPr>
      </w:pPr>
      <w:r w:rsidRPr="00EE70A6">
        <w:rPr>
          <w:rFonts w:ascii="Arial Narrow" w:hAnsi="Arial Narrow" w:cs="Courier New"/>
        </w:rPr>
        <w:t>Who can make a directive? An adult of sound mind and some minors who meet certain criteria.</w:t>
      </w:r>
    </w:p>
    <w:p w14:paraId="0F6829AB" w14:textId="77777777" w:rsidR="00CF4B61" w:rsidRDefault="002942E4" w:rsidP="002942E4">
      <w:pPr>
        <w:rPr>
          <w:rFonts w:ascii="Arial Narrow" w:hAnsi="Arial Narrow" w:cs="Courier New"/>
        </w:rPr>
      </w:pPr>
      <w:r w:rsidRPr="00EE70A6">
        <w:rPr>
          <w:rFonts w:ascii="Arial Narrow" w:hAnsi="Arial Narrow" w:cs="Courier New"/>
        </w:rPr>
        <w:t>The directive needs to be dated and signed, witnessed by 2 adults. (In PA it does not need to be notarized.)</w:t>
      </w:r>
    </w:p>
    <w:p w14:paraId="2A13353A" w14:textId="77777777" w:rsidR="002942E4" w:rsidRDefault="002942E4" w:rsidP="002942E4">
      <w:pPr>
        <w:rPr>
          <w:rFonts w:ascii="Arial Narrow" w:hAnsi="Arial Narrow" w:cs="Courier New"/>
        </w:rPr>
      </w:pPr>
    </w:p>
    <w:p w14:paraId="3DEDBD13"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Families, or clinicians, may disagree with the wishes of the patient as expressed in the living will; OR these same stakeholders may disagree with the expressed statements of the power of attorney for health care. If it is believed that the surrogate is acting against the interests of the patient or acting to his or her own advantage, the court may be consulted.</w:t>
      </w:r>
    </w:p>
    <w:p w14:paraId="647B54EC"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It is important to note that advance directives are certainly helpful in end-of-life decision making but difficulties remain; including uncertainty over whether they are currently in effect. Also, wording might be vague or the person might have failed to take into account the various situations which might influence decisions.</w:t>
      </w:r>
    </w:p>
    <w:p w14:paraId="6A75C576"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The best way to ensure that your wishes will be honored in the event that you cannot make your own decisions is to prepare a living will, choose a power of attorney for health care and talk to your family about your wishes.</w:t>
      </w:r>
    </w:p>
    <w:p w14:paraId="43253701"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Decision makers:</w:t>
      </w:r>
    </w:p>
    <w:p w14:paraId="05BBF3DD" w14:textId="77777777" w:rsidR="002942E4" w:rsidRPr="00EE70A6" w:rsidRDefault="002942E4" w:rsidP="002942E4">
      <w:pPr>
        <w:numPr>
          <w:ilvl w:val="0"/>
          <w:numId w:val="3"/>
        </w:numPr>
        <w:spacing w:line="360" w:lineRule="auto"/>
        <w:rPr>
          <w:rFonts w:ascii="Arial Narrow" w:hAnsi="Arial Narrow" w:cs="Courier New"/>
        </w:rPr>
      </w:pPr>
      <w:r w:rsidRPr="00EE70A6">
        <w:rPr>
          <w:rFonts w:ascii="Arial Narrow" w:hAnsi="Arial Narrow" w:cs="Courier New"/>
        </w:rPr>
        <w:t>Patient via living will</w:t>
      </w:r>
    </w:p>
    <w:p w14:paraId="1687183D" w14:textId="77777777" w:rsidR="002942E4" w:rsidRPr="00EE70A6" w:rsidRDefault="002942E4" w:rsidP="002942E4">
      <w:pPr>
        <w:numPr>
          <w:ilvl w:val="0"/>
          <w:numId w:val="3"/>
        </w:numPr>
        <w:spacing w:line="360" w:lineRule="auto"/>
        <w:rPr>
          <w:rFonts w:ascii="Arial Narrow" w:hAnsi="Arial Narrow" w:cs="Courier New"/>
        </w:rPr>
      </w:pPr>
      <w:r w:rsidRPr="00EE70A6">
        <w:rPr>
          <w:rFonts w:ascii="Arial Narrow" w:hAnsi="Arial Narrow" w:cs="Courier New"/>
        </w:rPr>
        <w:t>Health care agent appointed by patient in healthcare power of attorney who can make any decisions which the competent patient could have made; not limited to end of life decisions.</w:t>
      </w:r>
    </w:p>
    <w:p w14:paraId="57B9A36A" w14:textId="77777777" w:rsidR="002942E4" w:rsidRPr="00EE70A6" w:rsidRDefault="002942E4" w:rsidP="002942E4">
      <w:pPr>
        <w:numPr>
          <w:ilvl w:val="0"/>
          <w:numId w:val="3"/>
        </w:numPr>
        <w:spacing w:line="360" w:lineRule="auto"/>
        <w:rPr>
          <w:rFonts w:ascii="Arial Narrow" w:hAnsi="Arial Narrow" w:cs="Courier New"/>
        </w:rPr>
      </w:pPr>
      <w:r w:rsidRPr="00EE70A6">
        <w:rPr>
          <w:rFonts w:ascii="Arial Narrow" w:hAnsi="Arial Narrow" w:cs="Courier New"/>
        </w:rPr>
        <w:t>Health care representative acts for incompetent adult patient who has no controlling living will, no health care agent, no legal guardian. The representative is appointed by the patient or priority list. Has broad authority except re decisions on life sustaining treatment which the rep. may not discontinue unless the patient has an end-stage condition or is permanently unconscious.</w:t>
      </w:r>
    </w:p>
    <w:p w14:paraId="07BF0FC0" w14:textId="77777777" w:rsidR="002942E4" w:rsidRPr="00EE70A6" w:rsidRDefault="002942E4" w:rsidP="002942E4">
      <w:pPr>
        <w:spacing w:line="360" w:lineRule="auto"/>
        <w:rPr>
          <w:rFonts w:ascii="Arial Narrow" w:hAnsi="Arial Narrow" w:cs="Courier New"/>
        </w:rPr>
      </w:pPr>
      <w:r w:rsidRPr="00EE70A6">
        <w:rPr>
          <w:rFonts w:ascii="Arial Narrow" w:hAnsi="Arial Narrow" w:cs="Courier New"/>
        </w:rPr>
        <w:t xml:space="preserve">In Pa, it’s assumed that the patient wants ANH unless the patient has specified otherwise or it’s </w:t>
      </w:r>
      <w:r w:rsidRPr="00EE70A6">
        <w:rPr>
          <w:rFonts w:ascii="Arial Narrow" w:hAnsi="Arial Narrow" w:cs="Courier New"/>
          <w:b/>
          <w:i/>
          <w:u w:val="single"/>
        </w:rPr>
        <w:t>clear</w:t>
      </w:r>
      <w:r w:rsidRPr="00EE70A6">
        <w:rPr>
          <w:rFonts w:ascii="Arial Narrow" w:hAnsi="Arial Narrow" w:cs="Courier New"/>
        </w:rPr>
        <w:t xml:space="preserve"> from the patient’s preferences and values that the patient would not want it.</w:t>
      </w:r>
    </w:p>
    <w:p w14:paraId="47CBDDFD"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Although the patient must be of sound mind to authorize the advance directive and to countermand the document as a whole, the incompetent patient may countermand direction to withhold or withdraw life-sustaining treatment.</w:t>
      </w:r>
    </w:p>
    <w:p w14:paraId="73101750"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What would you want to know before making end-of-life decisions for yourself?</w:t>
      </w:r>
    </w:p>
    <w:p w14:paraId="4B5B4130" w14:textId="77777777" w:rsidR="002942E4" w:rsidRPr="00EE70A6" w:rsidRDefault="002942E4" w:rsidP="002942E4">
      <w:pPr>
        <w:spacing w:line="360" w:lineRule="auto"/>
        <w:ind w:left="360"/>
        <w:rPr>
          <w:rFonts w:ascii="Arial Narrow" w:hAnsi="Arial Narrow" w:cs="Courier New"/>
        </w:rPr>
      </w:pPr>
      <w:r w:rsidRPr="00EE70A6">
        <w:rPr>
          <w:rFonts w:ascii="Arial Narrow" w:hAnsi="Arial Narrow" w:cs="Courier New"/>
        </w:rPr>
        <w:t xml:space="preserve"> (things like diagnosis, prognosis, risks and benefits of treatment, costs and burdens of treatment.)</w:t>
      </w:r>
    </w:p>
    <w:p w14:paraId="06E0A249" w14:textId="77777777" w:rsidR="002942E4" w:rsidRPr="00EE70A6" w:rsidRDefault="002942E4" w:rsidP="002942E4">
      <w:pPr>
        <w:spacing w:line="360" w:lineRule="auto"/>
        <w:rPr>
          <w:rFonts w:ascii="Arial Narrow" w:hAnsi="Arial Narrow" w:cs="Courier New"/>
        </w:rPr>
      </w:pPr>
      <w:r w:rsidRPr="00EE70A6">
        <w:rPr>
          <w:rFonts w:ascii="Arial Narrow" w:hAnsi="Arial Narrow" w:cs="Courier New"/>
        </w:rPr>
        <w:t>For decisions on behalf of another person, you’d want to know the above plus the values of the person. What quality of life would be acceptable? Unacceptable?</w:t>
      </w:r>
    </w:p>
    <w:p w14:paraId="72BE87CF" w14:textId="77777777" w:rsidR="002942E4" w:rsidRDefault="002942E4" w:rsidP="002942E4">
      <w:r w:rsidRPr="00EE70A6">
        <w:rPr>
          <w:rFonts w:ascii="Arial Narrow" w:hAnsi="Arial Narrow" w:cs="Courier New"/>
        </w:rPr>
        <w:t>How complicated does your living will need to be? Dr. Kelly used to say that it means “don’t do stupid stuff to me.”</w:t>
      </w:r>
    </w:p>
    <w:sectPr w:rsidR="002942E4"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273646"/>
    <w:multiLevelType w:val="hybridMultilevel"/>
    <w:tmpl w:val="5234231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5866AA6"/>
    <w:multiLevelType w:val="hybridMultilevel"/>
    <w:tmpl w:val="6AC0BC1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5203739B"/>
    <w:multiLevelType w:val="hybridMultilevel"/>
    <w:tmpl w:val="AB6499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E4"/>
    <w:rsid w:val="002942E4"/>
    <w:rsid w:val="004B6554"/>
    <w:rsid w:val="006F3F0C"/>
    <w:rsid w:val="00B706F4"/>
    <w:rsid w:val="00CF47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16A5D7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942E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7908</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2019-01-25T02:20:00Z</dcterms:created>
  <dcterms:modified xsi:type="dcterms:W3CDTF">2019-01-25T06:04:00Z</dcterms:modified>
</cp:coreProperties>
</file>