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EF4" w:rsidRDefault="000C6EF4" w:rsidP="000C6EF4">
      <w:pPr>
        <w:spacing w:after="0" w:line="480" w:lineRule="auto"/>
        <w:jc w:val="center"/>
        <w:rPr>
          <w:rFonts w:ascii="Times New Roman" w:hAnsi="Times New Roman" w:cs="Times New Roman"/>
          <w:sz w:val="24"/>
          <w:szCs w:val="24"/>
        </w:rPr>
      </w:pPr>
    </w:p>
    <w:p w:rsidR="000C6EF4" w:rsidRDefault="000C6EF4" w:rsidP="000C6EF4">
      <w:pPr>
        <w:spacing w:after="0" w:line="480" w:lineRule="auto"/>
        <w:jc w:val="center"/>
        <w:rPr>
          <w:rFonts w:ascii="Times New Roman" w:hAnsi="Times New Roman" w:cs="Times New Roman"/>
          <w:sz w:val="24"/>
          <w:szCs w:val="24"/>
        </w:rPr>
      </w:pPr>
    </w:p>
    <w:p w:rsidR="000C6EF4" w:rsidRDefault="000C6EF4" w:rsidP="000C6EF4">
      <w:pPr>
        <w:spacing w:after="0" w:line="480" w:lineRule="auto"/>
        <w:jc w:val="center"/>
        <w:rPr>
          <w:rFonts w:ascii="Times New Roman" w:hAnsi="Times New Roman" w:cs="Times New Roman"/>
          <w:sz w:val="24"/>
          <w:szCs w:val="24"/>
        </w:rPr>
      </w:pPr>
    </w:p>
    <w:p w:rsidR="000C6EF4" w:rsidRDefault="000C6EF4" w:rsidP="000C6EF4">
      <w:pPr>
        <w:spacing w:after="0" w:line="480" w:lineRule="auto"/>
        <w:jc w:val="center"/>
        <w:rPr>
          <w:rFonts w:ascii="Times New Roman" w:hAnsi="Times New Roman" w:cs="Times New Roman"/>
          <w:sz w:val="24"/>
          <w:szCs w:val="24"/>
        </w:rPr>
      </w:pPr>
    </w:p>
    <w:p w:rsidR="000C6EF4" w:rsidRDefault="000C6EF4" w:rsidP="000C6EF4">
      <w:pPr>
        <w:spacing w:after="0" w:line="480" w:lineRule="auto"/>
        <w:jc w:val="center"/>
        <w:rPr>
          <w:rFonts w:ascii="Times New Roman" w:hAnsi="Times New Roman" w:cs="Times New Roman"/>
          <w:sz w:val="24"/>
          <w:szCs w:val="24"/>
        </w:rPr>
      </w:pPr>
    </w:p>
    <w:p w:rsidR="009A0BC1" w:rsidRDefault="009A0BC1" w:rsidP="000C6EF4">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Accounting</w:t>
      </w:r>
    </w:p>
    <w:p w:rsidR="009A0BC1" w:rsidRDefault="009A0BC1" w:rsidP="000C6EF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A0BC1" w:rsidRDefault="009A0BC1" w:rsidP="000C6EF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9A0BC1" w:rsidRDefault="009A0BC1" w:rsidP="000C6EF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F0D4D" w:rsidRDefault="009A0BC1" w:rsidP="000C6EF4">
      <w:pPr>
        <w:spacing w:after="0" w:line="480" w:lineRule="auto"/>
        <w:jc w:val="center"/>
        <w:rPr>
          <w:rFonts w:ascii="Times New Roman" w:hAnsi="Times New Roman" w:cs="Times New Roman"/>
          <w:sz w:val="24"/>
          <w:szCs w:val="24"/>
        </w:rPr>
        <w:sectPr w:rsidR="00FF0D4D">
          <w:headerReference w:type="default" r:id="rId8"/>
          <w:pgSz w:w="12240" w:h="15840"/>
          <w:pgMar w:top="1440" w:right="1440" w:bottom="1440" w:left="1440" w:header="720" w:footer="720" w:gutter="0"/>
          <w:cols w:space="720"/>
          <w:docGrid w:linePitch="360"/>
        </w:sectPr>
      </w:pPr>
      <w:r>
        <w:rPr>
          <w:rFonts w:ascii="Times New Roman" w:hAnsi="Times New Roman" w:cs="Times New Roman"/>
          <w:sz w:val="24"/>
          <w:szCs w:val="24"/>
        </w:rPr>
        <w:t>Date:</w:t>
      </w:r>
    </w:p>
    <w:p w:rsidR="00055D46" w:rsidRDefault="00E3695C" w:rsidP="000C6EF4">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Discussion </w:t>
      </w:r>
    </w:p>
    <w:p w:rsidR="000C6EF4" w:rsidRPr="000C6EF4" w:rsidRDefault="000C6EF4" w:rsidP="000C6EF4">
      <w:pPr>
        <w:pStyle w:val="ListParagraph"/>
        <w:spacing w:after="0" w:line="480" w:lineRule="auto"/>
        <w:rPr>
          <w:rFonts w:ascii="Times New Roman" w:hAnsi="Times New Roman" w:cs="Times New Roman"/>
          <w:sz w:val="24"/>
          <w:szCs w:val="24"/>
        </w:rPr>
      </w:pPr>
      <w:r w:rsidRPr="000C6EF4">
        <w:rPr>
          <w:rFonts w:ascii="Times New Roman" w:hAnsi="Times New Roman" w:cs="Times New Roman"/>
          <w:sz w:val="24"/>
          <w:szCs w:val="24"/>
        </w:rPr>
        <w:t xml:space="preserve">(1)  The depreciation method applied by the General Electric Company (GE) is the straight-line depreciation approach. The straight-line basis of depreciation entails charging equal amounts over the entire life of an asset. The GE could have decided to employ the straight-line basis of depreciation to maintain a constant tax impact over the years and stable trend of its property, buildings, equipment, and machinery assets (Brealey, Myers, &amp; Allen, 2011). </w:t>
      </w:r>
    </w:p>
    <w:p w:rsidR="000C6EF4" w:rsidRPr="000C6EF4" w:rsidRDefault="000C6EF4" w:rsidP="000C6EF4">
      <w:pPr>
        <w:pStyle w:val="ListParagraph"/>
        <w:spacing w:after="0" w:line="480" w:lineRule="auto"/>
        <w:rPr>
          <w:rFonts w:ascii="Times New Roman" w:hAnsi="Times New Roman" w:cs="Times New Roman"/>
          <w:sz w:val="24"/>
          <w:szCs w:val="24"/>
        </w:rPr>
      </w:pPr>
      <w:r w:rsidRPr="000C6EF4">
        <w:rPr>
          <w:rFonts w:ascii="Times New Roman" w:hAnsi="Times New Roman" w:cs="Times New Roman"/>
          <w:sz w:val="24"/>
          <w:szCs w:val="24"/>
        </w:rPr>
        <w:t>(2)  The total amortization and depreciation amounts at the end of the 2018 financial year amounts to $5,562 million (GE, 2018).</w:t>
      </w:r>
    </w:p>
    <w:p w:rsidR="000C6EF4" w:rsidRPr="000C6EF4" w:rsidRDefault="000C6EF4" w:rsidP="000C6EF4">
      <w:pPr>
        <w:pStyle w:val="ListParagraph"/>
        <w:spacing w:after="0" w:line="480" w:lineRule="auto"/>
        <w:rPr>
          <w:rFonts w:ascii="Times New Roman" w:hAnsi="Times New Roman" w:cs="Times New Roman"/>
          <w:sz w:val="24"/>
          <w:szCs w:val="24"/>
        </w:rPr>
      </w:pPr>
      <w:r w:rsidRPr="000C6EF4">
        <w:rPr>
          <w:rFonts w:ascii="Times New Roman" w:hAnsi="Times New Roman" w:cs="Times New Roman"/>
          <w:sz w:val="24"/>
          <w:szCs w:val="24"/>
        </w:rPr>
        <w:t>(3)  The asset turnover ratio of the GE for the year-end has been computed using the formula reflected below.</w:t>
      </w:r>
    </w:p>
    <w:p w:rsidR="000C6EF4" w:rsidRPr="000C6EF4" w:rsidRDefault="000C6EF4" w:rsidP="000C6EF4">
      <w:pPr>
        <w:pStyle w:val="ListParagraph"/>
        <w:spacing w:after="0" w:line="480" w:lineRule="auto"/>
        <w:rPr>
          <w:rFonts w:ascii="Times New Roman" w:hAnsi="Times New Roman" w:cs="Times New Roman"/>
          <w:sz w:val="24"/>
          <w:szCs w:val="24"/>
        </w:rPr>
      </w:pPr>
      <w:r w:rsidRPr="000C6EF4">
        <w:rPr>
          <w:rFonts w:ascii="Times New Roman" w:hAnsi="Times New Roman" w:cs="Times New Roman"/>
          <w:sz w:val="24"/>
          <w:szCs w:val="24"/>
        </w:rPr>
        <w:t>Asset turnover ratio = net sales revenue/total assets (Goel, 2015)</w:t>
      </w:r>
    </w:p>
    <w:p w:rsidR="000C6EF4" w:rsidRPr="000C6EF4" w:rsidRDefault="000C6EF4" w:rsidP="000C6EF4">
      <w:pPr>
        <w:pStyle w:val="ListParagraph"/>
        <w:spacing w:after="0" w:line="480" w:lineRule="auto"/>
        <w:rPr>
          <w:rFonts w:ascii="Times New Roman" w:hAnsi="Times New Roman" w:cs="Times New Roman"/>
          <w:sz w:val="24"/>
          <w:szCs w:val="24"/>
        </w:rPr>
      </w:pPr>
      <w:r w:rsidRPr="000C6EF4">
        <w:rPr>
          <w:rFonts w:ascii="Times New Roman" w:hAnsi="Times New Roman" w:cs="Times New Roman"/>
          <w:sz w:val="24"/>
          <w:szCs w:val="24"/>
        </w:rPr>
        <w:t>Asset turnover ratio = $121,615/$309,129 = 0.39</w:t>
      </w:r>
    </w:p>
    <w:p w:rsidR="000C6EF4" w:rsidRPr="000C6EF4" w:rsidRDefault="000C6EF4" w:rsidP="000C6EF4">
      <w:pPr>
        <w:pStyle w:val="ListParagraph"/>
        <w:spacing w:after="0" w:line="480" w:lineRule="auto"/>
        <w:rPr>
          <w:rFonts w:ascii="Times New Roman" w:hAnsi="Times New Roman" w:cs="Times New Roman"/>
          <w:sz w:val="24"/>
          <w:szCs w:val="24"/>
        </w:rPr>
      </w:pPr>
      <w:r w:rsidRPr="000C6EF4">
        <w:rPr>
          <w:rFonts w:ascii="Times New Roman" w:hAnsi="Times New Roman" w:cs="Times New Roman"/>
          <w:sz w:val="24"/>
          <w:szCs w:val="24"/>
        </w:rPr>
        <w:t xml:space="preserve">(4)  The industry asset turnover ratio for the same 2018 financial year is 0.37, which means GE has a higher asset turnover ratio compared to the industry. The higher asset turnover ratio for the GE compared to that of the industry means that it is more efficient in utilizing the assets to generate revenue than the average industry performance (Goel, 2015). Indeed, the two asset financial ratios mean that GE generated $0.39 of sales for every $1 of assets utilized while the industry on average realized $0.37 of sales revenue for every $1 utilized during the given financial year. </w:t>
      </w:r>
    </w:p>
    <w:p w:rsidR="000C6EF4" w:rsidRPr="000C6EF4" w:rsidRDefault="000C6EF4" w:rsidP="000C6EF4">
      <w:pPr>
        <w:pStyle w:val="ListParagraph"/>
        <w:spacing w:after="0" w:line="480" w:lineRule="auto"/>
        <w:rPr>
          <w:rFonts w:ascii="Times New Roman" w:hAnsi="Times New Roman" w:cs="Times New Roman"/>
          <w:sz w:val="24"/>
          <w:szCs w:val="24"/>
        </w:rPr>
      </w:pPr>
      <w:r w:rsidRPr="000C6EF4">
        <w:rPr>
          <w:rFonts w:ascii="Times New Roman" w:hAnsi="Times New Roman" w:cs="Times New Roman"/>
          <w:sz w:val="24"/>
          <w:szCs w:val="24"/>
        </w:rPr>
        <w:t>(5)  The classification of the debt and equity security investments held by the GE CO. are available-for-sale investments.</w:t>
      </w:r>
    </w:p>
    <w:p w:rsidR="005333FA" w:rsidRDefault="000C6EF4" w:rsidP="000C6EF4">
      <w:pPr>
        <w:pStyle w:val="ListParagraph"/>
        <w:numPr>
          <w:ilvl w:val="0"/>
          <w:numId w:val="2"/>
        </w:numPr>
        <w:spacing w:after="0" w:line="480" w:lineRule="auto"/>
        <w:rPr>
          <w:rFonts w:ascii="Times New Roman" w:hAnsi="Times New Roman" w:cs="Times New Roman"/>
          <w:sz w:val="24"/>
          <w:szCs w:val="24"/>
        </w:rPr>
      </w:pPr>
      <w:r w:rsidRPr="000C6EF4">
        <w:rPr>
          <w:rFonts w:ascii="Times New Roman" w:hAnsi="Times New Roman" w:cs="Times New Roman"/>
          <w:sz w:val="24"/>
          <w:szCs w:val="24"/>
        </w:rPr>
        <w:lastRenderedPageBreak/>
        <w:t>The approach that has been employed in reporting the available-for-sale investments is the estimated fair value method (GE, 2018).  However, the company’s trading investments have been reported using the historical cost method (GE, 2018)</w:t>
      </w:r>
      <w:r w:rsidR="00260156" w:rsidRPr="00D924FF">
        <w:rPr>
          <w:rFonts w:ascii="Times New Roman" w:hAnsi="Times New Roman" w:cs="Times New Roman"/>
          <w:sz w:val="24"/>
          <w:szCs w:val="24"/>
        </w:rPr>
        <w:t>.</w:t>
      </w:r>
    </w:p>
    <w:p w:rsidR="005333FA" w:rsidRDefault="005333FA" w:rsidP="000C6EF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333FA" w:rsidRDefault="005333FA" w:rsidP="000C6EF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333FA" w:rsidRPr="005333FA" w:rsidRDefault="005333FA" w:rsidP="000C6EF4">
      <w:pPr>
        <w:pStyle w:val="Bibliography"/>
        <w:spacing w:after="0" w:line="480" w:lineRule="auto"/>
        <w:ind w:left="720" w:hanging="720"/>
        <w:rPr>
          <w:rFonts w:ascii="Times New Roman" w:hAnsi="Times New Roman" w:cs="Times New Roman"/>
          <w:noProof/>
          <w:sz w:val="24"/>
          <w:szCs w:val="24"/>
        </w:rPr>
      </w:pPr>
      <w:r w:rsidRPr="005333FA">
        <w:rPr>
          <w:rFonts w:ascii="Times New Roman" w:hAnsi="Times New Roman" w:cs="Times New Roman"/>
          <w:sz w:val="24"/>
          <w:szCs w:val="24"/>
        </w:rPr>
        <w:fldChar w:fldCharType="begin"/>
      </w:r>
      <w:r w:rsidRPr="005333FA">
        <w:rPr>
          <w:rFonts w:ascii="Times New Roman" w:hAnsi="Times New Roman" w:cs="Times New Roman"/>
          <w:sz w:val="24"/>
          <w:szCs w:val="24"/>
        </w:rPr>
        <w:instrText xml:space="preserve"> BIBLIOGRAPHY  \l 1033 </w:instrText>
      </w:r>
      <w:r w:rsidRPr="005333FA">
        <w:rPr>
          <w:rFonts w:ascii="Times New Roman" w:hAnsi="Times New Roman" w:cs="Times New Roman"/>
          <w:sz w:val="24"/>
          <w:szCs w:val="24"/>
        </w:rPr>
        <w:fldChar w:fldCharType="separate"/>
      </w:r>
      <w:r w:rsidRPr="005333FA">
        <w:rPr>
          <w:rFonts w:ascii="Times New Roman" w:hAnsi="Times New Roman" w:cs="Times New Roman"/>
          <w:noProof/>
          <w:sz w:val="24"/>
          <w:szCs w:val="24"/>
        </w:rPr>
        <w:t xml:space="preserve">Brealey, R. A., Myers, S. C., &amp; Allen, F. (2011). </w:t>
      </w:r>
      <w:r w:rsidRPr="005333FA">
        <w:rPr>
          <w:rFonts w:ascii="Times New Roman" w:hAnsi="Times New Roman" w:cs="Times New Roman"/>
          <w:i/>
          <w:iCs/>
          <w:noProof/>
          <w:sz w:val="24"/>
          <w:szCs w:val="24"/>
        </w:rPr>
        <w:t>Principles of corporate finance.</w:t>
      </w:r>
      <w:r w:rsidRPr="005333FA">
        <w:rPr>
          <w:rFonts w:ascii="Times New Roman" w:hAnsi="Times New Roman" w:cs="Times New Roman"/>
          <w:noProof/>
          <w:sz w:val="24"/>
          <w:szCs w:val="24"/>
        </w:rPr>
        <w:t xml:space="preserve"> New York: McGraw-Hill Book Company.</w:t>
      </w:r>
    </w:p>
    <w:p w:rsidR="005333FA" w:rsidRPr="005333FA" w:rsidRDefault="005333FA" w:rsidP="000C6EF4">
      <w:pPr>
        <w:pStyle w:val="Bibliography"/>
        <w:spacing w:after="0" w:line="480" w:lineRule="auto"/>
        <w:ind w:left="720" w:hanging="720"/>
        <w:rPr>
          <w:rFonts w:ascii="Times New Roman" w:hAnsi="Times New Roman" w:cs="Times New Roman"/>
          <w:noProof/>
          <w:sz w:val="24"/>
          <w:szCs w:val="24"/>
        </w:rPr>
      </w:pPr>
      <w:r w:rsidRPr="005333FA">
        <w:rPr>
          <w:rFonts w:ascii="Times New Roman" w:hAnsi="Times New Roman" w:cs="Times New Roman"/>
          <w:noProof/>
          <w:sz w:val="24"/>
          <w:szCs w:val="24"/>
        </w:rPr>
        <w:t xml:space="preserve">GE. (2018). </w:t>
      </w:r>
      <w:r w:rsidRPr="005333FA">
        <w:rPr>
          <w:rFonts w:ascii="Times New Roman" w:hAnsi="Times New Roman" w:cs="Times New Roman"/>
          <w:i/>
          <w:iCs/>
          <w:noProof/>
          <w:sz w:val="24"/>
          <w:szCs w:val="24"/>
        </w:rPr>
        <w:t>2018 Annual Report</w:t>
      </w:r>
      <w:r w:rsidRPr="005333FA">
        <w:rPr>
          <w:rFonts w:ascii="Times New Roman" w:hAnsi="Times New Roman" w:cs="Times New Roman"/>
          <w:noProof/>
          <w:sz w:val="24"/>
          <w:szCs w:val="24"/>
        </w:rPr>
        <w:t>. Retrieved from https://www.ge.com/investor-relations/sites/default/files/GE_AR18.pdf</w:t>
      </w:r>
    </w:p>
    <w:p w:rsidR="005333FA" w:rsidRPr="005333FA" w:rsidRDefault="005333FA" w:rsidP="000C6EF4">
      <w:pPr>
        <w:pStyle w:val="Bibliography"/>
        <w:spacing w:after="0" w:line="480" w:lineRule="auto"/>
        <w:ind w:left="720" w:hanging="720"/>
        <w:rPr>
          <w:rFonts w:ascii="Times New Roman" w:hAnsi="Times New Roman" w:cs="Times New Roman"/>
          <w:noProof/>
          <w:sz w:val="24"/>
          <w:szCs w:val="24"/>
        </w:rPr>
      </w:pPr>
      <w:r w:rsidRPr="005333FA">
        <w:rPr>
          <w:rFonts w:ascii="Times New Roman" w:hAnsi="Times New Roman" w:cs="Times New Roman"/>
          <w:noProof/>
          <w:sz w:val="24"/>
          <w:szCs w:val="24"/>
        </w:rPr>
        <w:t xml:space="preserve">Goel, S. (2015). </w:t>
      </w:r>
      <w:r w:rsidRPr="005333FA">
        <w:rPr>
          <w:rFonts w:ascii="Times New Roman" w:hAnsi="Times New Roman" w:cs="Times New Roman"/>
          <w:i/>
          <w:iCs/>
          <w:noProof/>
          <w:sz w:val="24"/>
          <w:szCs w:val="24"/>
        </w:rPr>
        <w:t>Financial Ratios.</w:t>
      </w:r>
      <w:r w:rsidRPr="005333FA">
        <w:rPr>
          <w:rFonts w:ascii="Times New Roman" w:hAnsi="Times New Roman" w:cs="Times New Roman"/>
          <w:noProof/>
          <w:sz w:val="24"/>
          <w:szCs w:val="24"/>
        </w:rPr>
        <w:t xml:space="preserve"> New York: Business Expert Press.</w:t>
      </w:r>
    </w:p>
    <w:p w:rsidR="002C13A0" w:rsidRPr="005333FA" w:rsidRDefault="005333FA" w:rsidP="000C6EF4">
      <w:pPr>
        <w:spacing w:after="0" w:line="480" w:lineRule="auto"/>
        <w:jc w:val="center"/>
        <w:rPr>
          <w:rFonts w:ascii="Times New Roman" w:hAnsi="Times New Roman" w:cs="Times New Roman"/>
          <w:sz w:val="24"/>
          <w:szCs w:val="24"/>
        </w:rPr>
      </w:pPr>
      <w:r w:rsidRPr="005333FA">
        <w:rPr>
          <w:rFonts w:ascii="Times New Roman" w:hAnsi="Times New Roman" w:cs="Times New Roman"/>
          <w:sz w:val="24"/>
          <w:szCs w:val="24"/>
        </w:rPr>
        <w:fldChar w:fldCharType="end"/>
      </w:r>
    </w:p>
    <w:p w:rsidR="00E3695C" w:rsidRPr="00E3695C" w:rsidRDefault="007622A1" w:rsidP="000C6EF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21B7C">
        <w:rPr>
          <w:rFonts w:ascii="Times New Roman" w:hAnsi="Times New Roman" w:cs="Times New Roman"/>
          <w:sz w:val="24"/>
          <w:szCs w:val="24"/>
        </w:rPr>
        <w:t xml:space="preserve"> </w:t>
      </w:r>
    </w:p>
    <w:sectPr w:rsidR="00E3695C" w:rsidRPr="00E3695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5B79" w:rsidRDefault="00D25B79" w:rsidP="00FF0D4D">
      <w:pPr>
        <w:spacing w:after="0" w:line="240" w:lineRule="auto"/>
      </w:pPr>
      <w:r>
        <w:separator/>
      </w:r>
    </w:p>
  </w:endnote>
  <w:endnote w:type="continuationSeparator" w:id="0">
    <w:p w:rsidR="00D25B79" w:rsidRDefault="00D25B79" w:rsidP="00FF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5B79" w:rsidRDefault="00D25B79" w:rsidP="00FF0D4D">
      <w:pPr>
        <w:spacing w:after="0" w:line="240" w:lineRule="auto"/>
      </w:pPr>
      <w:r>
        <w:separator/>
      </w:r>
    </w:p>
  </w:footnote>
  <w:footnote w:type="continuationSeparator" w:id="0">
    <w:p w:rsidR="00D25B79" w:rsidRDefault="00D25B79" w:rsidP="00FF0D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5734375"/>
      <w:docPartObj>
        <w:docPartGallery w:val="Page Numbers (Top of Page)"/>
        <w:docPartUnique/>
      </w:docPartObj>
    </w:sdtPr>
    <w:sdtEndPr>
      <w:rPr>
        <w:rFonts w:ascii="Times New Roman" w:hAnsi="Times New Roman" w:cs="Times New Roman"/>
        <w:noProof/>
        <w:sz w:val="24"/>
        <w:szCs w:val="24"/>
      </w:rPr>
    </w:sdtEndPr>
    <w:sdtContent>
      <w:p w:rsidR="00FF0D4D" w:rsidRPr="00FF0D4D" w:rsidRDefault="00FF0D4D" w:rsidP="00FF0D4D">
        <w:pPr>
          <w:spacing w:after="0" w:line="240" w:lineRule="auto"/>
          <w:rPr>
            <w:rFonts w:ascii="Times New Roman" w:hAnsi="Times New Roman" w:cs="Times New Roman"/>
            <w:sz w:val="24"/>
            <w:szCs w:val="24"/>
          </w:rPr>
        </w:pPr>
        <w:r w:rsidRPr="00FF0D4D">
          <w:rPr>
            <w:rFonts w:ascii="Times New Roman" w:hAnsi="Times New Roman" w:cs="Times New Roman"/>
            <w:sz w:val="24"/>
            <w:szCs w:val="24"/>
          </w:rPr>
          <w:t>Running Head: ACCOUNTING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F0D4D">
          <w:rPr>
            <w:rFonts w:ascii="Times New Roman" w:hAnsi="Times New Roman" w:cs="Times New Roman"/>
            <w:sz w:val="24"/>
            <w:szCs w:val="24"/>
          </w:rPr>
          <w:fldChar w:fldCharType="begin"/>
        </w:r>
        <w:r w:rsidRPr="00FF0D4D">
          <w:rPr>
            <w:rFonts w:ascii="Times New Roman" w:hAnsi="Times New Roman" w:cs="Times New Roman"/>
            <w:sz w:val="24"/>
            <w:szCs w:val="24"/>
          </w:rPr>
          <w:instrText xml:space="preserve"> PAGE   \* MERGEFORMAT </w:instrText>
        </w:r>
        <w:r w:rsidRPr="00FF0D4D">
          <w:rPr>
            <w:rFonts w:ascii="Times New Roman" w:hAnsi="Times New Roman" w:cs="Times New Roman"/>
            <w:sz w:val="24"/>
            <w:szCs w:val="24"/>
          </w:rPr>
          <w:fldChar w:fldCharType="separate"/>
        </w:r>
        <w:r w:rsidR="000C6EF4">
          <w:rPr>
            <w:rFonts w:ascii="Times New Roman" w:hAnsi="Times New Roman" w:cs="Times New Roman"/>
            <w:noProof/>
            <w:sz w:val="24"/>
            <w:szCs w:val="24"/>
          </w:rPr>
          <w:t>1</w:t>
        </w:r>
        <w:r w:rsidRPr="00FF0D4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2203022"/>
      <w:docPartObj>
        <w:docPartGallery w:val="Page Numbers (Top of Page)"/>
        <w:docPartUnique/>
      </w:docPartObj>
    </w:sdtPr>
    <w:sdtEndPr>
      <w:rPr>
        <w:rFonts w:ascii="Times New Roman" w:hAnsi="Times New Roman" w:cs="Times New Roman"/>
        <w:noProof/>
        <w:sz w:val="24"/>
        <w:szCs w:val="24"/>
      </w:rPr>
    </w:sdtEndPr>
    <w:sdtContent>
      <w:p w:rsidR="00FF0D4D" w:rsidRPr="00FF0D4D" w:rsidRDefault="00FF0D4D" w:rsidP="00FF0D4D">
        <w:pPr>
          <w:spacing w:after="0" w:line="240" w:lineRule="auto"/>
          <w:rPr>
            <w:rFonts w:ascii="Times New Roman" w:hAnsi="Times New Roman" w:cs="Times New Roman"/>
            <w:sz w:val="24"/>
            <w:szCs w:val="24"/>
          </w:rPr>
        </w:pPr>
        <w:r w:rsidRPr="00FF0D4D">
          <w:rPr>
            <w:rFonts w:ascii="Times New Roman" w:hAnsi="Times New Roman" w:cs="Times New Roman"/>
            <w:sz w:val="24"/>
            <w:szCs w:val="24"/>
          </w:rPr>
          <w:t>ACCOUNTING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F0D4D">
          <w:rPr>
            <w:rFonts w:ascii="Times New Roman" w:hAnsi="Times New Roman" w:cs="Times New Roman"/>
            <w:sz w:val="24"/>
            <w:szCs w:val="24"/>
          </w:rPr>
          <w:fldChar w:fldCharType="begin"/>
        </w:r>
        <w:r w:rsidRPr="00FF0D4D">
          <w:rPr>
            <w:rFonts w:ascii="Times New Roman" w:hAnsi="Times New Roman" w:cs="Times New Roman"/>
            <w:sz w:val="24"/>
            <w:szCs w:val="24"/>
          </w:rPr>
          <w:instrText xml:space="preserve"> PAGE   \* MERGEFORMAT </w:instrText>
        </w:r>
        <w:r w:rsidRPr="00FF0D4D">
          <w:rPr>
            <w:rFonts w:ascii="Times New Roman" w:hAnsi="Times New Roman" w:cs="Times New Roman"/>
            <w:sz w:val="24"/>
            <w:szCs w:val="24"/>
          </w:rPr>
          <w:fldChar w:fldCharType="separate"/>
        </w:r>
        <w:r w:rsidR="000C6EF4">
          <w:rPr>
            <w:rFonts w:ascii="Times New Roman" w:hAnsi="Times New Roman" w:cs="Times New Roman"/>
            <w:noProof/>
            <w:sz w:val="24"/>
            <w:szCs w:val="24"/>
          </w:rPr>
          <w:t>4</w:t>
        </w:r>
        <w:r w:rsidRPr="00FF0D4D">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2107D4"/>
    <w:multiLevelType w:val="hybridMultilevel"/>
    <w:tmpl w:val="0C28E08C"/>
    <w:lvl w:ilvl="0" w:tplc="E2C8991A">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7315D99"/>
    <w:multiLevelType w:val="hybridMultilevel"/>
    <w:tmpl w:val="52FCEA64"/>
    <w:lvl w:ilvl="0" w:tplc="D1680F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DCF"/>
    <w:rsid w:val="000C6EF4"/>
    <w:rsid w:val="001E2A0D"/>
    <w:rsid w:val="001E6106"/>
    <w:rsid w:val="00260156"/>
    <w:rsid w:val="002C13A0"/>
    <w:rsid w:val="003209E1"/>
    <w:rsid w:val="00321B7C"/>
    <w:rsid w:val="003A422D"/>
    <w:rsid w:val="004B48AC"/>
    <w:rsid w:val="005333FA"/>
    <w:rsid w:val="0058793B"/>
    <w:rsid w:val="00594BE6"/>
    <w:rsid w:val="00675763"/>
    <w:rsid w:val="00696CEB"/>
    <w:rsid w:val="006F25D8"/>
    <w:rsid w:val="006F7CFA"/>
    <w:rsid w:val="00753D7B"/>
    <w:rsid w:val="007622A1"/>
    <w:rsid w:val="0086064D"/>
    <w:rsid w:val="00915685"/>
    <w:rsid w:val="00954008"/>
    <w:rsid w:val="009A0BC1"/>
    <w:rsid w:val="00A27429"/>
    <w:rsid w:val="00A478DC"/>
    <w:rsid w:val="00AA690C"/>
    <w:rsid w:val="00B064F1"/>
    <w:rsid w:val="00B115B1"/>
    <w:rsid w:val="00B93140"/>
    <w:rsid w:val="00D13B56"/>
    <w:rsid w:val="00D25B79"/>
    <w:rsid w:val="00D51F98"/>
    <w:rsid w:val="00D671CA"/>
    <w:rsid w:val="00D924FF"/>
    <w:rsid w:val="00DA3137"/>
    <w:rsid w:val="00DC6865"/>
    <w:rsid w:val="00E024AE"/>
    <w:rsid w:val="00E3695C"/>
    <w:rsid w:val="00E575EE"/>
    <w:rsid w:val="00E84B5B"/>
    <w:rsid w:val="00EA27D6"/>
    <w:rsid w:val="00EF4DCF"/>
    <w:rsid w:val="00F7485F"/>
    <w:rsid w:val="00FA0979"/>
    <w:rsid w:val="00FF0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8F8AF4-A5EA-43AE-84C1-D3EF1D3C2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24FF"/>
    <w:pPr>
      <w:ind w:left="720"/>
      <w:contextualSpacing/>
    </w:pPr>
  </w:style>
  <w:style w:type="paragraph" w:styleId="Bibliography">
    <w:name w:val="Bibliography"/>
    <w:basedOn w:val="Normal"/>
    <w:next w:val="Normal"/>
    <w:uiPriority w:val="37"/>
    <w:unhideWhenUsed/>
    <w:rsid w:val="005333FA"/>
  </w:style>
  <w:style w:type="paragraph" w:styleId="Header">
    <w:name w:val="header"/>
    <w:basedOn w:val="Normal"/>
    <w:link w:val="HeaderChar"/>
    <w:uiPriority w:val="99"/>
    <w:unhideWhenUsed/>
    <w:rsid w:val="00FF0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D4D"/>
  </w:style>
  <w:style w:type="paragraph" w:styleId="Footer">
    <w:name w:val="footer"/>
    <w:basedOn w:val="Normal"/>
    <w:link w:val="FooterChar"/>
    <w:uiPriority w:val="99"/>
    <w:unhideWhenUsed/>
    <w:rsid w:val="00FF0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046208">
      <w:bodyDiv w:val="1"/>
      <w:marLeft w:val="0"/>
      <w:marRight w:val="0"/>
      <w:marTop w:val="0"/>
      <w:marBottom w:val="0"/>
      <w:divBdr>
        <w:top w:val="none" w:sz="0" w:space="0" w:color="auto"/>
        <w:left w:val="none" w:sz="0" w:space="0" w:color="auto"/>
        <w:bottom w:val="none" w:sz="0" w:space="0" w:color="auto"/>
        <w:right w:val="none" w:sz="0" w:space="0" w:color="auto"/>
      </w:divBdr>
    </w:div>
    <w:div w:id="507713137">
      <w:bodyDiv w:val="1"/>
      <w:marLeft w:val="0"/>
      <w:marRight w:val="0"/>
      <w:marTop w:val="0"/>
      <w:marBottom w:val="0"/>
      <w:divBdr>
        <w:top w:val="none" w:sz="0" w:space="0" w:color="auto"/>
        <w:left w:val="none" w:sz="0" w:space="0" w:color="auto"/>
        <w:bottom w:val="none" w:sz="0" w:space="0" w:color="auto"/>
        <w:right w:val="none" w:sz="0" w:space="0" w:color="auto"/>
      </w:divBdr>
    </w:div>
    <w:div w:id="1683165173">
      <w:bodyDiv w:val="1"/>
      <w:marLeft w:val="0"/>
      <w:marRight w:val="0"/>
      <w:marTop w:val="0"/>
      <w:marBottom w:val="0"/>
      <w:divBdr>
        <w:top w:val="none" w:sz="0" w:space="0" w:color="auto"/>
        <w:left w:val="none" w:sz="0" w:space="0" w:color="auto"/>
        <w:bottom w:val="none" w:sz="0" w:space="0" w:color="auto"/>
        <w:right w:val="none" w:sz="0" w:space="0" w:color="auto"/>
      </w:divBdr>
    </w:div>
    <w:div w:id="1849907864">
      <w:bodyDiv w:val="1"/>
      <w:marLeft w:val="0"/>
      <w:marRight w:val="0"/>
      <w:marTop w:val="0"/>
      <w:marBottom w:val="0"/>
      <w:divBdr>
        <w:top w:val="none" w:sz="0" w:space="0" w:color="auto"/>
        <w:left w:val="none" w:sz="0" w:space="0" w:color="auto"/>
        <w:bottom w:val="none" w:sz="0" w:space="0" w:color="auto"/>
        <w:right w:val="none" w:sz="0" w:space="0" w:color="auto"/>
      </w:divBdr>
    </w:div>
    <w:div w:id="1867787318">
      <w:bodyDiv w:val="1"/>
      <w:marLeft w:val="0"/>
      <w:marRight w:val="0"/>
      <w:marTop w:val="0"/>
      <w:marBottom w:val="0"/>
      <w:divBdr>
        <w:top w:val="none" w:sz="0" w:space="0" w:color="auto"/>
        <w:left w:val="none" w:sz="0" w:space="0" w:color="auto"/>
        <w:bottom w:val="none" w:sz="0" w:space="0" w:color="auto"/>
        <w:right w:val="none" w:sz="0" w:space="0" w:color="auto"/>
      </w:divBdr>
    </w:div>
    <w:div w:id="2007053961">
      <w:bodyDiv w:val="1"/>
      <w:marLeft w:val="0"/>
      <w:marRight w:val="0"/>
      <w:marTop w:val="0"/>
      <w:marBottom w:val="0"/>
      <w:divBdr>
        <w:top w:val="none" w:sz="0" w:space="0" w:color="auto"/>
        <w:left w:val="none" w:sz="0" w:space="0" w:color="auto"/>
        <w:bottom w:val="none" w:sz="0" w:space="0" w:color="auto"/>
        <w:right w:val="none" w:sz="0" w:space="0" w:color="auto"/>
      </w:divBdr>
    </w:div>
    <w:div w:id="209539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GE18</b:Tag>
    <b:SourceType>InternetSite</b:SourceType>
    <b:Guid>{2600EB28-9AAA-447B-8487-2BF7A23DC3EC}</b:Guid>
    <b:Title>2018 Annual Report</b:Title>
    <b:Year>2018</b:Year>
    <b:Author>
      <b:Author>
        <b:Corporate>GE</b:Corporate>
      </b:Author>
    </b:Author>
    <b:URL>https://www.ge.com/investor-relations/sites/default/files/GE_AR18.pdf</b:URL>
    <b:RefOrder>2</b:RefOrder>
  </b:Source>
  <b:Source>
    <b:Tag>Goe15</b:Tag>
    <b:SourceType>Book</b:SourceType>
    <b:Guid>{BCD77EBC-36EB-4DDD-A1F2-2B7676F6755B}</b:Guid>
    <b:Title>Financial Ratios</b:Title>
    <b:Year>2015</b:Year>
    <b:Author>
      <b:Author>
        <b:NameList>
          <b:Person>
            <b:Last>Goel</b:Last>
            <b:First>S</b:First>
          </b:Person>
        </b:NameList>
      </b:Author>
    </b:Author>
    <b:City>New York</b:City>
    <b:Publisher>Business Expert Press</b:Publisher>
    <b:RefOrder>3</b:RefOrder>
  </b:Source>
  <b:Source>
    <b:Tag>Bre11</b:Tag>
    <b:SourceType>Book</b:SourceType>
    <b:Guid>{9BD522B1-D09C-46B4-97C2-21EA0FDE92CE}</b:Guid>
    <b:Author>
      <b:Author>
        <b:NameList>
          <b:Person>
            <b:Last>Brealey</b:Last>
            <b:First>R.</b:First>
            <b:Middle>A</b:Middle>
          </b:Person>
          <b:Person>
            <b:Last>Myers</b:Last>
            <b:First>S.</b:First>
            <b:Middle>C</b:Middle>
          </b:Person>
          <b:Person>
            <b:Last>Allen</b:Last>
            <b:First>F</b:First>
          </b:Person>
        </b:NameList>
      </b:Author>
    </b:Author>
    <b:Title>Principles of corporate finance</b:Title>
    <b:Year>2011</b:Year>
    <b:City>New York</b:City>
    <b:Publisher>McGraw-Hill Book Company</b:Publisher>
    <b:RefOrder>1</b:RefOrder>
  </b:Source>
</b:Sources>
</file>

<file path=customXml/itemProps1.xml><?xml version="1.0" encoding="utf-8"?>
<ds:datastoreItem xmlns:ds="http://schemas.openxmlformats.org/officeDocument/2006/customXml" ds:itemID="{DAA5FA58-0322-4851-8859-1DDA62561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cp:revision>
  <dcterms:created xsi:type="dcterms:W3CDTF">2019-09-11T07:58:00Z</dcterms:created>
  <dcterms:modified xsi:type="dcterms:W3CDTF">2019-09-11T09:05:00Z</dcterms:modified>
</cp:coreProperties>
</file>