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 468 · CHAPTER 14: HEALTH IT LEADERSHIP CASE STUDIES </w:t>
      </w:r>
    </w:p>
    <w:p w:rsidR="00A97B23" w:rsidRDefault="00A97B23" w:rsidP="00A97B23">
      <w:r>
        <w:t xml:space="preserve">Faculty members and others who teach health administration students are often in search of case studies that can be used to help students apply theory and concepts to real-life IT management situations, encourage problem- solving and critical thinking, and foster discussion and collaboration among students. This chapter provides a compendium of case studies from a variety of health care organizations and settings. It is intended to serve as a supplement to the preceding chapters and as a resource to faculty members and students. Many of these case studies were originally written by working health care executives enrolled as students in the doctoral program in health administration offered at the Medical University of South Carolina. We wish to acknowledge and thank these students for allowing us to share their stories and experiences with you: </w:t>
      </w:r>
    </w:p>
    <w:p w:rsidR="00A97B23" w:rsidRDefault="00A97B23" w:rsidP="00A97B23">
      <w:r>
        <w:t xml:space="preserve">Penney Burlingame Randall Jones Barbara </w:t>
      </w:r>
      <w:proofErr w:type="spellStart"/>
      <w:r>
        <w:t>Chelton</w:t>
      </w:r>
      <w:proofErr w:type="spellEnd"/>
      <w:r>
        <w:t xml:space="preserve"> </w:t>
      </w:r>
      <w:proofErr w:type="spellStart"/>
      <w:r>
        <w:t>Catrin</w:t>
      </w:r>
      <w:proofErr w:type="spellEnd"/>
      <w:r>
        <w:t xml:space="preserve"> Jones-</w:t>
      </w:r>
      <w:proofErr w:type="spellStart"/>
      <w:r>
        <w:t>Nazar</w:t>
      </w:r>
      <w:proofErr w:type="spellEnd"/>
      <w:r>
        <w:t xml:space="preserve"> Stuart Fine Ronald </w:t>
      </w:r>
      <w:proofErr w:type="spellStart"/>
      <w:r>
        <w:t>Kintz</w:t>
      </w:r>
      <w:proofErr w:type="spellEnd"/>
      <w:r>
        <w:t xml:space="preserve"> David Freed George </w:t>
      </w:r>
      <w:proofErr w:type="spellStart"/>
      <w:r>
        <w:t>Mikatarian</w:t>
      </w:r>
      <w:proofErr w:type="spellEnd"/>
      <w:r>
        <w:t xml:space="preserve"> David </w:t>
      </w:r>
      <w:proofErr w:type="spellStart"/>
      <w:r>
        <w:t>Gehant</w:t>
      </w:r>
      <w:proofErr w:type="spellEnd"/>
      <w:r>
        <w:t xml:space="preserve"> Michael Moran Patricia Givens Lorie Shoemaker Shirley </w:t>
      </w:r>
      <w:proofErr w:type="spellStart"/>
      <w:r>
        <w:t>Harkey</w:t>
      </w:r>
      <w:proofErr w:type="spellEnd"/>
      <w:r>
        <w:t xml:space="preserve"> Gary Wilde Victoria Harkins </w:t>
      </w:r>
    </w:p>
    <w:p w:rsidR="00A97B23" w:rsidRDefault="00A97B23" w:rsidP="00A97B23">
      <w:r>
        <w:t xml:space="preserve">Most of the cases begin with background information that includes a description of the setting, the current information system (IS) challenge facing the organization, and the factors that are felt to have contributed to the current situation. (All real names and identifying information have been changed from the original cases to protect the identity of the individuals and organizations involved.) Following each case is a set of recommended discussion questions. To the extent possible, the cases are organized by the corresponding chapter(s) to which they relate (see Table 14.1). We hope you find the cases thought-provoking and useful in applying the concepts covered in this book to what is happening in health care organizations throughout our nation. We have also included at the end of the chapter a listing of </w:t>
      </w:r>
      <w:proofErr w:type="gramStart"/>
      <w:r>
        <w:t>other  published</w:t>
      </w:r>
      <w:proofErr w:type="gramEnd"/>
      <w:r>
        <w:t xml:space="preserve"> cases and webinars that may be useful to you and your students. </w:t>
      </w:r>
    </w:p>
    <w:p w:rsidR="00A97B23" w:rsidRDefault="00A97B23" w:rsidP="00A97B23">
      <w:r>
        <w:t xml:space="preserve">CASE 1: POPULATION HEALTH MANAGEMENT IN ACTION Although the integration of patient-centered medical homes and accountable care organizations into the health system is still emerging—as are best </w:t>
      </w:r>
    </w:p>
    <w:p w:rsidR="00A97B23" w:rsidRDefault="00A97B23" w:rsidP="00A97B23"/>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lastRenderedPageBreak/>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CASE 1: POPULATION HEALTH MANAGEMENT IN ACTION · 469 </w:t>
      </w:r>
    </w:p>
    <w:p w:rsidR="00A97B23" w:rsidRDefault="00A97B23" w:rsidP="00A97B23">
      <w:r>
        <w:t xml:space="preserve">Table 14.1 List of cases and corresponding chapters </w:t>
      </w:r>
    </w:p>
    <w:p w:rsidR="00A97B23" w:rsidRDefault="00A97B23" w:rsidP="00A97B23">
      <w:r>
        <w:t xml:space="preserve">Title of Case </w:t>
      </w:r>
    </w:p>
    <w:p w:rsidR="00A97B23" w:rsidRDefault="00A97B23" w:rsidP="00A97B23">
      <w:r>
        <w:t xml:space="preserve">Corresponding Chapter(s) Case 1: Population Health Management in Action Chapter 4 Case 2: Registries and Disease Management in the Chapter 4 PCMH Case 3: Implementing a Capacity Management Chapter 5 Information System Case 4: Implementing a Telemedicine Solution Chapter 5 Case 5: Selecting an EHR for Dermatology Practice Chapter 5 Case 6: Watson’s Ambulatory EHR Transition Chapter 5 Case 7: Concerns and Workarounds with a Clinical Chapter 6 Documentation System Case 8: Conversion to an EHR Messaging System Chapter 6 Case 9: Strategies for Implementing CPOE Chapter 6 Case 10: Implementing a Syndromic Surveillance Chapters 6 and 12 System Case 11: Planning an EHR Implementation Chapters 6 and 12 Case 12: Replacing a Practice Management System Chapters 6 and 13 Case 13: Implementing Tele-psychiatry in a Chapters 6, 7, and 13 Community Hospital Emergency Department Case 14: Assessing the Value and Impact of CPOE Chapter 7 Case 15: Assessing the Value of Health IT Chapter 7 Investment Case 16: The Admitting System Crashes Chapter 10 Case 17: Breaching the Security of an Internet Chapter 10 Patient Portal Case 18: The Decision to Develop an IT Strategic Plan Chapter 12 Case 19: Selection of a Patient Safety Strategy Chapter 12 Case 20: Strategic IS Planning for the Hospital ED Chapter 12 Case 21: Board Support for a Capital Project Chapters 12 and 13 </w:t>
      </w:r>
    </w:p>
    <w:p w:rsidR="00A97B23" w:rsidRDefault="00A97B23" w:rsidP="00A97B23">
      <w:r>
        <w:t xml:space="preserve">practices and key learnings from these early efforts—there have been myriad examples demonstrating encouraging returns and improvement in quality of care. The Patient-Centered Primary Care Collaborative recently </w:t>
      </w:r>
      <w:proofErr w:type="spellStart"/>
      <w:r>
        <w:t>profi</w:t>
      </w:r>
      <w:proofErr w:type="spellEnd"/>
      <w:r>
        <w:t xml:space="preserve"> led several organizations that have adopted patient health management (PHM) tools and strategies to address the preventive and chronic care needs of their patient populations. </w:t>
      </w:r>
    </w:p>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lastRenderedPageBreak/>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470 · CHAPTER 14: HEALTH IT LEADERSHIP CASE STUDIES </w:t>
      </w:r>
    </w:p>
    <w:p w:rsidR="00A97B23" w:rsidRDefault="00A97B23" w:rsidP="00A97B23">
      <w:r>
        <w:t>Bon Secours Virginia Medical Group</w:t>
      </w:r>
    </w:p>
    <w:p w:rsidR="00A97B23" w:rsidRDefault="00A97B23" w:rsidP="00A97B23">
      <w:r>
        <w:t xml:space="preserve"> Richmond, VA</w:t>
      </w:r>
    </w:p>
    <w:p w:rsidR="00A97B23" w:rsidRDefault="00A97B23" w:rsidP="00A97B23">
      <w:r>
        <w:t xml:space="preserve"> Provider Type: Multispecialty group practice</w:t>
      </w:r>
    </w:p>
    <w:p w:rsidR="00A97B23" w:rsidRDefault="00A97B23" w:rsidP="00A97B23">
      <w:r>
        <w:t xml:space="preserve"> Locations: 140</w:t>
      </w:r>
    </w:p>
    <w:p w:rsidR="00A97B23" w:rsidRDefault="00A97B23" w:rsidP="00A97B23">
      <w:r>
        <w:t xml:space="preserve"> Patients: 25,000 (Virginia)</w:t>
      </w:r>
    </w:p>
    <w:p w:rsidR="00A97B23" w:rsidRDefault="00A97B23" w:rsidP="00A97B23">
      <w:r>
        <w:t xml:space="preserve"> </w:t>
      </w:r>
    </w:p>
    <w:p w:rsidR="00A97B23" w:rsidRDefault="00A97B23" w:rsidP="00A97B23">
      <w:r>
        <w:t xml:space="preserve">A pioneer in implementing medical home and accountable care initiatives, Bon Secours has dedicated itself to executing a sustainable care delivery model that is in alignment with health care reform across its providers and locations. Bon Secours’s transformation into an organization that embraces PHM is the result of a systematic strategy to reengineer primary care practices, integrate new technologies into care team workflows, and engage patients in their care. Bon Secours took a leap of faith in implementing these changes, acting on the belief that payers would come to them if they built a viable model. And payers did. The organization was selected as an early participant in the Medicare Shared Savings Program. It has also signed value-based contracts with two commercial payers—CIGNA and Anthem—and is in negotiations with several more. These contracts provide a financial mechanism to expand and scale the medical home initiative and support ACO models. This case study examines in more detail Bon Secours’s approach to position itself to achieve quality outcomes and financial success in the changing health care environment. </w:t>
      </w:r>
    </w:p>
    <w:p w:rsidR="00A97B23" w:rsidRDefault="00A97B23" w:rsidP="00A97B23">
      <w:r>
        <w:t xml:space="preserve">Bon Secours’s Care Team Model The foundation of Bon Secours’s strategy for value-based care is its medical home initiative—the Advanced Medical Home Project. The project began as a pilot five years ago. Since that time, eleven practices have earned NCQA recognition as patient-centered medical homes. One of the most </w:t>
      </w:r>
      <w:proofErr w:type="spellStart"/>
      <w:r>
        <w:t>signifi</w:t>
      </w:r>
      <w:proofErr w:type="spellEnd"/>
      <w:r>
        <w:t xml:space="preserve"> </w:t>
      </w:r>
      <w:proofErr w:type="gramStart"/>
      <w:r>
        <w:t>cant</w:t>
      </w:r>
      <w:proofErr w:type="gramEnd"/>
      <w:r>
        <w:t xml:space="preserve"> objectives of the Advanced Medical Home Project is to improve capacity— making it possible for care teams to double the size of their patient panel without </w:t>
      </w:r>
      <w:r>
        <w:lastRenderedPageBreak/>
        <w:t xml:space="preserve">overburdening themselves or sacrificing quality of care. At the heart of this medical home strategy is the effort to reengineer practices by creating high-performance physician-led care teams, which requires changes in workflow, new care coordination activities, and designed delegation of clinical responsibilities across the care team. To facilitate this process, Bon Secours has invested significantly in embedding care managers into the primary care team. These nurse navigators are registered nurses (RNs) who are either board-certified case managers or actively working toward </w:t>
      </w:r>
      <w:proofErr w:type="spellStart"/>
      <w:r>
        <w:t>certifi</w:t>
      </w:r>
      <w:proofErr w:type="spellEnd"/>
      <w:r>
        <w:t xml:space="preserve"> cation. </w:t>
      </w:r>
    </w:p>
    <w:p w:rsidR="00A97B23" w:rsidRDefault="00A97B23" w:rsidP="00A97B23"/>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CASE 1: POPULATION HEALTH MANAGEMENT IN ACTION · 471 </w:t>
      </w:r>
    </w:p>
    <w:p w:rsidR="00A97B23" w:rsidRDefault="00A97B23" w:rsidP="00A97B23">
      <w:r>
        <w:t xml:space="preserve">Each nurse navigator is assigned a panel of approximately 150 high-risk patients. He or she cultivates a personal relationship with these patients, usually through repeated phone contacts. Although most outreach is telephonic, navigators have the skill to assess which patients require face-to-face intervention. And because they are embedded in the practice, they can spend time with these patients doing assessments, care planning, and education. </w:t>
      </w:r>
    </w:p>
    <w:p w:rsidR="00A97B23" w:rsidRDefault="00A97B23" w:rsidP="00A97B23">
      <w:r>
        <w:lastRenderedPageBreak/>
        <w:t xml:space="preserve">Bon Secours’s eHealth Strategies An important aspect of Bon Secours’s strategy is implementing health information technology that empowers the care team to efficiently manage the health of their populations. They consider this technology—standardized across the medical group—as the key to enable them to scale their system for value-based care. As a first step, Bon Secours implemented an EHR and all its modules in every practice within the system. This gave them a strong foundation for documenting care and accessing health records across the enterprise. Risk </w:t>
      </w:r>
      <w:proofErr w:type="spellStart"/>
      <w:r>
        <w:t>stratifi</w:t>
      </w:r>
      <w:proofErr w:type="spellEnd"/>
      <w:r>
        <w:t xml:space="preserve"> cation. They were able to build a registry that could identify high-risk and high-utilization patients based on data such as number of medications or frequent visits to the emergency department. However, the organization recognized the need for a more robust, scalable registry that would drive efficient population health workflows in their practices and enable analytics and predictive modeling across multiple clinical conditions. Integrating their EHR with a PHM platform, Bon Secours </w:t>
      </w:r>
      <w:proofErr w:type="gramStart"/>
      <w:r>
        <w:t>is able to</w:t>
      </w:r>
      <w:proofErr w:type="gramEnd"/>
      <w:r>
        <w:t xml:space="preserve"> aggregate all source data into a population-wide registry that enables the organization to implement multiple quality-improvement programs simultaneously. The registry stratifies the population by risk—providing a total population view while enabling each care team to drill down to the data they need about cohorts and individual patients. The system enables care teams within the practice to monitor their patients’ health status and </w:t>
      </w:r>
      <w:proofErr w:type="gramStart"/>
      <w:r>
        <w:t>take action</w:t>
      </w:r>
      <w:proofErr w:type="gramEnd"/>
      <w:r>
        <w:t xml:space="preserve"> by delivering timely and appropriate care interventions. Because the system automates these interventions, care teams </w:t>
      </w:r>
      <w:proofErr w:type="gramStart"/>
      <w:r>
        <w:t>are able to</w:t>
      </w:r>
      <w:proofErr w:type="gramEnd"/>
      <w:r>
        <w:t xml:space="preserve"> communicate with many patients at once. Automated outreach. A significant priority for Bon Secours has been preventing thirty-day readmissions. The medical group uses an automated outreach system to identify discharged patients, link them to a primary care provider (PCP), and pinpoint those who are at high risk for readmission. Flagged patients are then called within twenty-four to seventy-two hours to reinforce discharge instructions, make sure their medications are reconciled, and set up an appointment with the primary care team within five to ten days of discharge. Bon Secours will soon implement a readmissions solution to </w:t>
      </w:r>
    </w:p>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472 · CHAPTER 14: HEALTH IT LEADERSHIP CASE STUDIES </w:t>
      </w:r>
    </w:p>
    <w:p w:rsidR="00A97B23" w:rsidRDefault="00A97B23" w:rsidP="00A97B23">
      <w:r>
        <w:lastRenderedPageBreak/>
        <w:t xml:space="preserve">automate the process of calling discharged patients, asking them to complete a short assessment, and escalating cases as needed based on their feedback. Personal health records. Another strategy for patient engagement is activating patients on an electronic personal health record (PHR), which allows patients to view clinical results and communicate conveniently with their caregivers via e-mail. Bon Secours works to gain physician consensus on policies that drive the use of PHR: physicians agreed to allow automatic release of normal results to the PHR, but abnormal results are held for 24 hours to enable the care team to contact the patient. The organization is relying on physicians and staff members to get patients active on the PHR to help them sign up on the spot in the exam room. </w:t>
      </w:r>
    </w:p>
    <w:p w:rsidR="00A97B23" w:rsidRDefault="00A97B23" w:rsidP="00A97B23">
      <w:r>
        <w:t xml:space="preserve">Challenges and Lessons Learned Gaining physician buy-in for reengineering practice </w:t>
      </w:r>
      <w:proofErr w:type="spellStart"/>
      <w:r>
        <w:t>workfl</w:t>
      </w:r>
      <w:proofErr w:type="spellEnd"/>
      <w:r>
        <w:t xml:space="preserve"> ow. The concept of the care team can be difficult for some physicians because they see themselves as the clinician and the rest of the team as support staff members. To help physicians embrace the care team and delegate patient-care tasks, Bon Secours placed tremendous emphasis on physician education. The organization also allows physicians to adjust some of the standardized care team protocols to meet the needs of their practice, which fosters ownership of the process and assures physicians that they remain in control. Paying for the transition to value-based care. As mentioned previously, Bon Secours implemented its medical home model with the hope that payers would come to them if they built a viable program. CIGNA currently gives the organization a per-member per-month (PMPM) adjustment for care coordination. Anthem, the group’s biggest payer, pays a care coordination fee and will change to PMPM in the coming year. Several more commercial payers are lined up to sign contracts with the group. However, this payer involvement is a relatively new development. For the first few years of the project, Bon Secours shouldered the expense. The organization is now poised to reap the rewards of its investment. Bon Secours is also demonstrating significant progress managing its CIGNA population. In the fi </w:t>
      </w:r>
      <w:proofErr w:type="spellStart"/>
      <w:r>
        <w:t>rst</w:t>
      </w:r>
      <w:proofErr w:type="spellEnd"/>
      <w:r>
        <w:t xml:space="preserve"> six months of their value-based contract, they have achieved a 27 percent reduction in readmissions and are $1.8 million below their projected spend. They have hit many of their care quality metrics and need to improve their gap-in-care metrics only slightly to achieve the index necessary to qualify for gain sharing with CIGNA—a development that will bring a projected annual savings of $4 million. Bon Secours’s mantra for the future is “health care without walls.” The organization is aggressively pursuing remote, noninvasive monitoring for </w:t>
      </w:r>
    </w:p>
    <w:p w:rsidR="00A97B23" w:rsidRDefault="00A97B23" w:rsidP="00A97B23"/>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t xml:space="preserve"> </w:t>
      </w:r>
    </w:p>
    <w:p w:rsidR="00A97B23" w:rsidRDefault="00A97B23" w:rsidP="00A97B23">
      <w:r>
        <w:lastRenderedPageBreak/>
        <w:t xml:space="preserve"> </w:t>
      </w:r>
    </w:p>
    <w:p w:rsidR="00A97B23" w:rsidRDefault="00A97B23" w:rsidP="00A97B23">
      <w:r>
        <w:t xml:space="preserve">CASE 1: POPULATION HEALTH MANAGEMENT IN ACTION · 473 </w:t>
      </w:r>
    </w:p>
    <w:p w:rsidR="00A97B23" w:rsidRDefault="00A97B23" w:rsidP="00A97B23">
      <w:r>
        <w:t xml:space="preserve">highly acute case management. Their vision is to bring care outside the four walls of the hospital into the patient’s home using technology. They are operationalizing a geriatric medical home that will enable patients to age in place with home visits for preventive and acute management. They are also expanding their implementation of the PHM platform to include performance measurement at the group, site, and provider levels; feedback to providers on variance in care; and quality reporting. This added functionality for analytics and insight on the clinical and administrative levels will help the organization ensure that it is meeting the triple aim (to improve the patient experience of care, including quality and satisfaction; to improve the health of populations; and to reduce the per capita cost of health care). </w:t>
      </w:r>
    </w:p>
    <w:p w:rsidR="00A97B23" w:rsidRDefault="00A97B23" w:rsidP="00A97B23">
      <w:r>
        <w:t xml:space="preserve">Innovation Impact </w:t>
      </w:r>
    </w:p>
    <w:p w:rsidR="00A97B23" w:rsidRDefault="00A97B23" w:rsidP="00A97B23">
      <w:r>
        <w:t xml:space="preserve">• </w:t>
      </w:r>
      <w:r>
        <w:tab/>
        <w:t xml:space="preserve">Thirty-day readmission rate for medical home patients was &lt; 2 percent for two years. • </w:t>
      </w:r>
      <w:r>
        <w:tab/>
        <w:t xml:space="preserve">Patient engagement scores were in the 97th percentile. • </w:t>
      </w:r>
      <w:r>
        <w:tab/>
        <w:t xml:space="preserve">Patient outreach efforts generated approximately forty thousand unique patient visits for preventive, follow-up, or acute care, leading to $7 million increased revenue. </w:t>
      </w:r>
    </w:p>
    <w:p w:rsidR="00A97B23" w:rsidRDefault="00A97B23" w:rsidP="00A97B23">
      <w:r>
        <w:t xml:space="preserve">Source: </w:t>
      </w:r>
      <w:proofErr w:type="spellStart"/>
      <w:r>
        <w:t>Shaljian</w:t>
      </w:r>
      <w:proofErr w:type="spellEnd"/>
      <w:r>
        <w:t xml:space="preserve">, M., &amp; Nielsen, M. (2013). Managing populations, maximizing technology: Population health management in the medical neighborhood. Patient-Centered Primary Care Collaborative. Retrieved from https://pcpcc.org/resource/managingpopulations-maximizing-technology. Used with permission. </w:t>
      </w:r>
    </w:p>
    <w:p w:rsidR="00A97B23" w:rsidRDefault="00A97B23" w:rsidP="00A97B23">
      <w:r>
        <w:t xml:space="preserve">Discussion Questions 1. </w:t>
      </w:r>
      <w:r>
        <w:tab/>
        <w:t xml:space="preserve">What do you think are the important take-home messages in this case? 2. </w:t>
      </w:r>
      <w:r>
        <w:tab/>
        <w:t xml:space="preserve">What is your assessment of the approach Bon Secours has taken in embracing its commitment to population health management by investigating in different IT capabilities? How useful are capabilities such as risk </w:t>
      </w:r>
      <w:proofErr w:type="spellStart"/>
      <w:r>
        <w:t>stratifi</w:t>
      </w:r>
      <w:proofErr w:type="spellEnd"/>
      <w:r>
        <w:t xml:space="preserve"> cation, automated outreach, and PHRs in improving quality while managing costs? Are there other tools that could have been useful? If so, what are they? How might they be used? 3. </w:t>
      </w:r>
      <w:r>
        <w:tab/>
        <w:t>Bon Secours’s mantra for the future is “health care without walls.” What might success in achieving this vision look like? What challenges may they face? How might they overcome these challenges?</w:t>
      </w:r>
      <w:bookmarkStart w:id="0" w:name="_GoBack"/>
      <w:bookmarkEnd w:id="0"/>
    </w:p>
    <w:sectPr w:rsidR="00A97B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B23"/>
    <w:rsid w:val="00A97B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817945-E27D-44B2-AD72-D2360F895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2166</Words>
  <Characters>12350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Nouf Alsarra</dc:creator>
  <cp:keywords/>
  <dc:description/>
  <cp:lastModifiedBy>Nouf Alsarra</cp:lastModifiedBy>
  <cp:revision>1</cp:revision>
  <dcterms:created xsi:type="dcterms:W3CDTF">2017-12-04T05:18:00Z</dcterms:created>
  <dcterms:modified xsi:type="dcterms:W3CDTF">2017-12-04T05:21:00Z</dcterms:modified>
</cp:coreProperties>
</file>