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6100D" w:rsidP="0036100D">
      <w:pPr>
        <w:spacing w:after="0" w:line="480" w:lineRule="auto"/>
        <w:contextualSpacing/>
        <w:rPr>
          <w:rFonts w:ascii="Times New Roman" w:hAnsi="Times New Roman" w:cs="Times New Roman"/>
          <w:sz w:val="24"/>
          <w:szCs w:val="24"/>
        </w:rPr>
      </w:pPr>
    </w:p>
    <w:p w:rsidR="0036100D" w:rsidP="0036100D">
      <w:pPr>
        <w:spacing w:after="0" w:line="480" w:lineRule="auto"/>
        <w:contextualSpacing/>
        <w:rPr>
          <w:rFonts w:ascii="Times New Roman" w:hAnsi="Times New Roman" w:cs="Times New Roman"/>
          <w:sz w:val="24"/>
          <w:szCs w:val="24"/>
        </w:rPr>
      </w:pPr>
    </w:p>
    <w:p w:rsidR="0036100D" w:rsidP="0036100D">
      <w:pPr>
        <w:spacing w:after="0" w:line="480" w:lineRule="auto"/>
        <w:contextualSpacing/>
        <w:rPr>
          <w:rFonts w:ascii="Times New Roman" w:hAnsi="Times New Roman" w:cs="Times New Roman"/>
          <w:sz w:val="24"/>
          <w:szCs w:val="24"/>
        </w:rPr>
      </w:pPr>
    </w:p>
    <w:p w:rsidR="0036100D" w:rsidP="0036100D">
      <w:pPr>
        <w:spacing w:after="0" w:line="480" w:lineRule="auto"/>
        <w:contextualSpacing/>
        <w:rPr>
          <w:rFonts w:ascii="Times New Roman" w:hAnsi="Times New Roman" w:cs="Times New Roman"/>
          <w:sz w:val="24"/>
          <w:szCs w:val="24"/>
        </w:rPr>
      </w:pPr>
    </w:p>
    <w:p w:rsidR="0036100D" w:rsidP="0036100D">
      <w:pPr>
        <w:spacing w:after="0" w:line="480" w:lineRule="auto"/>
        <w:contextualSpacing/>
        <w:rPr>
          <w:rFonts w:ascii="Times New Roman" w:hAnsi="Times New Roman" w:cs="Times New Roman"/>
          <w:sz w:val="24"/>
          <w:szCs w:val="24"/>
        </w:rPr>
      </w:pPr>
    </w:p>
    <w:p w:rsidR="0036100D" w:rsidP="0036100D">
      <w:pPr>
        <w:spacing w:after="0" w:line="480" w:lineRule="auto"/>
        <w:contextualSpacing/>
        <w:rPr>
          <w:rFonts w:ascii="Times New Roman" w:hAnsi="Times New Roman" w:cs="Times New Roman"/>
          <w:sz w:val="24"/>
          <w:szCs w:val="24"/>
        </w:rPr>
      </w:pPr>
    </w:p>
    <w:p w:rsidR="0036100D" w:rsidP="0036100D">
      <w:pPr>
        <w:spacing w:after="0" w:line="480" w:lineRule="auto"/>
        <w:contextualSpacing/>
        <w:rPr>
          <w:rFonts w:ascii="Times New Roman" w:hAnsi="Times New Roman" w:cs="Times New Roman"/>
          <w:sz w:val="24"/>
          <w:szCs w:val="24"/>
        </w:rPr>
      </w:pPr>
    </w:p>
    <w:p w:rsidR="0036100D" w:rsidRPr="0054212A" w:rsidP="0036100D">
      <w:pPr>
        <w:spacing w:after="0" w:line="480" w:lineRule="auto"/>
        <w:contextualSpacing/>
        <w:jc w:val="center"/>
        <w:rPr>
          <w:rFonts w:ascii="Times New Roman" w:hAnsi="Times New Roman" w:cs="Times New Roman"/>
          <w:b/>
          <w:bCs/>
          <w:sz w:val="24"/>
          <w:szCs w:val="24"/>
        </w:rPr>
      </w:pPr>
      <w:r w:rsidRPr="0054212A">
        <w:rPr>
          <w:rFonts w:ascii="Times New Roman" w:hAnsi="Times New Roman" w:cs="Times New Roman"/>
          <w:b/>
          <w:bCs/>
          <w:sz w:val="24"/>
          <w:szCs w:val="24"/>
        </w:rPr>
        <w:t>Action-Oriented Research Questions</w:t>
      </w: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jc w:val="center"/>
        <w:rPr>
          <w:rFonts w:ascii="Times New Roman" w:hAnsi="Times New Roman" w:cs="Times New Roman"/>
          <w:sz w:val="24"/>
          <w:szCs w:val="24"/>
        </w:rPr>
      </w:pPr>
      <w:bookmarkStart w:id="0" w:name="_Hlk78480704"/>
      <w:r>
        <w:rPr>
          <w:rFonts w:ascii="Times New Roman" w:hAnsi="Times New Roman" w:cs="Times New Roman"/>
          <w:sz w:val="24"/>
          <w:szCs w:val="24"/>
        </w:rPr>
        <w:t xml:space="preserve">Student’s Name </w:t>
      </w:r>
    </w:p>
    <w:p w:rsidR="0036100D" w:rsidP="0036100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Institutional Affiliation </w:t>
      </w:r>
    </w:p>
    <w:p w:rsidR="0036100D" w:rsidP="0036100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Course Name &amp; Number </w:t>
      </w:r>
    </w:p>
    <w:p w:rsidR="0036100D" w:rsidP="0036100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Instructor’s Name</w:t>
      </w:r>
    </w:p>
    <w:p w:rsidR="0036100D" w:rsidP="0036100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Due Date </w:t>
      </w: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jc w:val="center"/>
        <w:rPr>
          <w:rFonts w:ascii="Times New Roman" w:hAnsi="Times New Roman" w:cs="Times New Roman"/>
          <w:sz w:val="24"/>
          <w:szCs w:val="24"/>
        </w:rPr>
      </w:pPr>
    </w:p>
    <w:p w:rsidR="0036100D" w:rsidP="0036100D">
      <w:pPr>
        <w:spacing w:after="0" w:line="480" w:lineRule="auto"/>
        <w:contextualSpacing/>
        <w:rPr>
          <w:rFonts w:ascii="Times New Roman" w:hAnsi="Times New Roman" w:cs="Times New Roman"/>
          <w:sz w:val="24"/>
          <w:szCs w:val="24"/>
        </w:rPr>
      </w:pPr>
    </w:p>
    <w:p w:rsidR="0036100D" w:rsidP="0036100D">
      <w:pPr>
        <w:spacing w:after="0" w:line="480" w:lineRule="auto"/>
        <w:ind w:firstLine="720"/>
        <w:contextualSpacing/>
        <w:jc w:val="center"/>
        <w:rPr>
          <w:rFonts w:ascii="Times New Roman" w:hAnsi="Times New Roman" w:cs="Times New Roman"/>
          <w:b/>
          <w:bCs/>
          <w:sz w:val="24"/>
          <w:szCs w:val="24"/>
        </w:rPr>
      </w:pPr>
      <w:r w:rsidRPr="0054212A">
        <w:rPr>
          <w:rFonts w:ascii="Times New Roman" w:hAnsi="Times New Roman" w:cs="Times New Roman"/>
          <w:b/>
          <w:bCs/>
          <w:sz w:val="24"/>
          <w:szCs w:val="24"/>
        </w:rPr>
        <w:t xml:space="preserve">Action-Oriented Research Questions </w:t>
      </w:r>
    </w:p>
    <w:p w:rsidR="0036100D" w:rsidP="0036100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essay focuses on developing action-oriented research questions which apply to real-world situations. Here are the questions that</w:t>
      </w:r>
      <w:r>
        <w:rPr>
          <w:rFonts w:ascii="Times New Roman" w:hAnsi="Times New Roman" w:cs="Times New Roman"/>
          <w:sz w:val="24"/>
          <w:szCs w:val="24"/>
        </w:rPr>
        <w:t xml:space="preserve"> I</w:t>
      </w:r>
      <w:r>
        <w:rPr>
          <w:rFonts w:ascii="Times New Roman" w:hAnsi="Times New Roman" w:cs="Times New Roman"/>
          <w:sz w:val="24"/>
          <w:szCs w:val="24"/>
        </w:rPr>
        <w:t xml:space="preserve"> have developed after thorough research on various fields. First, how would the American Nurses </w:t>
      </w:r>
      <w:r>
        <w:rPr>
          <w:rFonts w:ascii="Times New Roman" w:hAnsi="Times New Roman" w:cs="Times New Roman"/>
          <w:sz w:val="24"/>
          <w:szCs w:val="24"/>
        </w:rPr>
        <w:t>Organisation</w:t>
      </w:r>
      <w:r>
        <w:rPr>
          <w:rFonts w:ascii="Times New Roman" w:hAnsi="Times New Roman" w:cs="Times New Roman"/>
          <w:sz w:val="24"/>
          <w:szCs w:val="24"/>
        </w:rPr>
        <w:t xml:space="preserve"> unite to curb drug abuse and the possible causes of the abuse among nurses in New Jersey?  Secondly, how artificial intelligence can be adopted in delivering health care among hospitals in critical health situations in the USA. Thirdly, how interactive counseling and communication skills are essential for midwifery practices and which tools are best in communication. </w:t>
      </w:r>
    </w:p>
    <w:p w:rsidR="0036100D" w:rsidP="0036100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Among the three research questions, "how the use of interactive counseling and communication skills would be essential for midwifery practices and which tools are best to aid communication" was my best question. There has been this anxiety as to how caregivers gain trust from their clients. It is a field where midwives have diverse situations which require practical communication tools. It matters how they encounter clients, colleagues, client's families, other professionals, and interns. </w:t>
      </w:r>
    </w:p>
    <w:p w:rsidR="0036100D" w:rsidP="0036100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Clients are of different educational levels and understanding. The research checks on how communication skills and tools would aid effective message delivery.  The impact of innovative training on building a better rapport between patients and caregivers. Besides, it would significantly increase the quality of interaction and significantly influence the aspects of a patient’s well-being (Smith &amp; Neff, 2018). They include psychological comfort, knowledge and understanding, treatment and advice compliance, and life quality, among other health issues. </w:t>
      </w:r>
    </w:p>
    <w:p w:rsidR="0036100D" w:rsidRPr="0054212A" w:rsidP="0036100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Clients' fears may develop unpredictably. The research question bases solutions to problems a patient may be going through before, during, and after delivery. Patients need to feel guaranteed safety through effective communication. Some patients may have fears of </w:t>
      </w:r>
      <w:r>
        <w:rPr>
          <w:rFonts w:ascii="Times New Roman" w:hAnsi="Times New Roman" w:cs="Times New Roman"/>
          <w:sz w:val="24"/>
          <w:szCs w:val="24"/>
        </w:rPr>
        <w:t xml:space="preserve">confidentiality. They may not want their private conversations concerning health or social issues to be exposed. For instance, imagine the patient having a kid who is not her husband's. It will raise the fear of family breakups if such information is leaked. Better relationship building between clients and caregivers makes it possible to have better communication and counseling support. It would enhance self-awareness as there would be clear expectations and boundaries conformed by mutual acceptance and warmth. </w:t>
      </w:r>
    </w:p>
    <w:bookmarkEnd w:id="0"/>
    <w:p w:rsidR="0036100D" w:rsidP="0036100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The question checks on the best tools to aid communication. Many medical professionals may have the zeal to give the best services but lack better communication. For instance, there are caregivers with the best knowledge in the medical field but lack the skill to handle patient’s emotions. Some patients may feel their message is not being understood or received by the caregiver. Caregivers should adopt these tools to increase their engagement with clients. These tools include maintaining eye contact, using gestures, sitting posture should be upright and relaxed (Smith &amp; Neff, 2018). Besides, being alert and focusing the body towards the patient’s face is essential. The patient feels more appreciated and acknowledged, thus reducing instances of lousy </w:t>
      </w:r>
      <w:bookmarkStart w:id="1" w:name="_GoBack"/>
      <w:bookmarkEnd w:id="1"/>
      <w:r>
        <w:rPr>
          <w:rFonts w:ascii="Times New Roman" w:hAnsi="Times New Roman" w:cs="Times New Roman"/>
          <w:sz w:val="24"/>
          <w:szCs w:val="24"/>
        </w:rPr>
        <w:t xml:space="preserve">attitude towards the caregiver. </w:t>
      </w:r>
    </w:p>
    <w:p w:rsidR="0036100D" w:rsidP="0036100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Conclusively</w:t>
      </w:r>
      <w:r>
        <w:rPr>
          <w:rFonts w:ascii="Times New Roman" w:hAnsi="Times New Roman" w:cs="Times New Roman"/>
          <w:sz w:val="24"/>
          <w:szCs w:val="24"/>
        </w:rPr>
        <w:t xml:space="preserve">, the researcher can quickly </w:t>
      </w:r>
      <w:r>
        <w:rPr>
          <w:rFonts w:ascii="Times New Roman" w:hAnsi="Times New Roman" w:cs="Times New Roman"/>
          <w:sz w:val="24"/>
          <w:szCs w:val="24"/>
        </w:rPr>
        <w:t>analyze</w:t>
      </w:r>
      <w:r>
        <w:rPr>
          <w:rFonts w:ascii="Times New Roman" w:hAnsi="Times New Roman" w:cs="Times New Roman"/>
          <w:sz w:val="24"/>
          <w:szCs w:val="24"/>
        </w:rPr>
        <w:t xml:space="preserve"> the consequences of poor communication amongst health workers. Numerous codes of conduct set standards for morals amongst medical attendants and midwives </w:t>
      </w:r>
      <w:r w:rsidRPr="004A33F8">
        <w:rPr>
          <w:rFonts w:ascii="Times New Roman" w:hAnsi="Times New Roman" w:cs="Times New Roman"/>
          <w:sz w:val="24"/>
          <w:szCs w:val="24"/>
        </w:rPr>
        <w:t>(Attenborough, &amp;</w:t>
      </w:r>
      <w:r>
        <w:rPr>
          <w:rFonts w:ascii="Times New Roman" w:hAnsi="Times New Roman" w:cs="Times New Roman"/>
          <w:sz w:val="24"/>
          <w:szCs w:val="24"/>
        </w:rPr>
        <w:t xml:space="preserve"> </w:t>
      </w:r>
      <w:r w:rsidRPr="004A33F8">
        <w:rPr>
          <w:rFonts w:ascii="Times New Roman" w:hAnsi="Times New Roman" w:cs="Times New Roman"/>
          <w:sz w:val="24"/>
          <w:szCs w:val="24"/>
        </w:rPr>
        <w:t>Abbott, 2019</w:t>
      </w:r>
      <w:r>
        <w:rPr>
          <w:rFonts w:ascii="Times New Roman" w:hAnsi="Times New Roman" w:cs="Times New Roman"/>
          <w:sz w:val="24"/>
          <w:szCs w:val="24"/>
        </w:rPr>
        <w:t xml:space="preserve">). The question checks how they may be violated, especially by poor communication, and call for ways to help curb the situation. Training can get achieved through the Nursing Health Service Plan with an innovative training outlook. All in all, training of communication training can play an essential role in quality delivery among caregivers. </w:t>
      </w:r>
    </w:p>
    <w:p w:rsidR="0036100D" w:rsidP="0036100D">
      <w:pPr>
        <w:spacing w:after="0" w:line="480" w:lineRule="auto"/>
        <w:contextualSpacing/>
        <w:jc w:val="center"/>
        <w:rPr>
          <w:rFonts w:ascii="Times New Roman" w:hAnsi="Times New Roman" w:cs="Times New Roman"/>
          <w:b/>
          <w:sz w:val="24"/>
          <w:szCs w:val="24"/>
        </w:rPr>
      </w:pPr>
    </w:p>
    <w:p w:rsidR="0036100D" w:rsidRPr="0036100D" w:rsidP="0036100D">
      <w:pPr>
        <w:spacing w:after="0" w:line="480" w:lineRule="auto"/>
        <w:contextualSpacing/>
        <w:jc w:val="center"/>
        <w:rPr>
          <w:rFonts w:ascii="Times New Roman" w:hAnsi="Times New Roman" w:cs="Times New Roman"/>
          <w:b/>
          <w:sz w:val="24"/>
          <w:szCs w:val="24"/>
        </w:rPr>
      </w:pPr>
      <w:r w:rsidRPr="0036100D">
        <w:rPr>
          <w:rFonts w:ascii="Times New Roman" w:hAnsi="Times New Roman" w:cs="Times New Roman"/>
          <w:b/>
          <w:sz w:val="24"/>
          <w:szCs w:val="24"/>
        </w:rPr>
        <w:t>References</w:t>
      </w:r>
    </w:p>
    <w:p w:rsidR="0036100D" w:rsidRPr="0036100D" w:rsidP="0036100D">
      <w:pPr>
        <w:spacing w:after="0" w:line="480" w:lineRule="auto"/>
        <w:ind w:left="720" w:hanging="720"/>
        <w:contextualSpacing/>
        <w:rPr>
          <w:rFonts w:ascii="Times New Roman" w:hAnsi="Times New Roman" w:cs="Times New Roman"/>
          <w:sz w:val="24"/>
          <w:szCs w:val="24"/>
        </w:rPr>
      </w:pPr>
      <w:r w:rsidRPr="0036100D">
        <w:rPr>
          <w:rFonts w:ascii="Times New Roman" w:hAnsi="Times New Roman" w:cs="Times New Roman"/>
          <w:sz w:val="24"/>
          <w:szCs w:val="24"/>
        </w:rPr>
        <w:t>Attenborough, J. and Abbott, S., (2019)</w:t>
      </w:r>
      <w:r w:rsidRPr="0036100D">
        <w:rPr>
          <w:rFonts w:ascii="Times New Roman" w:hAnsi="Times New Roman" w:cs="Times New Roman"/>
          <w:i/>
          <w:iCs/>
          <w:sz w:val="24"/>
          <w:szCs w:val="24"/>
        </w:rPr>
        <w:t>. The impact of Nursing and Midwifery Council revalidation on the professional identity of academic staff in a higher education institution</w:t>
      </w:r>
      <w:r w:rsidRPr="0036100D">
        <w:rPr>
          <w:rFonts w:ascii="Times New Roman" w:hAnsi="Times New Roman" w:cs="Times New Roman"/>
          <w:sz w:val="24"/>
          <w:szCs w:val="24"/>
        </w:rPr>
        <w:t>: A qualitative study. Nursing Open, 6(2), pp.434-442.</w:t>
      </w:r>
    </w:p>
    <w:p w:rsidR="0036100D" w:rsidRPr="0036100D" w:rsidP="0036100D">
      <w:pPr>
        <w:spacing w:after="0" w:line="480" w:lineRule="auto"/>
        <w:ind w:left="720" w:hanging="720"/>
        <w:contextualSpacing/>
        <w:rPr>
          <w:rFonts w:ascii="Times New Roman" w:hAnsi="Times New Roman" w:cs="Times New Roman"/>
          <w:sz w:val="24"/>
          <w:szCs w:val="24"/>
        </w:rPr>
      </w:pPr>
      <w:r w:rsidRPr="0036100D">
        <w:rPr>
          <w:rFonts w:ascii="Times New Roman" w:hAnsi="Times New Roman" w:cs="Times New Roman"/>
          <w:sz w:val="24"/>
          <w:szCs w:val="24"/>
          <w:shd w:val="clear" w:color="auto" w:fill="FFFFFF"/>
        </w:rPr>
        <w:t xml:space="preserve">Smith, H. J., &amp; Neff, M. (2018, April). </w:t>
      </w:r>
      <w:r w:rsidRPr="0036100D">
        <w:rPr>
          <w:rFonts w:ascii="Times New Roman" w:hAnsi="Times New Roman" w:cs="Times New Roman"/>
          <w:i/>
          <w:iCs/>
          <w:sz w:val="24"/>
          <w:szCs w:val="24"/>
          <w:shd w:val="clear" w:color="auto" w:fill="FFFFFF"/>
        </w:rPr>
        <w:t xml:space="preserve">Communication </w:t>
      </w:r>
      <w:r w:rsidRPr="0036100D">
        <w:rPr>
          <w:rFonts w:ascii="Times New Roman" w:hAnsi="Times New Roman" w:cs="Times New Roman"/>
          <w:i/>
          <w:iCs/>
          <w:sz w:val="24"/>
          <w:szCs w:val="24"/>
          <w:shd w:val="clear" w:color="auto" w:fill="FFFFFF"/>
        </w:rPr>
        <w:t>behavior</w:t>
      </w:r>
      <w:r w:rsidRPr="0036100D">
        <w:rPr>
          <w:rFonts w:ascii="Times New Roman" w:hAnsi="Times New Roman" w:cs="Times New Roman"/>
          <w:i/>
          <w:iCs/>
          <w:sz w:val="24"/>
          <w:szCs w:val="24"/>
          <w:shd w:val="clear" w:color="auto" w:fill="FFFFFF"/>
        </w:rPr>
        <w:t xml:space="preserve"> in embodied virtual reality</w:t>
      </w:r>
      <w:r w:rsidRPr="0036100D">
        <w:rPr>
          <w:rFonts w:ascii="Times New Roman" w:hAnsi="Times New Roman" w:cs="Times New Roman"/>
          <w:sz w:val="24"/>
          <w:szCs w:val="24"/>
          <w:shd w:val="clear" w:color="auto" w:fill="FFFFFF"/>
        </w:rPr>
        <w:t>. In Proceedings of the 2018 CHI conference on human factors in computing systems (pp. 1-12).</w:t>
      </w:r>
    </w:p>
    <w:p w:rsidR="0036100D" w:rsidP="0036100D">
      <w:pPr>
        <w:spacing w:after="0" w:line="480" w:lineRule="auto"/>
        <w:ind w:left="720" w:hanging="720"/>
        <w:contextualSpacing/>
        <w:rPr>
          <w:rFonts w:ascii="Times New Roman" w:hAnsi="Times New Roman" w:cs="Times New Roman"/>
          <w:sz w:val="24"/>
          <w:szCs w:val="24"/>
        </w:rPr>
      </w:pPr>
    </w:p>
    <w:p w:rsidR="0036100D" w:rsidP="0036100D">
      <w:pPr>
        <w:spacing w:after="0" w:line="480" w:lineRule="auto"/>
        <w:ind w:left="720" w:hanging="720"/>
        <w:contextualSpacing/>
        <w:rPr>
          <w:rFonts w:ascii="Times New Roman" w:hAnsi="Times New Roman" w:cs="Times New Roman"/>
          <w:sz w:val="24"/>
          <w:szCs w:val="24"/>
        </w:rPr>
      </w:pPr>
    </w:p>
    <w:p w:rsidR="0036100D" w:rsidP="0036100D">
      <w:pPr>
        <w:spacing w:after="0" w:line="480" w:lineRule="auto"/>
        <w:ind w:left="720" w:hanging="720"/>
        <w:contextualSpacing/>
        <w:rPr>
          <w:rFonts w:ascii="Times New Roman" w:hAnsi="Times New Roman" w:cs="Times New Roman"/>
          <w:sz w:val="24"/>
          <w:szCs w:val="24"/>
        </w:rPr>
      </w:pPr>
    </w:p>
    <w:p w:rsidR="0036100D" w:rsidRPr="00B21566" w:rsidP="0036100D">
      <w:pPr>
        <w:spacing w:after="0" w:line="480" w:lineRule="auto"/>
        <w:contextualSpacing/>
        <w:rPr>
          <w:rFonts w:ascii="Times New Roman" w:hAnsi="Times New Roman" w:cs="Times New Roman"/>
          <w:sz w:val="24"/>
          <w:szCs w:val="24"/>
        </w:rPr>
      </w:pPr>
    </w:p>
    <w:p w:rsidR="0036100D" w:rsidP="0036100D">
      <w:pPr>
        <w:spacing w:after="0" w:line="480" w:lineRule="auto"/>
        <w:contextualSpacing/>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rPr>
      <w:id w:val="-2090998119"/>
      <w:docPartObj>
        <w:docPartGallery w:val="Page Numbers (Top of Page)"/>
        <w:docPartUnique/>
      </w:docPartObj>
    </w:sdtPr>
    <w:sdtEndPr>
      <w:rPr>
        <w:noProof/>
      </w:rPr>
    </w:sdtEndPr>
    <w:sdtContent>
      <w:p w:rsidR="0054212A" w:rsidRPr="0036100D">
        <w:pPr>
          <w:pStyle w:val="Header"/>
          <w:jc w:val="right"/>
          <w:rPr>
            <w:rFonts w:ascii="Times New Roman" w:hAnsi="Times New Roman" w:cs="Times New Roman"/>
            <w:sz w:val="24"/>
          </w:rPr>
        </w:pPr>
        <w:r w:rsidRPr="0036100D">
          <w:rPr>
            <w:rFonts w:ascii="Times New Roman" w:hAnsi="Times New Roman" w:cs="Times New Roman"/>
            <w:sz w:val="24"/>
          </w:rPr>
          <w:fldChar w:fldCharType="begin"/>
        </w:r>
        <w:r w:rsidRPr="0036100D">
          <w:rPr>
            <w:rFonts w:ascii="Times New Roman" w:hAnsi="Times New Roman" w:cs="Times New Roman"/>
            <w:sz w:val="24"/>
          </w:rPr>
          <w:instrText xml:space="preserve"> PAGE   \* MERGEFORMAT </w:instrText>
        </w:r>
        <w:r w:rsidRPr="0036100D">
          <w:rPr>
            <w:rFonts w:ascii="Times New Roman" w:hAnsi="Times New Roman" w:cs="Times New Roman"/>
            <w:sz w:val="24"/>
          </w:rPr>
          <w:fldChar w:fldCharType="separate"/>
        </w:r>
        <w:r w:rsidRPr="0036100D">
          <w:rPr>
            <w:rFonts w:ascii="Times New Roman" w:hAnsi="Times New Roman" w:cs="Times New Roman"/>
            <w:noProof/>
            <w:sz w:val="24"/>
          </w:rPr>
          <w:t>2</w:t>
        </w:r>
        <w:r w:rsidRPr="0036100D">
          <w:rPr>
            <w:rFonts w:ascii="Times New Roman" w:hAnsi="Times New Roman" w:cs="Times New Roman"/>
            <w:noProof/>
            <w:sz w:val="24"/>
          </w:rPr>
          <w:fldChar w:fldCharType="end"/>
        </w:r>
      </w:p>
    </w:sdtContent>
  </w:sdt>
  <w:p w:rsidR="005421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00D"/>
    <w:rsid w:val="002C4711"/>
    <w:rsid w:val="0036100D"/>
    <w:rsid w:val="004A33F8"/>
    <w:rsid w:val="0054212A"/>
    <w:rsid w:val="00B21566"/>
  </w:rsids>
  <m:mathPr>
    <m:mathFont m:val="Cambria Math"/>
  </m:mathPr>
  <w:clrSchemeMapping w:bg1="light1" w:t1="dark1" w:bg2="light2" w:t2="dark2" w:accent1="accent1" w:accent2="accent2" w:accent3="accent3" w:accent4="accent4" w:accent5="accent5" w:accent6="accent6" w:hyperlink="hyperlink" w:followedHyperlink="followedHyperlink"/>
  <w14:docId w14:val="5725E189"/>
  <w15:chartTrackingRefBased/>
  <w15:docId w15:val="{033B39C6-27A8-43CA-82DE-BCC50DD8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00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00D"/>
    <w:rPr>
      <w:lang w:val="en-US"/>
    </w:rPr>
  </w:style>
  <w:style w:type="paragraph" w:styleId="Footer">
    <w:name w:val="footer"/>
    <w:basedOn w:val="Normal"/>
    <w:link w:val="FooterChar"/>
    <w:uiPriority w:val="99"/>
    <w:unhideWhenUsed/>
    <w:rsid w:val="00361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00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2021-07-30T18:39:00Z</dcterms:created>
  <dcterms:modified xsi:type="dcterms:W3CDTF">2021-07-30T18:48:00Z</dcterms:modified>
</cp:coreProperties>
</file>