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metadata/core-properties" Target="docProps/core0.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0DD0" w:rsidRDefault="00760DD0">
      <w:pPr>
        <w:pStyle w:val="BodyText"/>
        <w:spacing w:line="480" w:lineRule="auto"/>
        <w:jc w:val="both"/>
        <w:rPr>
          <w:rFonts w:hint="eastAsia"/>
        </w:rPr>
      </w:pPr>
    </w:p>
    <w:p w:rsidR="00760DD0" w:rsidRDefault="00760DD0">
      <w:pPr>
        <w:pStyle w:val="BodyText"/>
        <w:spacing w:line="480" w:lineRule="auto"/>
        <w:jc w:val="both"/>
        <w:rPr>
          <w:rFonts w:hint="eastAsia"/>
        </w:rPr>
      </w:pPr>
    </w:p>
    <w:p w:rsidR="00760DD0" w:rsidRDefault="00760DD0">
      <w:pPr>
        <w:pStyle w:val="BodyText"/>
        <w:spacing w:line="480" w:lineRule="auto"/>
        <w:jc w:val="both"/>
        <w:rPr>
          <w:rFonts w:hint="eastAsia"/>
        </w:rPr>
      </w:pPr>
    </w:p>
    <w:p w:rsidR="00760DD0" w:rsidRDefault="00105469">
      <w:pPr>
        <w:pStyle w:val="BodyText"/>
        <w:spacing w:line="480" w:lineRule="auto"/>
        <w:jc w:val="center"/>
        <w:rPr>
          <w:rFonts w:hint="eastAsia"/>
        </w:rPr>
      </w:pPr>
      <w:r>
        <w:t>Discussion: How Well Attitudes predicts Behavior</w:t>
      </w:r>
    </w:p>
    <w:p w:rsidR="00760DD0" w:rsidRDefault="00105469">
      <w:pPr>
        <w:pStyle w:val="BodyText"/>
        <w:spacing w:line="480" w:lineRule="auto"/>
        <w:jc w:val="center"/>
        <w:rPr>
          <w:rFonts w:hint="eastAsia"/>
        </w:rPr>
      </w:pPr>
      <w:r>
        <w:t>Student’s Name</w:t>
      </w:r>
    </w:p>
    <w:p w:rsidR="00760DD0" w:rsidRDefault="00105469">
      <w:pPr>
        <w:pStyle w:val="BodyText"/>
        <w:spacing w:line="480" w:lineRule="auto"/>
        <w:jc w:val="center"/>
        <w:rPr>
          <w:rFonts w:hint="eastAsia"/>
        </w:rPr>
      </w:pPr>
      <w:r>
        <w:t>Institutional Affiliation</w:t>
      </w: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760DD0">
      <w:pPr>
        <w:pStyle w:val="BodyText"/>
        <w:spacing w:after="0" w:line="480" w:lineRule="auto"/>
        <w:jc w:val="both"/>
        <w:rPr>
          <w:rFonts w:hint="eastAsia"/>
        </w:rPr>
      </w:pPr>
    </w:p>
    <w:p w:rsidR="00760DD0" w:rsidRDefault="00105469">
      <w:pPr>
        <w:pStyle w:val="BodyText"/>
        <w:spacing w:after="0" w:line="480" w:lineRule="auto"/>
        <w:jc w:val="center"/>
        <w:rPr>
          <w:rFonts w:hint="eastAsia"/>
        </w:rPr>
      </w:pPr>
      <w:r>
        <w:rPr>
          <w:rStyle w:val="StrongEmphasis"/>
          <w:color w:val="0E101A"/>
        </w:rPr>
        <w:t>Introduction </w:t>
      </w:r>
    </w:p>
    <w:p w:rsidR="00760DD0" w:rsidRDefault="00105469">
      <w:pPr>
        <w:pStyle w:val="BodyText"/>
        <w:spacing w:after="0" w:line="480" w:lineRule="auto"/>
        <w:jc w:val="both"/>
        <w:rPr>
          <w:rFonts w:hint="eastAsia"/>
        </w:rPr>
      </w:pPr>
      <w:r>
        <w:rPr>
          <w:rStyle w:val="StrongEmphasis"/>
          <w:b w:val="0"/>
          <w:bCs w:val="0"/>
          <w:color w:val="0E101A"/>
        </w:rPr>
        <w:tab/>
        <w:t xml:space="preserve"> In philosophy it refers to attitudes, and behaviors as a reaction towards a given material, person, item, or event. Attitudes are often the product of experience or upbringing, and behavior may have a strong effect on them. While attitudes are chronic, they can change too. </w:t>
      </w:r>
      <w:r>
        <w:rPr>
          <w:color w:val="0E101A"/>
        </w:rPr>
        <w:t>The connection between behavior and attitude can be seen from a three-sided perspective, the brimming with emotion, clear and scholarly parts. Regardless, scientists rely on these parts as interfaces of points of view instead of tolerating that every attitude has three pieces. Starting from this point of view, it is possible to construct an air on lead results. The connection between mien and direct can be seen from a three-sided perspective. The plan of perspectives has three sections; the brimming with emotion, clear and scholarly parts. Regardless, scientists rely on these parts as interfaces of points of view instead of tolerating that every attitude has three pieces. Starting from this point of view, it is possible to construct an air on  behavioral results.</w:t>
      </w:r>
    </w:p>
    <w:p w:rsidR="00760DD0" w:rsidRDefault="00105469">
      <w:pPr>
        <w:pStyle w:val="BodyText"/>
        <w:spacing w:after="0" w:line="480" w:lineRule="auto"/>
        <w:jc w:val="center"/>
        <w:rPr>
          <w:rFonts w:hint="eastAsia"/>
        </w:rPr>
      </w:pPr>
      <w:r>
        <w:rPr>
          <w:rStyle w:val="StrongEmphasis"/>
          <w:color w:val="0E101A"/>
        </w:rPr>
        <w:t>Discussion</w:t>
      </w:r>
    </w:p>
    <w:p w:rsidR="00760DD0" w:rsidRDefault="00105469">
      <w:pPr>
        <w:pStyle w:val="BodyText"/>
        <w:spacing w:after="0" w:line="480" w:lineRule="auto"/>
        <w:jc w:val="both"/>
        <w:rPr>
          <w:rFonts w:hint="eastAsia"/>
        </w:rPr>
      </w:pPr>
      <w:r>
        <w:rPr>
          <w:color w:val="0E101A"/>
        </w:rPr>
        <w:tab/>
        <w:t>Regardless, various requests on the association between the two remain. This is because researchers have perceived behavior that moderate the effect that objectives and attitudes have on evident exercises. This has been done through testing hypotheses of orchestrated lead and pondered movement. Examiners have found from these assessments that a separation can be drawn between one's difficulty in showing a specific attitude and one's ability to control oneself from performing the same social act (Kroesen &amp; Chorus, 2017). The inconvenience seen in playing a lead display is an enormous archetype of exercises and points. It is not comprehensive to the obligation of mindsets to lead. Out of the blue, it varies across subject masses and is in a like manner dependent on subject guidelines.</w:t>
      </w:r>
    </w:p>
    <w:p w:rsidR="00760DD0" w:rsidRDefault="00105469">
      <w:pPr>
        <w:pStyle w:val="BodyText"/>
        <w:spacing w:after="0" w:line="480" w:lineRule="auto"/>
        <w:jc w:val="both"/>
        <w:rPr>
          <w:rFonts w:hint="eastAsia"/>
        </w:rPr>
      </w:pPr>
      <w:r>
        <w:rPr>
          <w:color w:val="0E101A"/>
        </w:rPr>
        <w:tab/>
        <w:t>Since the leading extensive stretches of LaPierre, the request concerning whether aura is a respectable direct marker has been kept up in the characters of social advisors. Without social situational variables, attitude is certainly not a decent lead pointer. Social adviser have found that the continuity between behavior and attitude can not be speculatively assured when the attitude is used as the sole lead marker (Reddy et al.,2017). Sociologists have thus abandoned the bi-variable relationship to explain the link between behavior and attitude . Sociologists have now included social circumstances to understand this relationship all the more likely, social situational factors that inferences one’s behavior.</w:t>
      </w:r>
    </w:p>
    <w:p w:rsidR="00760DD0" w:rsidRDefault="00105469">
      <w:pPr>
        <w:pStyle w:val="BodyText"/>
        <w:spacing w:after="0" w:line="480" w:lineRule="auto"/>
        <w:jc w:val="both"/>
        <w:rPr>
          <w:rFonts w:hint="eastAsia"/>
        </w:rPr>
      </w:pPr>
      <w:r>
        <w:rPr>
          <w:color w:val="0E101A"/>
        </w:rPr>
        <w:tab/>
        <w:t>The nonattendance of a fast connection between insisted perspectives and simple exercises is one explanation behind why attitude is authentically not a magnificent marker of direct. The lack of this intimate relationship is due to an individual's social relations in a blended drink of social constraints that keep an individual from acting obviously towards the headings of his sentiments (Reddy et al.,2017). For example, individuals can retain or assemble a specific political candidate and then fail to check out the period of majority rule. Also, individuals are referred to as shifting their behaviors to shift them to their lead all the more easily. This is a direct product of academic disharmony where, given contradictory feelings or reflection, a person experiences some psychological hopelessness. To save themselves from the strain, one may change their pronounced mindsets so as reflect real practices or their various feelings.</w:t>
      </w:r>
    </w:p>
    <w:p w:rsidR="00760DD0" w:rsidRDefault="00105469">
      <w:pPr>
        <w:pStyle w:val="BodyText"/>
        <w:spacing w:after="0" w:line="480" w:lineRule="auto"/>
        <w:jc w:val="both"/>
        <w:rPr>
          <w:rFonts w:hint="eastAsia"/>
        </w:rPr>
      </w:pPr>
      <w:r>
        <w:rPr>
          <w:color w:val="0E101A"/>
        </w:rPr>
        <w:tab/>
        <w:t>For example, a comfortable individual who puts financial security motivation may enter into a relationship with a fiscally poor person. This person is looked at by two choices to guide the clamor achieved by the actions and feelings that limit (Kroesen &amp; Chorus, 2017). He can either cut off the association and look for another individual with more protection related to money or de-emphasize the value of consistent monetary quality. This person might need to alter their exercises or modify their attitude to decrease the disharmony between the opposing actions and mentality within that limit. Given the present circumstance, attitude can't be used to envision lead considering the effect of the social conditions that may divert this individual from undeniably acting towards the heading of his emotions.</w:t>
      </w:r>
    </w:p>
    <w:p w:rsidR="00760DD0" w:rsidRDefault="00105469">
      <w:pPr>
        <w:pStyle w:val="BodyText"/>
        <w:spacing w:after="0" w:line="480" w:lineRule="auto"/>
        <w:jc w:val="both"/>
        <w:rPr>
          <w:rFonts w:hint="eastAsia"/>
        </w:rPr>
      </w:pPr>
      <w:r>
        <w:rPr>
          <w:color w:val="0E101A"/>
        </w:rPr>
        <w:tab/>
        <w:t>Kroesen &amp; Chorus, 2017 study demonstrates that an examination  individual emotive experiences inverse individual attitudinal choices used as markers of the following behavior. The experts help me keep the speculations like, there are social-political effects from the traditionalist union to legitimize Trump's sought-after role as a counterbalance for someone with Pence's genuineness. Furthermore, concerning outside or situational effects, I think Pence and others in the Republican group were so selfish about achieving a Conservative Agenda that Pence felt that instead of concentrating on Trump's defilement, it was a higher-demand amount. There will be harm to pay in case you "make a game plan with the beast," anyway, Pence didn't predict it well to be sure.</w:t>
      </w:r>
    </w:p>
    <w:p w:rsidR="00760DD0" w:rsidRDefault="00105469">
      <w:pPr>
        <w:pStyle w:val="BodyText"/>
        <w:spacing w:after="0" w:line="480" w:lineRule="auto"/>
        <w:jc w:val="center"/>
        <w:rPr>
          <w:rFonts w:hint="eastAsia"/>
          <w:color w:val="0E101A"/>
        </w:rPr>
      </w:pPr>
      <w:r>
        <w:rPr>
          <w:color w:val="0E101A"/>
        </w:rPr>
        <w:t>Conclusion</w:t>
      </w:r>
    </w:p>
    <w:p w:rsidR="00760DD0" w:rsidRDefault="00105469">
      <w:pPr>
        <w:pStyle w:val="BodyText"/>
        <w:spacing w:after="0" w:line="480" w:lineRule="auto"/>
        <w:jc w:val="both"/>
        <w:rPr>
          <w:rFonts w:hint="eastAsia"/>
        </w:rPr>
      </w:pPr>
      <w:r>
        <w:rPr>
          <w:color w:val="0E101A"/>
        </w:rPr>
        <w:tab/>
        <w:t>in conclusion attitude affects one behavior. It is inaccurate, however, to state that attitude only affects plain lead. There is no fast connection between preserved mindsets and indisputable exercises, as embraced in the discussion. Furthermore, the above discussion has advanced the dispute that attitude alone is not a respectable lead pointer authentically. This is a consequence of the presence of factors of a social condition that can deter an individual behavior from obviously acting towards the course of his feelings</w:t>
      </w:r>
    </w:p>
    <w:p w:rsidR="00760DD0" w:rsidRDefault="00760DD0">
      <w:pPr>
        <w:spacing w:line="480" w:lineRule="auto"/>
        <w:jc w:val="both"/>
        <w:rPr>
          <w:rFonts w:hint="eastAsia"/>
        </w:rPr>
      </w:pPr>
    </w:p>
    <w:p w:rsidR="00760DD0" w:rsidRDefault="00760DD0">
      <w:pPr>
        <w:spacing w:line="480" w:lineRule="auto"/>
        <w:jc w:val="both"/>
        <w:rPr>
          <w:rFonts w:hint="eastAsia"/>
        </w:rPr>
      </w:pPr>
    </w:p>
    <w:p w:rsidR="00760DD0" w:rsidRDefault="00760DD0">
      <w:pPr>
        <w:spacing w:line="480" w:lineRule="auto"/>
        <w:jc w:val="both"/>
        <w:rPr>
          <w:rFonts w:hint="eastAsia"/>
        </w:rPr>
      </w:pPr>
    </w:p>
    <w:p w:rsidR="00760DD0" w:rsidRDefault="00760DD0">
      <w:pPr>
        <w:spacing w:line="480" w:lineRule="auto"/>
        <w:jc w:val="both"/>
        <w:rPr>
          <w:rFonts w:hint="eastAsia"/>
        </w:rPr>
      </w:pPr>
    </w:p>
    <w:p w:rsidR="00760DD0" w:rsidRDefault="00760DD0">
      <w:pPr>
        <w:spacing w:line="480" w:lineRule="auto"/>
        <w:jc w:val="both"/>
        <w:rPr>
          <w:rFonts w:hint="eastAsia"/>
        </w:rPr>
      </w:pPr>
    </w:p>
    <w:p w:rsidR="00760DD0" w:rsidRDefault="00760DD0">
      <w:pPr>
        <w:spacing w:line="480" w:lineRule="auto"/>
        <w:jc w:val="both"/>
        <w:rPr>
          <w:rFonts w:hint="eastAsia"/>
        </w:rPr>
      </w:pPr>
    </w:p>
    <w:p w:rsidR="00760DD0" w:rsidRDefault="00760DD0">
      <w:pPr>
        <w:spacing w:line="480" w:lineRule="auto"/>
        <w:jc w:val="both"/>
        <w:rPr>
          <w:rFonts w:hint="eastAsia"/>
        </w:rPr>
      </w:pPr>
    </w:p>
    <w:p w:rsidR="00760DD0" w:rsidRDefault="00760DD0">
      <w:pPr>
        <w:spacing w:line="480" w:lineRule="auto"/>
        <w:jc w:val="both"/>
        <w:rPr>
          <w:rFonts w:hint="eastAsia"/>
        </w:rPr>
      </w:pPr>
    </w:p>
    <w:p w:rsidR="00760DD0" w:rsidRDefault="00760DD0">
      <w:pPr>
        <w:spacing w:line="480" w:lineRule="auto"/>
        <w:jc w:val="both"/>
        <w:rPr>
          <w:rFonts w:hint="eastAsia"/>
        </w:rPr>
      </w:pPr>
    </w:p>
    <w:p w:rsidR="00760DD0" w:rsidRDefault="00760DD0">
      <w:pPr>
        <w:spacing w:line="480" w:lineRule="auto"/>
        <w:jc w:val="both"/>
        <w:rPr>
          <w:rFonts w:hint="eastAsia"/>
        </w:rPr>
      </w:pPr>
    </w:p>
    <w:p w:rsidR="00760DD0" w:rsidRDefault="00105469">
      <w:pPr>
        <w:spacing w:line="480" w:lineRule="auto"/>
        <w:jc w:val="center"/>
        <w:rPr>
          <w:rFonts w:hint="eastAsia"/>
        </w:rPr>
      </w:pPr>
      <w:r>
        <w:t>References</w:t>
      </w:r>
    </w:p>
    <w:p w:rsidR="00760DD0" w:rsidRDefault="00105469">
      <w:pPr>
        <w:spacing w:line="480" w:lineRule="auto"/>
        <w:jc w:val="both"/>
        <w:rPr>
          <w:rFonts w:hint="eastAsia"/>
        </w:rPr>
      </w:pPr>
      <w:r>
        <w:t>Reddy, S. M., Montambault, J., Masuda, Y. J., Keenan, E., Butler, W., Fisher, J. R., ... &amp; Gneezy, A. (</w:t>
      </w:r>
      <w:r>
        <w:tab/>
        <w:t xml:space="preserve">2017). Advancing conservation by understanding and influencing human behavior. </w:t>
      </w:r>
      <w:r>
        <w:tab/>
      </w:r>
      <w:r>
        <w:rPr>
          <w:i/>
        </w:rPr>
        <w:t>Conservation Letters</w:t>
      </w:r>
      <w:r>
        <w:t xml:space="preserve">, </w:t>
      </w:r>
      <w:r>
        <w:rPr>
          <w:i/>
        </w:rPr>
        <w:t>10</w:t>
      </w:r>
      <w:r>
        <w:t xml:space="preserve">(2), 248-256 </w:t>
      </w:r>
    </w:p>
    <w:p w:rsidR="00760DD0" w:rsidRDefault="00105469">
      <w:pPr>
        <w:spacing w:line="480" w:lineRule="auto"/>
        <w:jc w:val="both"/>
        <w:rPr>
          <w:rFonts w:hint="eastAsia"/>
        </w:rPr>
      </w:pPr>
      <w:r>
        <w:t xml:space="preserve">Kroesen, M., Handy, S., &amp; Chorus, C. (2017). Do attitudes cause behavior or vice versa? An alternative </w:t>
      </w:r>
      <w:r>
        <w:tab/>
        <w:t xml:space="preserve">conceptualization of the attitude-behavior relationship in travel behavior modeling. </w:t>
      </w:r>
      <w:r>
        <w:tab/>
      </w:r>
      <w:r>
        <w:rPr>
          <w:i/>
        </w:rPr>
        <w:t>Transportation Research Part A: Policy and Practice</w:t>
      </w:r>
      <w:r>
        <w:t xml:space="preserve">, </w:t>
      </w:r>
      <w:r>
        <w:rPr>
          <w:i/>
        </w:rPr>
        <w:t>101</w:t>
      </w:r>
      <w:r>
        <w:t xml:space="preserve">, 190-202. </w:t>
      </w:r>
    </w:p>
    <w:p w:rsidR="00760DD0" w:rsidRDefault="00760DD0">
      <w:pPr>
        <w:spacing w:line="480" w:lineRule="auto"/>
        <w:jc w:val="both"/>
        <w:rPr>
          <w:rFonts w:hint="eastAsia"/>
        </w:rPr>
      </w:pPr>
    </w:p>
    <w:sectPr w:rsidR="00760DD0">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Noto Serif CJK SC">
    <w:panose1 w:val="02020400000000000000"/>
    <w:charset w:val="80"/>
    <w:family w:val="roman"/>
    <w:pitch w:val="variable"/>
    <w:sig w:usb0="30000083" w:usb1="2BDF3C10" w:usb2="00000016" w:usb3="00000000" w:csb0="002E0107" w:csb1="00000000"/>
  </w:font>
  <w:font w:name="Lohit Devanagari">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D0"/>
    <w:rsid w:val="00105469"/>
    <w:rsid w:val="00760DD0"/>
    <w:rsid w:val="00E15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E001DFA3-03B5-D341-822F-E9C2E787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BodyText"/>
    <w:uiPriority w:val="9"/>
    <w:semiHidden/>
    <w:unhideWhenUsed/>
    <w:qFormat/>
    <w:pPr>
      <w:spacing w:before="140"/>
      <w:outlineLvl w:val="2"/>
    </w:pPr>
    <w:rPr>
      <w:rFonts w:ascii="Liberation Serif" w:eastAsia="Noto Serif CJK SC" w:hAnsi="Liberation Serif"/>
      <w:b/>
      <w:bCs/>
    </w:rPr>
  </w:style>
  <w:style w:type="paragraph" w:styleId="Heading4">
    <w:name w:val="heading 4"/>
    <w:basedOn w:val="Heading"/>
    <w:next w:val="BodyText"/>
    <w:uiPriority w:val="9"/>
    <w:semiHidden/>
    <w:unhideWhenUsed/>
    <w:qFormat/>
    <w:pPr>
      <w:spacing w:before="120"/>
      <w:outlineLvl w:val="3"/>
    </w:pPr>
    <w:rPr>
      <w:rFonts w:ascii="Liberation Serif" w:eastAsia="Noto Serif CJK SC"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nyoike31@gmail.com</cp:lastModifiedBy>
  <cp:revision>2</cp:revision>
  <dcterms:created xsi:type="dcterms:W3CDTF">2021-02-13T05:31:00Z</dcterms:created>
  <dcterms:modified xsi:type="dcterms:W3CDTF">2021-02-13T05:31:00Z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2021-02-13T06:23:49Z</dcterms:created>
  <dc:creator/>
  <dc:description/>
  <dc:language>en-US</dc:language>
  <cp:lastModifiedBy/>
  <dcterms:modified xsi:type="dcterms:W3CDTF">2021-02-13T08:26:00Z</dcterms:modified>
  <cp:revision>3</cp:revision>
  <dc:subject/>
  <dc:title/>
</cp:coreProperties>
</file>