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4B" w:rsidRDefault="0012324B" w:rsidP="00F51400"/>
    <w:p w:rsidR="008E34BB" w:rsidRDefault="008E34BB" w:rsidP="0012324B">
      <w:pPr>
        <w:tabs>
          <w:tab w:val="left" w:pos="4050"/>
        </w:tabs>
      </w:pPr>
    </w:p>
    <w:p w:rsidR="0012324B" w:rsidRDefault="0012324B" w:rsidP="0012324B">
      <w:pPr>
        <w:tabs>
          <w:tab w:val="left" w:pos="4050"/>
        </w:tabs>
      </w:pPr>
    </w:p>
    <w:p w:rsidR="0012324B" w:rsidRDefault="0012324B" w:rsidP="0012324B">
      <w:pPr>
        <w:tabs>
          <w:tab w:val="left" w:pos="4050"/>
        </w:tabs>
      </w:pPr>
    </w:p>
    <w:p w:rsidR="0012324B" w:rsidRDefault="0012324B" w:rsidP="0012324B">
      <w:pPr>
        <w:tabs>
          <w:tab w:val="left" w:pos="4050"/>
        </w:tabs>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Balanced Scorecards</w:t>
      </w:r>
    </w:p>
    <w:p w:rsidR="0012324B" w:rsidRDefault="0012324B" w:rsidP="0012324B">
      <w:pPr>
        <w:tabs>
          <w:tab w:val="left" w:pos="405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2324B" w:rsidRDefault="0012324B" w:rsidP="0012324B">
      <w:pPr>
        <w:tabs>
          <w:tab w:val="left" w:pos="405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324B" w:rsidRDefault="0012324B" w:rsidP="0012324B">
      <w:pPr>
        <w:tabs>
          <w:tab w:val="left" w:pos="405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324B" w:rsidRDefault="0012324B">
      <w:pPr>
        <w:rPr>
          <w:rFonts w:ascii="Times New Roman" w:hAnsi="Times New Roman" w:cs="Times New Roman"/>
          <w:sz w:val="24"/>
          <w:szCs w:val="24"/>
        </w:rPr>
      </w:pPr>
      <w:r>
        <w:rPr>
          <w:rFonts w:ascii="Times New Roman" w:hAnsi="Times New Roman" w:cs="Times New Roman"/>
          <w:sz w:val="24"/>
          <w:szCs w:val="24"/>
        </w:rPr>
        <w:br w:type="page"/>
      </w:r>
    </w:p>
    <w:p w:rsidR="0012324B" w:rsidRDefault="0012324B" w:rsidP="0012324B">
      <w:pPr>
        <w:tabs>
          <w:tab w:val="left" w:pos="405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Benefits of Balanced Scorecards</w:t>
      </w:r>
    </w:p>
    <w:p w:rsidR="0012324B" w:rsidRDefault="00734937" w:rsidP="0012324B">
      <w:pPr>
        <w:tabs>
          <w:tab w:val="left" w:pos="405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 scorecard is a set of data used by a manager to evaluate the performance of his or her organization</w:t>
      </w:r>
      <w:sdt>
        <w:sdtPr>
          <w:rPr>
            <w:rFonts w:ascii="Times New Roman" w:hAnsi="Times New Roman" w:cs="Times New Roman"/>
            <w:sz w:val="24"/>
            <w:szCs w:val="24"/>
          </w:rPr>
          <w:id w:val="-177515831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AAb17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34937">
            <w:rPr>
              <w:rFonts w:ascii="Times New Roman" w:hAnsi="Times New Roman" w:cs="Times New Roman"/>
              <w:noProof/>
              <w:sz w:val="24"/>
              <w:szCs w:val="24"/>
            </w:rPr>
            <w:t>(Abyad,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3F57E7">
        <w:rPr>
          <w:rFonts w:ascii="Times New Roman" w:hAnsi="Times New Roman" w:cs="Times New Roman"/>
          <w:sz w:val="24"/>
          <w:szCs w:val="24"/>
        </w:rPr>
        <w:t xml:space="preserve">The manager uses these information to balance </w:t>
      </w:r>
      <w:r w:rsidR="009A49E9">
        <w:rPr>
          <w:rFonts w:ascii="Times New Roman" w:hAnsi="Times New Roman" w:cs="Times New Roman"/>
          <w:sz w:val="24"/>
          <w:szCs w:val="24"/>
        </w:rPr>
        <w:t>both the current and future performances</w:t>
      </w:r>
      <w:sdt>
        <w:sdtPr>
          <w:rPr>
            <w:rFonts w:ascii="Times New Roman" w:hAnsi="Times New Roman" w:cs="Times New Roman"/>
            <w:sz w:val="24"/>
            <w:szCs w:val="24"/>
          </w:rPr>
          <w:id w:val="-2004581259"/>
          <w:citation/>
        </w:sdtPr>
        <w:sdtContent>
          <w:r w:rsidR="009A49E9">
            <w:rPr>
              <w:rFonts w:ascii="Times New Roman" w:hAnsi="Times New Roman" w:cs="Times New Roman"/>
              <w:sz w:val="24"/>
              <w:szCs w:val="24"/>
            </w:rPr>
            <w:fldChar w:fldCharType="begin"/>
          </w:r>
          <w:r w:rsidR="009A49E9">
            <w:rPr>
              <w:rFonts w:ascii="Times New Roman" w:hAnsi="Times New Roman" w:cs="Times New Roman"/>
              <w:sz w:val="24"/>
              <w:szCs w:val="24"/>
            </w:rPr>
            <w:instrText xml:space="preserve"> CITATION AAb17 \l 1033 </w:instrText>
          </w:r>
          <w:r w:rsidR="009A49E9">
            <w:rPr>
              <w:rFonts w:ascii="Times New Roman" w:hAnsi="Times New Roman" w:cs="Times New Roman"/>
              <w:sz w:val="24"/>
              <w:szCs w:val="24"/>
            </w:rPr>
            <w:fldChar w:fldCharType="separate"/>
          </w:r>
          <w:r w:rsidR="009A49E9">
            <w:rPr>
              <w:rFonts w:ascii="Times New Roman" w:hAnsi="Times New Roman" w:cs="Times New Roman"/>
              <w:noProof/>
              <w:sz w:val="24"/>
              <w:szCs w:val="24"/>
            </w:rPr>
            <w:t xml:space="preserve"> </w:t>
          </w:r>
          <w:r w:rsidR="009A49E9" w:rsidRPr="009A49E9">
            <w:rPr>
              <w:rFonts w:ascii="Times New Roman" w:hAnsi="Times New Roman" w:cs="Times New Roman"/>
              <w:noProof/>
              <w:sz w:val="24"/>
              <w:szCs w:val="24"/>
            </w:rPr>
            <w:t>(Abyad, 2017)</w:t>
          </w:r>
          <w:r w:rsidR="009A49E9">
            <w:rPr>
              <w:rFonts w:ascii="Times New Roman" w:hAnsi="Times New Roman" w:cs="Times New Roman"/>
              <w:sz w:val="24"/>
              <w:szCs w:val="24"/>
            </w:rPr>
            <w:fldChar w:fldCharType="end"/>
          </w:r>
        </w:sdtContent>
      </w:sdt>
      <w:r w:rsidR="009A49E9">
        <w:rPr>
          <w:rFonts w:ascii="Times New Roman" w:hAnsi="Times New Roman" w:cs="Times New Roman"/>
          <w:sz w:val="24"/>
          <w:szCs w:val="24"/>
        </w:rPr>
        <w:t xml:space="preserve">. </w:t>
      </w:r>
      <w:r>
        <w:rPr>
          <w:rFonts w:ascii="Times New Roman" w:hAnsi="Times New Roman" w:cs="Times New Roman"/>
          <w:sz w:val="24"/>
          <w:szCs w:val="24"/>
        </w:rPr>
        <w:t xml:space="preserve"> </w:t>
      </w:r>
      <w:r w:rsidR="009A49E9">
        <w:rPr>
          <w:rFonts w:ascii="Times New Roman" w:hAnsi="Times New Roman" w:cs="Times New Roman"/>
          <w:sz w:val="24"/>
          <w:szCs w:val="24"/>
        </w:rPr>
        <w:t>Balance scor</w:t>
      </w:r>
      <w:r w:rsidR="00851C47">
        <w:rPr>
          <w:rFonts w:ascii="Times New Roman" w:hAnsi="Times New Roman" w:cs="Times New Roman"/>
          <w:sz w:val="24"/>
          <w:szCs w:val="24"/>
        </w:rPr>
        <w:t>ecard is a system that aims to create an equilibrium among the four perspectives that entails a successful organization; internal business, customer, financial, and innovation and learning</w:t>
      </w:r>
      <w:sdt>
        <w:sdtPr>
          <w:rPr>
            <w:rFonts w:ascii="Times New Roman" w:hAnsi="Times New Roman" w:cs="Times New Roman"/>
            <w:sz w:val="24"/>
            <w:szCs w:val="24"/>
          </w:rPr>
          <w:id w:val="766040039"/>
          <w:citation/>
        </w:sdtPr>
        <w:sdtContent>
          <w:r w:rsidR="00851C47">
            <w:rPr>
              <w:rFonts w:ascii="Times New Roman" w:hAnsi="Times New Roman" w:cs="Times New Roman"/>
              <w:sz w:val="24"/>
              <w:szCs w:val="24"/>
            </w:rPr>
            <w:fldChar w:fldCharType="begin"/>
          </w:r>
          <w:r w:rsidR="00851C47">
            <w:rPr>
              <w:rFonts w:ascii="Times New Roman" w:hAnsi="Times New Roman" w:cs="Times New Roman"/>
              <w:sz w:val="24"/>
              <w:szCs w:val="24"/>
            </w:rPr>
            <w:instrText xml:space="preserve"> CITATION AAb17 \l 1033 </w:instrText>
          </w:r>
          <w:r w:rsidR="00851C47">
            <w:rPr>
              <w:rFonts w:ascii="Times New Roman" w:hAnsi="Times New Roman" w:cs="Times New Roman"/>
              <w:sz w:val="24"/>
              <w:szCs w:val="24"/>
            </w:rPr>
            <w:fldChar w:fldCharType="separate"/>
          </w:r>
          <w:r w:rsidR="00851C47">
            <w:rPr>
              <w:rFonts w:ascii="Times New Roman" w:hAnsi="Times New Roman" w:cs="Times New Roman"/>
              <w:noProof/>
              <w:sz w:val="24"/>
              <w:szCs w:val="24"/>
            </w:rPr>
            <w:t xml:space="preserve"> </w:t>
          </w:r>
          <w:r w:rsidR="00851C47" w:rsidRPr="00851C47">
            <w:rPr>
              <w:rFonts w:ascii="Times New Roman" w:hAnsi="Times New Roman" w:cs="Times New Roman"/>
              <w:noProof/>
              <w:sz w:val="24"/>
              <w:szCs w:val="24"/>
            </w:rPr>
            <w:t>(Abyad, 2017)</w:t>
          </w:r>
          <w:r w:rsidR="00851C47">
            <w:rPr>
              <w:rFonts w:ascii="Times New Roman" w:hAnsi="Times New Roman" w:cs="Times New Roman"/>
              <w:sz w:val="24"/>
              <w:szCs w:val="24"/>
            </w:rPr>
            <w:fldChar w:fldCharType="end"/>
          </w:r>
        </w:sdtContent>
      </w:sdt>
      <w:r w:rsidR="00851C47">
        <w:rPr>
          <w:rFonts w:ascii="Times New Roman" w:hAnsi="Times New Roman" w:cs="Times New Roman"/>
          <w:sz w:val="24"/>
          <w:szCs w:val="24"/>
        </w:rPr>
        <w:t xml:space="preserve">. A correct application balance scorecard helps an organization to define their </w:t>
      </w:r>
      <w:r w:rsidR="000B7072">
        <w:rPr>
          <w:rFonts w:ascii="Times New Roman" w:hAnsi="Times New Roman" w:cs="Times New Roman"/>
          <w:sz w:val="24"/>
          <w:szCs w:val="24"/>
        </w:rPr>
        <w:t xml:space="preserve">visions and </w:t>
      </w:r>
      <w:r w:rsidR="00735F20">
        <w:rPr>
          <w:rFonts w:ascii="Times New Roman" w:hAnsi="Times New Roman" w:cs="Times New Roman"/>
          <w:sz w:val="24"/>
          <w:szCs w:val="24"/>
        </w:rPr>
        <w:t>strategies and implement them</w:t>
      </w:r>
      <w:sdt>
        <w:sdtPr>
          <w:rPr>
            <w:rFonts w:ascii="Times New Roman" w:hAnsi="Times New Roman" w:cs="Times New Roman"/>
            <w:sz w:val="24"/>
            <w:szCs w:val="24"/>
          </w:rPr>
          <w:id w:val="226885279"/>
          <w:citation/>
        </w:sdtPr>
        <w:sdtContent>
          <w:r w:rsidR="00735F20">
            <w:rPr>
              <w:rFonts w:ascii="Times New Roman" w:hAnsi="Times New Roman" w:cs="Times New Roman"/>
              <w:sz w:val="24"/>
              <w:szCs w:val="24"/>
            </w:rPr>
            <w:fldChar w:fldCharType="begin"/>
          </w:r>
          <w:r w:rsidR="00735F20">
            <w:rPr>
              <w:rFonts w:ascii="Times New Roman" w:hAnsi="Times New Roman" w:cs="Times New Roman"/>
              <w:sz w:val="24"/>
              <w:szCs w:val="24"/>
            </w:rPr>
            <w:instrText xml:space="preserve"> CITATION AAb17 \l 1033 </w:instrText>
          </w:r>
          <w:r w:rsidR="00735F20">
            <w:rPr>
              <w:rFonts w:ascii="Times New Roman" w:hAnsi="Times New Roman" w:cs="Times New Roman"/>
              <w:sz w:val="24"/>
              <w:szCs w:val="24"/>
            </w:rPr>
            <w:fldChar w:fldCharType="separate"/>
          </w:r>
          <w:r w:rsidR="00735F20">
            <w:rPr>
              <w:rFonts w:ascii="Times New Roman" w:hAnsi="Times New Roman" w:cs="Times New Roman"/>
              <w:noProof/>
              <w:sz w:val="24"/>
              <w:szCs w:val="24"/>
            </w:rPr>
            <w:t xml:space="preserve"> </w:t>
          </w:r>
          <w:r w:rsidR="00735F20" w:rsidRPr="00735F20">
            <w:rPr>
              <w:rFonts w:ascii="Times New Roman" w:hAnsi="Times New Roman" w:cs="Times New Roman"/>
              <w:noProof/>
              <w:sz w:val="24"/>
              <w:szCs w:val="24"/>
            </w:rPr>
            <w:t>(Abyad, 2017)</w:t>
          </w:r>
          <w:r w:rsidR="00735F20">
            <w:rPr>
              <w:rFonts w:ascii="Times New Roman" w:hAnsi="Times New Roman" w:cs="Times New Roman"/>
              <w:sz w:val="24"/>
              <w:szCs w:val="24"/>
            </w:rPr>
            <w:fldChar w:fldCharType="end"/>
          </w:r>
        </w:sdtContent>
      </w:sdt>
      <w:r w:rsidR="00735F20">
        <w:rPr>
          <w:rFonts w:ascii="Times New Roman" w:hAnsi="Times New Roman" w:cs="Times New Roman"/>
          <w:sz w:val="24"/>
          <w:szCs w:val="24"/>
        </w:rPr>
        <w:t xml:space="preserve">. Consequently, both the organization and employees derive several benefits from using the balanced scorecards. </w:t>
      </w:r>
    </w:p>
    <w:p w:rsidR="00735F20" w:rsidRDefault="00D8303F" w:rsidP="0012324B">
      <w:pPr>
        <w:tabs>
          <w:tab w:val="left" w:pos="405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Balance scorecard enables companies to have strategic planning by providing framework. The management visualize their business model </w:t>
      </w:r>
      <w:r w:rsidR="009109D0">
        <w:rPr>
          <w:rFonts w:ascii="Times New Roman" w:hAnsi="Times New Roman" w:cs="Times New Roman"/>
          <w:sz w:val="24"/>
          <w:szCs w:val="24"/>
        </w:rPr>
        <w:t xml:space="preserve">through Strategy Maps. Developing the maps require the organization leaders to develop a balance in cause-and-effect relationship. </w:t>
      </w:r>
      <w:r w:rsidR="00D94B3A">
        <w:rPr>
          <w:rFonts w:ascii="Times New Roman" w:hAnsi="Times New Roman" w:cs="Times New Roman"/>
          <w:sz w:val="24"/>
          <w:szCs w:val="24"/>
        </w:rPr>
        <w:t xml:space="preserve">In other words, the managers must look into the possible effect of making adjustments on one of the perspectives e.g. financial to others like customers or business perspectives. Additionally, balance scorecard enables the managers to develop compensation system based on productivity of the employee. </w:t>
      </w:r>
      <w:r w:rsidR="0057150B">
        <w:rPr>
          <w:rFonts w:ascii="Times New Roman" w:hAnsi="Times New Roman" w:cs="Times New Roman"/>
          <w:sz w:val="24"/>
          <w:szCs w:val="24"/>
        </w:rPr>
        <w:t>Fair compensation motivates the employees thus enhancing their productivity which increases the overall output. However, both managers and employees must understand that performance measures often goes beyond compensation</w:t>
      </w:r>
      <w:sdt>
        <w:sdtPr>
          <w:rPr>
            <w:rFonts w:ascii="Times New Roman" w:hAnsi="Times New Roman" w:cs="Times New Roman"/>
            <w:sz w:val="24"/>
            <w:szCs w:val="24"/>
          </w:rPr>
          <w:id w:val="-449243906"/>
          <w:citation/>
        </w:sdtPr>
        <w:sdtContent>
          <w:r w:rsidR="0057150B">
            <w:rPr>
              <w:rFonts w:ascii="Times New Roman" w:hAnsi="Times New Roman" w:cs="Times New Roman"/>
              <w:sz w:val="24"/>
              <w:szCs w:val="24"/>
            </w:rPr>
            <w:fldChar w:fldCharType="begin"/>
          </w:r>
          <w:r w:rsidR="0057150B">
            <w:rPr>
              <w:rFonts w:ascii="Times New Roman" w:hAnsi="Times New Roman" w:cs="Times New Roman"/>
              <w:sz w:val="24"/>
              <w:szCs w:val="24"/>
            </w:rPr>
            <w:instrText xml:space="preserve"> CITATION RGi15 \l 1033 </w:instrText>
          </w:r>
          <w:r w:rsidR="0057150B">
            <w:rPr>
              <w:rFonts w:ascii="Times New Roman" w:hAnsi="Times New Roman" w:cs="Times New Roman"/>
              <w:sz w:val="24"/>
              <w:szCs w:val="24"/>
            </w:rPr>
            <w:fldChar w:fldCharType="separate"/>
          </w:r>
          <w:r w:rsidR="0057150B">
            <w:rPr>
              <w:rFonts w:ascii="Times New Roman" w:hAnsi="Times New Roman" w:cs="Times New Roman"/>
              <w:noProof/>
              <w:sz w:val="24"/>
              <w:szCs w:val="24"/>
            </w:rPr>
            <w:t xml:space="preserve"> </w:t>
          </w:r>
          <w:r w:rsidR="0057150B" w:rsidRPr="0057150B">
            <w:rPr>
              <w:rFonts w:ascii="Times New Roman" w:hAnsi="Times New Roman" w:cs="Times New Roman"/>
              <w:noProof/>
              <w:sz w:val="24"/>
              <w:szCs w:val="24"/>
            </w:rPr>
            <w:t>(Gibbons &amp; Kaplan, 2015)</w:t>
          </w:r>
          <w:r w:rsidR="0057150B">
            <w:rPr>
              <w:rFonts w:ascii="Times New Roman" w:hAnsi="Times New Roman" w:cs="Times New Roman"/>
              <w:sz w:val="24"/>
              <w:szCs w:val="24"/>
            </w:rPr>
            <w:fldChar w:fldCharType="end"/>
          </w:r>
        </w:sdtContent>
      </w:sdt>
      <w:r w:rsidR="0057150B">
        <w:rPr>
          <w:rFonts w:ascii="Times New Roman" w:hAnsi="Times New Roman" w:cs="Times New Roman"/>
          <w:sz w:val="24"/>
          <w:szCs w:val="24"/>
        </w:rPr>
        <w:t xml:space="preserve">. </w:t>
      </w:r>
      <w:r w:rsidR="00315C04">
        <w:rPr>
          <w:rFonts w:ascii="Times New Roman" w:hAnsi="Times New Roman" w:cs="Times New Roman"/>
          <w:sz w:val="24"/>
          <w:szCs w:val="24"/>
        </w:rPr>
        <w:t>Similarly, the management must also develop a strong supervisory system to minimize cases of financial manipulation- especially in performance-based compensation</w:t>
      </w:r>
      <w:sdt>
        <w:sdtPr>
          <w:rPr>
            <w:rFonts w:ascii="Times New Roman" w:hAnsi="Times New Roman" w:cs="Times New Roman"/>
            <w:sz w:val="24"/>
            <w:szCs w:val="24"/>
          </w:rPr>
          <w:id w:val="-1955848638"/>
          <w:citation/>
        </w:sdtPr>
        <w:sdtContent>
          <w:r w:rsidR="00315C04">
            <w:rPr>
              <w:rFonts w:ascii="Times New Roman" w:hAnsi="Times New Roman" w:cs="Times New Roman"/>
              <w:sz w:val="24"/>
              <w:szCs w:val="24"/>
            </w:rPr>
            <w:fldChar w:fldCharType="begin"/>
          </w:r>
          <w:r w:rsidR="00315C04">
            <w:rPr>
              <w:rFonts w:ascii="Times New Roman" w:hAnsi="Times New Roman" w:cs="Times New Roman"/>
              <w:sz w:val="24"/>
              <w:szCs w:val="24"/>
            </w:rPr>
            <w:instrText xml:space="preserve"> CITATION RMP15 \l 1033 </w:instrText>
          </w:r>
          <w:r w:rsidR="00315C04">
            <w:rPr>
              <w:rFonts w:ascii="Times New Roman" w:hAnsi="Times New Roman" w:cs="Times New Roman"/>
              <w:sz w:val="24"/>
              <w:szCs w:val="24"/>
            </w:rPr>
            <w:fldChar w:fldCharType="separate"/>
          </w:r>
          <w:r w:rsidR="00315C04">
            <w:rPr>
              <w:rFonts w:ascii="Times New Roman" w:hAnsi="Times New Roman" w:cs="Times New Roman"/>
              <w:noProof/>
              <w:sz w:val="24"/>
              <w:szCs w:val="24"/>
            </w:rPr>
            <w:t xml:space="preserve"> </w:t>
          </w:r>
          <w:r w:rsidR="00315C04" w:rsidRPr="00315C04">
            <w:rPr>
              <w:rFonts w:ascii="Times New Roman" w:hAnsi="Times New Roman" w:cs="Times New Roman"/>
              <w:noProof/>
              <w:sz w:val="24"/>
              <w:szCs w:val="24"/>
            </w:rPr>
            <w:t>(Pollanen &amp; Kangwu, 2015)</w:t>
          </w:r>
          <w:r w:rsidR="00315C04">
            <w:rPr>
              <w:rFonts w:ascii="Times New Roman" w:hAnsi="Times New Roman" w:cs="Times New Roman"/>
              <w:sz w:val="24"/>
              <w:szCs w:val="24"/>
            </w:rPr>
            <w:fldChar w:fldCharType="end"/>
          </w:r>
        </w:sdtContent>
      </w:sdt>
      <w:r w:rsidR="00315C04">
        <w:rPr>
          <w:rFonts w:ascii="Times New Roman" w:hAnsi="Times New Roman" w:cs="Times New Roman"/>
          <w:sz w:val="24"/>
          <w:szCs w:val="24"/>
        </w:rPr>
        <w:t xml:space="preserve">. </w:t>
      </w:r>
    </w:p>
    <w:p w:rsidR="000F6130" w:rsidRDefault="000F6130" w:rsidP="0012324B">
      <w:pPr>
        <w:tabs>
          <w:tab w:val="left" w:pos="405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effective application of balance scorecard has several benefits to both the employee and organization. The employee gets rewarded based on his or her actual performance while the organization easily develops both current and future performance measures. However, the management must carefully follow their systems to prevent cases of financial manipulation. </w:t>
      </w: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12324B">
      <w:pPr>
        <w:tabs>
          <w:tab w:val="left" w:pos="4050"/>
        </w:tabs>
        <w:spacing w:line="480" w:lineRule="auto"/>
        <w:ind w:left="720" w:firstLine="720"/>
        <w:rPr>
          <w:rFonts w:ascii="Times New Roman" w:hAnsi="Times New Roman" w:cs="Times New Roman"/>
          <w:sz w:val="24"/>
          <w:szCs w:val="24"/>
        </w:rPr>
      </w:pPr>
    </w:p>
    <w:p w:rsidR="00B055D8" w:rsidRDefault="00B055D8" w:rsidP="00B055D8">
      <w:pPr>
        <w:tabs>
          <w:tab w:val="left" w:pos="4050"/>
        </w:tabs>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55D8" w:rsidRDefault="00B055D8" w:rsidP="00B055D8">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Abyad, A. (2017). The balanced scorecard and EVA. </w:t>
      </w:r>
      <w:r>
        <w:rPr>
          <w:i/>
          <w:iCs/>
          <w:noProof/>
        </w:rPr>
        <w:t>Middle East Journal of Business, 12(2)</w:t>
      </w:r>
      <w:r>
        <w:rPr>
          <w:noProof/>
        </w:rPr>
        <w:t>, 20-22.</w:t>
      </w:r>
    </w:p>
    <w:p w:rsidR="00B055D8" w:rsidRDefault="00B055D8" w:rsidP="00B055D8">
      <w:pPr>
        <w:pStyle w:val="Bibliography"/>
        <w:ind w:left="720" w:hanging="720"/>
        <w:rPr>
          <w:noProof/>
        </w:rPr>
      </w:pPr>
      <w:r>
        <w:rPr>
          <w:noProof/>
        </w:rPr>
        <w:t xml:space="preserve">Gibbons, R., &amp; Kaplan, R. (2015). Formal measures in informal management: Can a balanced scorecard change culture? . </w:t>
      </w:r>
      <w:r>
        <w:rPr>
          <w:i/>
          <w:iCs/>
          <w:noProof/>
        </w:rPr>
        <w:t>American Economic Review, 105(5)</w:t>
      </w:r>
      <w:r>
        <w:rPr>
          <w:noProof/>
        </w:rPr>
        <w:t>, 447-451.</w:t>
      </w:r>
    </w:p>
    <w:p w:rsidR="00B055D8" w:rsidRDefault="00B055D8" w:rsidP="00B055D8">
      <w:pPr>
        <w:pStyle w:val="Bibliography"/>
        <w:ind w:left="720" w:hanging="720"/>
        <w:rPr>
          <w:noProof/>
        </w:rPr>
      </w:pPr>
      <w:r>
        <w:rPr>
          <w:noProof/>
        </w:rPr>
        <w:t xml:space="preserve">Pollanen, R., &amp; Kangwu, K. X. (2015). Organizationa characteristics and use of balanced scorecard measures in executive compensation. </w:t>
      </w:r>
      <w:r>
        <w:rPr>
          <w:i/>
          <w:iCs/>
          <w:noProof/>
        </w:rPr>
        <w:t xml:space="preserve">Internation Journalof Business &amp; Pubic Adminstration, 12(1) </w:t>
      </w:r>
      <w:r>
        <w:rPr>
          <w:noProof/>
        </w:rPr>
        <w:t>, 68-62.</w:t>
      </w:r>
    </w:p>
    <w:p w:rsidR="00B055D8" w:rsidRPr="0012324B" w:rsidRDefault="00B055D8" w:rsidP="00B055D8">
      <w:pPr>
        <w:tabs>
          <w:tab w:val="left" w:pos="405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sectPr w:rsidR="00B055D8" w:rsidRPr="0012324B" w:rsidSect="001232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F03" w:rsidRDefault="00881F03" w:rsidP="0012324B">
      <w:pPr>
        <w:spacing w:after="0" w:line="240" w:lineRule="auto"/>
      </w:pPr>
      <w:r>
        <w:separator/>
      </w:r>
    </w:p>
  </w:endnote>
  <w:endnote w:type="continuationSeparator" w:id="0">
    <w:p w:rsidR="00881F03" w:rsidRDefault="00881F03" w:rsidP="00123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F03" w:rsidRDefault="00881F03" w:rsidP="0012324B">
      <w:pPr>
        <w:spacing w:after="0" w:line="240" w:lineRule="auto"/>
      </w:pPr>
      <w:r>
        <w:separator/>
      </w:r>
    </w:p>
  </w:footnote>
  <w:footnote w:type="continuationSeparator" w:id="0">
    <w:p w:rsidR="00881F03" w:rsidRDefault="00881F03" w:rsidP="00123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24B" w:rsidRPr="0012324B" w:rsidRDefault="0012324B">
    <w:pPr>
      <w:pStyle w:val="Header"/>
      <w:rPr>
        <w:rFonts w:ascii="Times New Roman" w:hAnsi="Times New Roman" w:cs="Times New Roman"/>
        <w:sz w:val="24"/>
        <w:szCs w:val="24"/>
      </w:rPr>
    </w:pPr>
    <w:r>
      <w:rPr>
        <w:rFonts w:ascii="Times New Roman" w:hAnsi="Times New Roman" w:cs="Times New Roman"/>
        <w:sz w:val="24"/>
        <w:szCs w:val="24"/>
      </w:rPr>
      <w:t xml:space="preserve">Benefits of Balanced Scorecard </w:t>
    </w:r>
    <w:r>
      <w:rPr>
        <w:rFonts w:ascii="Times New Roman" w:hAnsi="Times New Roman" w:cs="Times New Roman"/>
        <w:sz w:val="24"/>
        <w:szCs w:val="24"/>
      </w:rPr>
      <w:tab/>
    </w:r>
    <w:r>
      <w:rPr>
        <w:rFonts w:ascii="Times New Roman" w:hAnsi="Times New Roman" w:cs="Times New Roman"/>
        <w:sz w:val="24"/>
        <w:szCs w:val="24"/>
      </w:rPr>
      <w:tab/>
    </w:r>
    <w:r w:rsidRPr="0012324B">
      <w:rPr>
        <w:rFonts w:ascii="Times New Roman" w:hAnsi="Times New Roman" w:cs="Times New Roman"/>
        <w:sz w:val="24"/>
        <w:szCs w:val="24"/>
      </w:rPr>
      <w:fldChar w:fldCharType="begin"/>
    </w:r>
    <w:r w:rsidRPr="0012324B">
      <w:rPr>
        <w:rFonts w:ascii="Times New Roman" w:hAnsi="Times New Roman" w:cs="Times New Roman"/>
        <w:sz w:val="24"/>
        <w:szCs w:val="24"/>
      </w:rPr>
      <w:instrText xml:space="preserve"> PAGE   \* MERGEFORMAT </w:instrText>
    </w:r>
    <w:r w:rsidRPr="0012324B">
      <w:rPr>
        <w:rFonts w:ascii="Times New Roman" w:hAnsi="Times New Roman" w:cs="Times New Roman"/>
        <w:sz w:val="24"/>
        <w:szCs w:val="24"/>
      </w:rPr>
      <w:fldChar w:fldCharType="separate"/>
    </w:r>
    <w:r w:rsidR="00B055D8">
      <w:rPr>
        <w:rFonts w:ascii="Times New Roman" w:hAnsi="Times New Roman" w:cs="Times New Roman"/>
        <w:noProof/>
        <w:sz w:val="24"/>
        <w:szCs w:val="24"/>
      </w:rPr>
      <w:t>4</w:t>
    </w:r>
    <w:r w:rsidRPr="0012324B">
      <w:rPr>
        <w:rFonts w:ascii="Times New Roman" w:hAnsi="Times New Roman" w:cs="Times New Roman"/>
        <w:noProof/>
        <w:sz w:val="24"/>
        <w:szCs w:val="24"/>
      </w:rPr>
      <w:fldChar w:fldCharType="end"/>
    </w:r>
  </w:p>
  <w:p w:rsidR="0012324B" w:rsidRDefault="001232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24B" w:rsidRPr="0012324B" w:rsidRDefault="0012324B">
    <w:pPr>
      <w:pStyle w:val="Header"/>
      <w:rPr>
        <w:rFonts w:ascii="Times New Roman" w:hAnsi="Times New Roman" w:cs="Times New Roman"/>
        <w:sz w:val="24"/>
        <w:szCs w:val="24"/>
      </w:rPr>
    </w:pPr>
    <w:r>
      <w:rPr>
        <w:rFonts w:ascii="Times New Roman" w:hAnsi="Times New Roman" w:cs="Times New Roman"/>
        <w:sz w:val="24"/>
        <w:szCs w:val="24"/>
      </w:rPr>
      <w:t xml:space="preserve">Running Head: Benefits of Balanced Scorecards </w:t>
    </w:r>
    <w:r>
      <w:rPr>
        <w:rFonts w:ascii="Times New Roman" w:hAnsi="Times New Roman" w:cs="Times New Roman"/>
        <w:sz w:val="24"/>
        <w:szCs w:val="24"/>
      </w:rPr>
      <w:tab/>
    </w:r>
    <w:r w:rsidRPr="0012324B">
      <w:rPr>
        <w:rFonts w:ascii="Times New Roman" w:hAnsi="Times New Roman" w:cs="Times New Roman"/>
        <w:sz w:val="24"/>
        <w:szCs w:val="24"/>
      </w:rPr>
      <w:fldChar w:fldCharType="begin"/>
    </w:r>
    <w:r w:rsidRPr="0012324B">
      <w:rPr>
        <w:rFonts w:ascii="Times New Roman" w:hAnsi="Times New Roman" w:cs="Times New Roman"/>
        <w:sz w:val="24"/>
        <w:szCs w:val="24"/>
      </w:rPr>
      <w:instrText xml:space="preserve"> PAGE   \* MERGEFORMAT </w:instrText>
    </w:r>
    <w:r w:rsidRPr="0012324B">
      <w:rPr>
        <w:rFonts w:ascii="Times New Roman" w:hAnsi="Times New Roman" w:cs="Times New Roman"/>
        <w:sz w:val="24"/>
        <w:szCs w:val="24"/>
      </w:rPr>
      <w:fldChar w:fldCharType="separate"/>
    </w:r>
    <w:r w:rsidR="009A49E9">
      <w:rPr>
        <w:rFonts w:ascii="Times New Roman" w:hAnsi="Times New Roman" w:cs="Times New Roman"/>
        <w:noProof/>
        <w:sz w:val="24"/>
        <w:szCs w:val="24"/>
      </w:rPr>
      <w:t>1</w:t>
    </w:r>
    <w:r w:rsidRPr="0012324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BB"/>
    <w:rsid w:val="000B7072"/>
    <w:rsid w:val="000F6130"/>
    <w:rsid w:val="0012324B"/>
    <w:rsid w:val="00315C04"/>
    <w:rsid w:val="003952FE"/>
    <w:rsid w:val="003F57E7"/>
    <w:rsid w:val="0057150B"/>
    <w:rsid w:val="00734937"/>
    <w:rsid w:val="00735F20"/>
    <w:rsid w:val="00851C47"/>
    <w:rsid w:val="00881F03"/>
    <w:rsid w:val="008E34BB"/>
    <w:rsid w:val="009109D0"/>
    <w:rsid w:val="0098159F"/>
    <w:rsid w:val="009A49E9"/>
    <w:rsid w:val="00B02E0A"/>
    <w:rsid w:val="00B055D8"/>
    <w:rsid w:val="00D8303F"/>
    <w:rsid w:val="00D94B3A"/>
    <w:rsid w:val="00F51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DEA510-3F27-4D89-863D-1DB6BE74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style>
  <w:style w:type="character" w:customStyle="1" w:styleId="txt-light-blue">
    <w:name w:val="txt-light-blue"/>
    <w:basedOn w:val="DefaultParagraphFont"/>
  </w:style>
  <w:style w:type="paragraph" w:styleId="Header">
    <w:name w:val="header"/>
    <w:basedOn w:val="Normal"/>
    <w:link w:val="HeaderChar"/>
    <w:uiPriority w:val="99"/>
    <w:unhideWhenUsed/>
    <w:rsid w:val="00123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24B"/>
  </w:style>
  <w:style w:type="paragraph" w:styleId="Footer">
    <w:name w:val="footer"/>
    <w:basedOn w:val="Normal"/>
    <w:link w:val="FooterChar"/>
    <w:uiPriority w:val="99"/>
    <w:unhideWhenUsed/>
    <w:rsid w:val="00123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24B"/>
  </w:style>
  <w:style w:type="paragraph" w:styleId="Bibliography">
    <w:name w:val="Bibliography"/>
    <w:basedOn w:val="Normal"/>
    <w:next w:val="Normal"/>
    <w:uiPriority w:val="37"/>
    <w:unhideWhenUsed/>
    <w:rsid w:val="00B05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75230">
      <w:bodyDiv w:val="1"/>
      <w:marLeft w:val="0"/>
      <w:marRight w:val="0"/>
      <w:marTop w:val="0"/>
      <w:marBottom w:val="0"/>
      <w:divBdr>
        <w:top w:val="none" w:sz="0" w:space="0" w:color="auto"/>
        <w:left w:val="none" w:sz="0" w:space="0" w:color="auto"/>
        <w:bottom w:val="none" w:sz="0" w:space="0" w:color="auto"/>
        <w:right w:val="none" w:sz="0" w:space="0" w:color="auto"/>
      </w:divBdr>
    </w:div>
    <w:div w:id="212664639">
      <w:bodyDiv w:val="1"/>
      <w:marLeft w:val="0"/>
      <w:marRight w:val="0"/>
      <w:marTop w:val="0"/>
      <w:marBottom w:val="0"/>
      <w:divBdr>
        <w:top w:val="none" w:sz="0" w:space="0" w:color="auto"/>
        <w:left w:val="none" w:sz="0" w:space="0" w:color="auto"/>
        <w:bottom w:val="none" w:sz="0" w:space="0" w:color="auto"/>
        <w:right w:val="none" w:sz="0" w:space="0" w:color="auto"/>
      </w:divBdr>
    </w:div>
    <w:div w:id="770276868">
      <w:bodyDiv w:val="1"/>
      <w:marLeft w:val="0"/>
      <w:marRight w:val="0"/>
      <w:marTop w:val="0"/>
      <w:marBottom w:val="0"/>
      <w:divBdr>
        <w:top w:val="none" w:sz="0" w:space="0" w:color="auto"/>
        <w:left w:val="none" w:sz="0" w:space="0" w:color="auto"/>
        <w:bottom w:val="none" w:sz="0" w:space="0" w:color="auto"/>
        <w:right w:val="none" w:sz="0" w:space="0" w:color="auto"/>
      </w:divBdr>
    </w:div>
    <w:div w:id="915550016">
      <w:bodyDiv w:val="1"/>
      <w:marLeft w:val="0"/>
      <w:marRight w:val="0"/>
      <w:marTop w:val="0"/>
      <w:marBottom w:val="0"/>
      <w:divBdr>
        <w:top w:val="none" w:sz="0" w:space="0" w:color="auto"/>
        <w:left w:val="none" w:sz="0" w:space="0" w:color="auto"/>
        <w:bottom w:val="none" w:sz="0" w:space="0" w:color="auto"/>
        <w:right w:val="none" w:sz="0" w:space="0" w:color="auto"/>
      </w:divBdr>
    </w:div>
    <w:div w:id="1131827610">
      <w:bodyDiv w:val="1"/>
      <w:marLeft w:val="0"/>
      <w:marRight w:val="0"/>
      <w:marTop w:val="0"/>
      <w:marBottom w:val="0"/>
      <w:divBdr>
        <w:top w:val="none" w:sz="0" w:space="0" w:color="auto"/>
        <w:left w:val="none" w:sz="0" w:space="0" w:color="auto"/>
        <w:bottom w:val="none" w:sz="0" w:space="0" w:color="auto"/>
        <w:right w:val="none" w:sz="0" w:space="0" w:color="auto"/>
      </w:divBdr>
    </w:div>
    <w:div w:id="1470245095">
      <w:bodyDiv w:val="1"/>
      <w:marLeft w:val="0"/>
      <w:marRight w:val="0"/>
      <w:marTop w:val="0"/>
      <w:marBottom w:val="0"/>
      <w:divBdr>
        <w:top w:val="none" w:sz="0" w:space="0" w:color="auto"/>
        <w:left w:val="none" w:sz="0" w:space="0" w:color="auto"/>
        <w:bottom w:val="none" w:sz="0" w:space="0" w:color="auto"/>
        <w:right w:val="none" w:sz="0" w:space="0" w:color="auto"/>
      </w:divBdr>
    </w:div>
    <w:div w:id="1474912012">
      <w:bodyDiv w:val="1"/>
      <w:marLeft w:val="0"/>
      <w:marRight w:val="0"/>
      <w:marTop w:val="0"/>
      <w:marBottom w:val="0"/>
      <w:divBdr>
        <w:top w:val="none" w:sz="0" w:space="0" w:color="auto"/>
        <w:left w:val="none" w:sz="0" w:space="0" w:color="auto"/>
        <w:bottom w:val="none" w:sz="0" w:space="0" w:color="auto"/>
        <w:right w:val="none" w:sz="0" w:space="0" w:color="auto"/>
      </w:divBdr>
    </w:div>
    <w:div w:id="1545171353">
      <w:bodyDiv w:val="1"/>
      <w:marLeft w:val="0"/>
      <w:marRight w:val="0"/>
      <w:marTop w:val="0"/>
      <w:marBottom w:val="0"/>
      <w:divBdr>
        <w:top w:val="none" w:sz="0" w:space="0" w:color="auto"/>
        <w:left w:val="none" w:sz="0" w:space="0" w:color="auto"/>
        <w:bottom w:val="none" w:sz="0" w:space="0" w:color="auto"/>
        <w:right w:val="none" w:sz="0" w:space="0" w:color="auto"/>
      </w:divBdr>
    </w:div>
    <w:div w:id="1763331685">
      <w:bodyDiv w:val="1"/>
      <w:marLeft w:val="0"/>
      <w:marRight w:val="0"/>
      <w:marTop w:val="0"/>
      <w:marBottom w:val="0"/>
      <w:divBdr>
        <w:top w:val="none" w:sz="0" w:space="0" w:color="auto"/>
        <w:left w:val="none" w:sz="0" w:space="0" w:color="auto"/>
        <w:bottom w:val="none" w:sz="0" w:space="0" w:color="auto"/>
        <w:right w:val="none" w:sz="0" w:space="0" w:color="auto"/>
      </w:divBdr>
    </w:div>
    <w:div w:id="1849558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DB3"/>
    <w:rsid w:val="00834DB3"/>
    <w:rsid w:val="00EE7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FCF878BF284F4587EF8412028274F6">
    <w:name w:val="6BFCF878BF284F4587EF8412028274F6"/>
    <w:rsid w:val="00834D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RGi15</b:Tag>
    <b:SourceType>JournalArticle</b:SourceType>
    <b:Guid>{0ED7367A-A7EF-4CC0-9212-442FED118571}</b:Guid>
    <b:Author>
      <b:Author>
        <b:NameList>
          <b:Person>
            <b:Last>Gibbons</b:Last>
            <b:First>R.</b:First>
          </b:Person>
          <b:Person>
            <b:Last>Kaplan</b:Last>
            <b:First>R.S</b:First>
          </b:Person>
        </b:NameList>
      </b:Author>
    </b:Author>
    <b:Title>Formal measures in informal management: Can a balanced scorecard change culture? </b:Title>
    <b:JournalName>American Economic Review, 105(5)</b:JournalName>
    <b:Year>2015</b:Year>
    <b:Pages>447-451</b:Pages>
    <b:RefOrder>2</b:RefOrder>
  </b:Source>
  <b:Source>
    <b:Tag>RMP15</b:Tag>
    <b:SourceType>JournalArticle</b:SourceType>
    <b:Guid>{A72B5698-014F-44D2-A9BF-73136548CE0A}</b:Guid>
    <b:Author>
      <b:Author>
        <b:NameList>
          <b:Person>
            <b:Last>Pollanen</b:Last>
            <b:First>R.M</b:First>
          </b:Person>
          <b:Person>
            <b:Last>Kangwu</b:Last>
            <b:First>Kenneth</b:First>
            <b:Middle>X.</b:Middle>
          </b:Person>
        </b:NameList>
      </b:Author>
    </b:Author>
    <b:Title>Organizationa characteristics and use of balanced scorecard measures in executive compensation</b:Title>
    <b:JournalName>Internation Journalof Business &amp; Pubic Adminstration, 12(1) </b:JournalName>
    <b:Year>2015</b:Year>
    <b:Pages>68-62</b:Pages>
    <b:RefOrder>3</b:RefOrder>
  </b:Source>
  <b:Source>
    <b:Tag>AAb17</b:Tag>
    <b:SourceType>JournalArticle</b:SourceType>
    <b:Guid>{339CEA4F-DD26-45E4-8B94-BED20F466AFB}</b:Guid>
    <b:Author>
      <b:Author>
        <b:NameList>
          <b:Person>
            <b:Last>Abyad</b:Last>
            <b:First>A.</b:First>
          </b:Person>
        </b:NameList>
      </b:Author>
    </b:Author>
    <b:Title>The balanced scorecard and EVA</b:Title>
    <b:JournalName>Middle East Journal of Business, 12(2)</b:JournalName>
    <b:Year>2017</b:Year>
    <b:Pages>20-22</b:Pages>
    <b:RefOrder>1</b:RefOrder>
  </b:Source>
</b:Sources>
</file>

<file path=customXml/itemProps1.xml><?xml version="1.0" encoding="utf-8"?>
<ds:datastoreItem xmlns:ds="http://schemas.openxmlformats.org/officeDocument/2006/customXml" ds:itemID="{F51EAB23-A4E8-4BAC-A7AD-FB2DC63E0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Kinzaghi</dc:creator>
  <cp:lastModifiedBy>papa</cp:lastModifiedBy>
  <cp:revision>16</cp:revision>
  <dcterms:created xsi:type="dcterms:W3CDTF">2018-10-17T14:46:00Z</dcterms:created>
  <dcterms:modified xsi:type="dcterms:W3CDTF">2018-10-17T18:30:00Z</dcterms:modified>
</cp:coreProperties>
</file>