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646" w:rsidRDefault="00281646"/>
    <w:p w:rsidR="00780512" w:rsidRDefault="00780512"/>
    <w:p w:rsidR="00780512" w:rsidRDefault="00780512"/>
    <w:p w:rsidR="00780512" w:rsidRDefault="00780512"/>
    <w:p w:rsidR="00780512" w:rsidRDefault="00780512" w:rsidP="00780512">
      <w:pPr>
        <w:spacing w:line="480" w:lineRule="auto"/>
        <w:jc w:val="center"/>
        <w:rPr>
          <w:rFonts w:ascii="Times New Roman" w:hAnsi="Times New Roman" w:cs="Times New Roman"/>
          <w:sz w:val="24"/>
          <w:szCs w:val="24"/>
        </w:rPr>
      </w:pPr>
      <w:r>
        <w:rPr>
          <w:rFonts w:ascii="Times New Roman" w:hAnsi="Times New Roman" w:cs="Times New Roman"/>
          <w:sz w:val="24"/>
          <w:szCs w:val="24"/>
        </w:rPr>
        <w:t>Centralization and Decentralization</w:t>
      </w:r>
    </w:p>
    <w:p w:rsidR="00780512" w:rsidRDefault="00780512" w:rsidP="0078051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80512" w:rsidRDefault="00780512" w:rsidP="0078051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80512" w:rsidRDefault="00780512" w:rsidP="0078051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80512" w:rsidRDefault="00780512">
      <w:pPr>
        <w:rPr>
          <w:rFonts w:ascii="Times New Roman" w:hAnsi="Times New Roman" w:cs="Times New Roman"/>
          <w:sz w:val="24"/>
          <w:szCs w:val="24"/>
        </w:rPr>
      </w:pPr>
      <w:r>
        <w:rPr>
          <w:rFonts w:ascii="Times New Roman" w:hAnsi="Times New Roman" w:cs="Times New Roman"/>
          <w:sz w:val="24"/>
          <w:szCs w:val="24"/>
        </w:rPr>
        <w:br w:type="page"/>
      </w:r>
    </w:p>
    <w:p w:rsidR="00780512" w:rsidRDefault="0029502A" w:rsidP="0078051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Trade-offs in Centralization</w:t>
      </w:r>
    </w:p>
    <w:p w:rsidR="0029502A" w:rsidRDefault="004F739E" w:rsidP="0029502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Centralization refers to concentration of company’s control and operation </w:t>
      </w:r>
      <w:r w:rsidR="0068252E">
        <w:rPr>
          <w:rFonts w:ascii="Times New Roman" w:hAnsi="Times New Roman" w:cs="Times New Roman"/>
          <w:sz w:val="24"/>
          <w:szCs w:val="24"/>
        </w:rPr>
        <w:t>in one location. In other word, the planning and decision-making takes place in one place whereas other branches or departments on deal with the execution.</w:t>
      </w:r>
      <w:r w:rsidR="00F2628E">
        <w:rPr>
          <w:rFonts w:ascii="Times New Roman" w:hAnsi="Times New Roman" w:cs="Times New Roman"/>
          <w:sz w:val="24"/>
          <w:szCs w:val="24"/>
        </w:rPr>
        <w:t xml:space="preserve"> Establishing a centralized management system requires that the organization leadership create a balance between the potential benefits and losses</w:t>
      </w:r>
      <w:sdt>
        <w:sdtPr>
          <w:rPr>
            <w:rFonts w:ascii="Times New Roman" w:hAnsi="Times New Roman" w:cs="Times New Roman"/>
            <w:sz w:val="24"/>
            <w:szCs w:val="24"/>
          </w:rPr>
          <w:id w:val="-2013057650"/>
          <w:citation/>
        </w:sdtPr>
        <w:sdtContent>
          <w:r w:rsidR="004D118F">
            <w:rPr>
              <w:rFonts w:ascii="Times New Roman" w:hAnsi="Times New Roman" w:cs="Times New Roman"/>
              <w:sz w:val="24"/>
              <w:szCs w:val="24"/>
            </w:rPr>
            <w:fldChar w:fldCharType="begin"/>
          </w:r>
          <w:r w:rsidR="004D118F">
            <w:rPr>
              <w:rFonts w:ascii="Times New Roman" w:hAnsi="Times New Roman" w:cs="Times New Roman"/>
              <w:sz w:val="24"/>
              <w:szCs w:val="24"/>
            </w:rPr>
            <w:instrText xml:space="preserve"> CITATION TRo13 \l 1033 </w:instrText>
          </w:r>
          <w:r w:rsidR="004D118F">
            <w:rPr>
              <w:rFonts w:ascii="Times New Roman" w:hAnsi="Times New Roman" w:cs="Times New Roman"/>
              <w:sz w:val="24"/>
              <w:szCs w:val="24"/>
            </w:rPr>
            <w:fldChar w:fldCharType="separate"/>
          </w:r>
          <w:r w:rsidR="004D118F">
            <w:rPr>
              <w:rFonts w:ascii="Times New Roman" w:hAnsi="Times New Roman" w:cs="Times New Roman"/>
              <w:noProof/>
              <w:sz w:val="24"/>
              <w:szCs w:val="24"/>
            </w:rPr>
            <w:t xml:space="preserve"> </w:t>
          </w:r>
          <w:r w:rsidR="004D118F" w:rsidRPr="004D118F">
            <w:rPr>
              <w:rFonts w:ascii="Times New Roman" w:hAnsi="Times New Roman" w:cs="Times New Roman"/>
              <w:noProof/>
              <w:sz w:val="24"/>
              <w:szCs w:val="24"/>
            </w:rPr>
            <w:t>(Rogman, 2013)</w:t>
          </w:r>
          <w:r w:rsidR="004D118F">
            <w:rPr>
              <w:rFonts w:ascii="Times New Roman" w:hAnsi="Times New Roman" w:cs="Times New Roman"/>
              <w:sz w:val="24"/>
              <w:szCs w:val="24"/>
            </w:rPr>
            <w:fldChar w:fldCharType="end"/>
          </w:r>
        </w:sdtContent>
      </w:sdt>
      <w:r w:rsidR="00F2628E">
        <w:rPr>
          <w:rFonts w:ascii="Times New Roman" w:hAnsi="Times New Roman" w:cs="Times New Roman"/>
          <w:sz w:val="24"/>
          <w:szCs w:val="24"/>
        </w:rPr>
        <w:t>. The former must outweigh the latter for the structural change (in favor of c</w:t>
      </w:r>
      <w:r w:rsidR="00BD5629">
        <w:rPr>
          <w:rFonts w:ascii="Times New Roman" w:hAnsi="Times New Roman" w:cs="Times New Roman"/>
          <w:sz w:val="24"/>
          <w:szCs w:val="24"/>
        </w:rPr>
        <w:t xml:space="preserve">entralization) to be implemented. </w:t>
      </w:r>
    </w:p>
    <w:p w:rsidR="00BD5629" w:rsidRDefault="00BD5629" w:rsidP="0029502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Centralizing decision-making process means that the company must forego the independence of its </w:t>
      </w:r>
      <w:r w:rsidR="009453CC">
        <w:rPr>
          <w:rFonts w:ascii="Times New Roman" w:hAnsi="Times New Roman" w:cs="Times New Roman"/>
          <w:sz w:val="24"/>
          <w:szCs w:val="24"/>
        </w:rPr>
        <w:t xml:space="preserve">departments or branches. Concentrating business </w:t>
      </w:r>
      <w:r w:rsidR="000012C5">
        <w:rPr>
          <w:rFonts w:ascii="Times New Roman" w:hAnsi="Times New Roman" w:cs="Times New Roman"/>
          <w:sz w:val="24"/>
          <w:szCs w:val="24"/>
        </w:rPr>
        <w:t>operations in a single place increases the control over operations</w:t>
      </w:r>
      <w:r w:rsidR="00F3749F">
        <w:rPr>
          <w:rFonts w:ascii="Times New Roman" w:hAnsi="Times New Roman" w:cs="Times New Roman"/>
          <w:sz w:val="24"/>
          <w:szCs w:val="24"/>
        </w:rPr>
        <w:t xml:space="preserve"> while possibly moves the </w:t>
      </w:r>
      <w:r w:rsidR="00600894">
        <w:rPr>
          <w:rFonts w:ascii="Times New Roman" w:hAnsi="Times New Roman" w:cs="Times New Roman"/>
          <w:sz w:val="24"/>
          <w:szCs w:val="24"/>
        </w:rPr>
        <w:t>company away from customers</w:t>
      </w:r>
      <w:sdt>
        <w:sdtPr>
          <w:rPr>
            <w:rFonts w:ascii="Times New Roman" w:hAnsi="Times New Roman" w:cs="Times New Roman"/>
            <w:sz w:val="24"/>
            <w:szCs w:val="24"/>
          </w:rPr>
          <w:id w:val="2086107827"/>
          <w:citation/>
        </w:sdtPr>
        <w:sdtContent>
          <w:r w:rsidR="004D118F">
            <w:rPr>
              <w:rFonts w:ascii="Times New Roman" w:hAnsi="Times New Roman" w:cs="Times New Roman"/>
              <w:sz w:val="24"/>
              <w:szCs w:val="24"/>
            </w:rPr>
            <w:fldChar w:fldCharType="begin"/>
          </w:r>
          <w:r w:rsidR="004D118F">
            <w:rPr>
              <w:rFonts w:ascii="Times New Roman" w:hAnsi="Times New Roman" w:cs="Times New Roman"/>
              <w:sz w:val="24"/>
              <w:szCs w:val="24"/>
            </w:rPr>
            <w:instrText xml:space="preserve"> CITATION GCa17 \l 1033 </w:instrText>
          </w:r>
          <w:r w:rsidR="004D118F">
            <w:rPr>
              <w:rFonts w:ascii="Times New Roman" w:hAnsi="Times New Roman" w:cs="Times New Roman"/>
              <w:sz w:val="24"/>
              <w:szCs w:val="24"/>
            </w:rPr>
            <w:fldChar w:fldCharType="separate"/>
          </w:r>
          <w:r w:rsidR="004D118F">
            <w:rPr>
              <w:rFonts w:ascii="Times New Roman" w:hAnsi="Times New Roman" w:cs="Times New Roman"/>
              <w:noProof/>
              <w:sz w:val="24"/>
              <w:szCs w:val="24"/>
            </w:rPr>
            <w:t xml:space="preserve"> </w:t>
          </w:r>
          <w:r w:rsidR="004D118F" w:rsidRPr="004D118F">
            <w:rPr>
              <w:rFonts w:ascii="Times New Roman" w:hAnsi="Times New Roman" w:cs="Times New Roman"/>
              <w:noProof/>
              <w:sz w:val="24"/>
              <w:szCs w:val="24"/>
            </w:rPr>
            <w:t>(G.Cazabat, Belu, Popa, &amp; Paraschiv, 2017)</w:t>
          </w:r>
          <w:r w:rsidR="004D118F">
            <w:rPr>
              <w:rFonts w:ascii="Times New Roman" w:hAnsi="Times New Roman" w:cs="Times New Roman"/>
              <w:sz w:val="24"/>
              <w:szCs w:val="24"/>
            </w:rPr>
            <w:fldChar w:fldCharType="end"/>
          </w:r>
        </w:sdtContent>
      </w:sdt>
      <w:r w:rsidR="00600894">
        <w:rPr>
          <w:rFonts w:ascii="Times New Roman" w:hAnsi="Times New Roman" w:cs="Times New Roman"/>
          <w:sz w:val="24"/>
          <w:szCs w:val="24"/>
        </w:rPr>
        <w:t xml:space="preserve">. A company with small facilities spread all over the place is more accessible to their customers and are flexible to meet particular demand in a given market. For example, multinational fast foods chains like MacDonald’s have their small shops spread across </w:t>
      </w:r>
      <w:r w:rsidR="00512007">
        <w:rPr>
          <w:rFonts w:ascii="Times New Roman" w:hAnsi="Times New Roman" w:cs="Times New Roman"/>
          <w:sz w:val="24"/>
          <w:szCs w:val="24"/>
        </w:rPr>
        <w:t xml:space="preserve">the globe. In case they decide they decide to centralize their shops they will lose most of their customers. Additionally, centralization </w:t>
      </w:r>
      <w:r w:rsidR="00C45F4C">
        <w:rPr>
          <w:rFonts w:ascii="Times New Roman" w:hAnsi="Times New Roman" w:cs="Times New Roman"/>
          <w:sz w:val="24"/>
          <w:szCs w:val="24"/>
        </w:rPr>
        <w:t>means the company must sacrifice by increasing their cost of transportation to customers or for the raw materials</w:t>
      </w:r>
      <w:sdt>
        <w:sdtPr>
          <w:rPr>
            <w:rFonts w:ascii="Times New Roman" w:hAnsi="Times New Roman" w:cs="Times New Roman"/>
            <w:sz w:val="24"/>
            <w:szCs w:val="24"/>
          </w:rPr>
          <w:id w:val="1535459631"/>
          <w:citation/>
        </w:sdtPr>
        <w:sdtContent>
          <w:r w:rsidR="00C45F4C">
            <w:rPr>
              <w:rFonts w:ascii="Times New Roman" w:hAnsi="Times New Roman" w:cs="Times New Roman"/>
              <w:sz w:val="24"/>
              <w:szCs w:val="24"/>
            </w:rPr>
            <w:fldChar w:fldCharType="begin"/>
          </w:r>
          <w:r w:rsidR="00C45F4C">
            <w:rPr>
              <w:rFonts w:ascii="Times New Roman" w:hAnsi="Times New Roman" w:cs="Times New Roman"/>
              <w:sz w:val="24"/>
              <w:szCs w:val="24"/>
            </w:rPr>
            <w:instrText xml:space="preserve"> CITATION BVi16 \l 1033 </w:instrText>
          </w:r>
          <w:r w:rsidR="00C45F4C">
            <w:rPr>
              <w:rFonts w:ascii="Times New Roman" w:hAnsi="Times New Roman" w:cs="Times New Roman"/>
              <w:sz w:val="24"/>
              <w:szCs w:val="24"/>
            </w:rPr>
            <w:fldChar w:fldCharType="separate"/>
          </w:r>
          <w:r w:rsidR="00C45F4C">
            <w:rPr>
              <w:rFonts w:ascii="Times New Roman" w:hAnsi="Times New Roman" w:cs="Times New Roman"/>
              <w:noProof/>
              <w:sz w:val="24"/>
              <w:szCs w:val="24"/>
            </w:rPr>
            <w:t xml:space="preserve"> </w:t>
          </w:r>
          <w:r w:rsidR="00C45F4C" w:rsidRPr="00C45F4C">
            <w:rPr>
              <w:rFonts w:ascii="Times New Roman" w:hAnsi="Times New Roman" w:cs="Times New Roman"/>
              <w:noProof/>
              <w:sz w:val="24"/>
              <w:szCs w:val="24"/>
            </w:rPr>
            <w:t>(Villareal, Reyes, &amp; Kumar, 2016)</w:t>
          </w:r>
          <w:r w:rsidR="00C45F4C">
            <w:rPr>
              <w:rFonts w:ascii="Times New Roman" w:hAnsi="Times New Roman" w:cs="Times New Roman"/>
              <w:sz w:val="24"/>
              <w:szCs w:val="24"/>
            </w:rPr>
            <w:fldChar w:fldCharType="end"/>
          </w:r>
        </w:sdtContent>
      </w:sdt>
      <w:r w:rsidR="00C45F4C">
        <w:rPr>
          <w:rFonts w:ascii="Times New Roman" w:hAnsi="Times New Roman" w:cs="Times New Roman"/>
          <w:sz w:val="24"/>
          <w:szCs w:val="24"/>
        </w:rPr>
        <w:t xml:space="preserve">. </w:t>
      </w:r>
    </w:p>
    <w:p w:rsidR="00E722EA" w:rsidRDefault="00E722EA" w:rsidP="0029502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 move to centralize company operation requires wide consultation to avoid possible losses. The consultation must include departmental or branches heads, customers and suppliers. </w:t>
      </w:r>
      <w:r w:rsidR="009372FD">
        <w:rPr>
          <w:rFonts w:ascii="Times New Roman" w:hAnsi="Times New Roman" w:cs="Times New Roman"/>
          <w:sz w:val="24"/>
          <w:szCs w:val="24"/>
        </w:rPr>
        <w:t>These stakeholders are directly affected by such decisions hence the need to have their approvals. Customers are one of the critical stakeholders thus the need to prote</w:t>
      </w:r>
      <w:r w:rsidR="006A0F5A">
        <w:rPr>
          <w:rFonts w:ascii="Times New Roman" w:hAnsi="Times New Roman" w:cs="Times New Roman"/>
          <w:sz w:val="24"/>
          <w:szCs w:val="24"/>
        </w:rPr>
        <w:t xml:space="preserve">ct their interest in the whole process. Technology plays an essential role in the process at it facilitates communication i.e. using social media platforms to collect </w:t>
      </w:r>
      <w:r w:rsidR="00D234EC">
        <w:rPr>
          <w:rFonts w:ascii="Times New Roman" w:hAnsi="Times New Roman" w:cs="Times New Roman"/>
          <w:sz w:val="24"/>
          <w:szCs w:val="24"/>
        </w:rPr>
        <w:lastRenderedPageBreak/>
        <w:t>customers’ and suppliers’ opinions.</w:t>
      </w:r>
      <w:r w:rsidR="00C46AAD">
        <w:rPr>
          <w:rFonts w:ascii="Times New Roman" w:hAnsi="Times New Roman" w:cs="Times New Roman"/>
          <w:sz w:val="24"/>
          <w:szCs w:val="24"/>
        </w:rPr>
        <w:t xml:space="preserve"> A good example </w:t>
      </w:r>
      <w:r w:rsidR="00850242">
        <w:rPr>
          <w:rFonts w:ascii="Times New Roman" w:hAnsi="Times New Roman" w:cs="Times New Roman"/>
          <w:sz w:val="24"/>
          <w:szCs w:val="24"/>
        </w:rPr>
        <w:t>is banking industry where various institutions are consolidating their operation due technological interruption.</w:t>
      </w:r>
    </w:p>
    <w:p w:rsidR="00850242" w:rsidRDefault="00850242" w:rsidP="0029502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In conclusion, centralizing operations requires that the management evaluate the situation and make sacrifices like adjusting transport costs. Additionally, the process requires wide consultation with stakeholders like customers, suppliers and employees before implementation. </w:t>
      </w:r>
    </w:p>
    <w:p w:rsidR="00850242" w:rsidRDefault="00850242" w:rsidP="0029502A">
      <w:pPr>
        <w:spacing w:line="480" w:lineRule="auto"/>
        <w:ind w:left="720" w:firstLine="720"/>
        <w:rPr>
          <w:rFonts w:ascii="Times New Roman" w:hAnsi="Times New Roman" w:cs="Times New Roman"/>
          <w:sz w:val="24"/>
          <w:szCs w:val="24"/>
        </w:rPr>
      </w:pPr>
    </w:p>
    <w:p w:rsidR="00850242" w:rsidRDefault="00850242" w:rsidP="0029502A">
      <w:pPr>
        <w:spacing w:line="480" w:lineRule="auto"/>
        <w:ind w:left="720" w:firstLine="720"/>
        <w:rPr>
          <w:rFonts w:ascii="Times New Roman" w:hAnsi="Times New Roman" w:cs="Times New Roman"/>
          <w:sz w:val="24"/>
          <w:szCs w:val="24"/>
        </w:rPr>
      </w:pPr>
    </w:p>
    <w:p w:rsidR="00850242" w:rsidRDefault="00850242" w:rsidP="0029502A">
      <w:pPr>
        <w:spacing w:line="480" w:lineRule="auto"/>
        <w:ind w:left="720" w:firstLine="720"/>
        <w:rPr>
          <w:rFonts w:ascii="Times New Roman" w:hAnsi="Times New Roman" w:cs="Times New Roman"/>
          <w:sz w:val="24"/>
          <w:szCs w:val="24"/>
        </w:rPr>
      </w:pPr>
    </w:p>
    <w:p w:rsidR="00850242" w:rsidRDefault="00850242" w:rsidP="0029502A">
      <w:pPr>
        <w:spacing w:line="480" w:lineRule="auto"/>
        <w:ind w:left="720" w:firstLine="720"/>
        <w:rPr>
          <w:rFonts w:ascii="Times New Roman" w:hAnsi="Times New Roman" w:cs="Times New Roman"/>
          <w:sz w:val="24"/>
          <w:szCs w:val="24"/>
        </w:rPr>
      </w:pPr>
    </w:p>
    <w:p w:rsidR="00850242" w:rsidRDefault="00850242" w:rsidP="0029502A">
      <w:pPr>
        <w:spacing w:line="480" w:lineRule="auto"/>
        <w:ind w:left="720" w:firstLine="720"/>
        <w:rPr>
          <w:rFonts w:ascii="Times New Roman" w:hAnsi="Times New Roman" w:cs="Times New Roman"/>
          <w:sz w:val="24"/>
          <w:szCs w:val="24"/>
        </w:rPr>
      </w:pPr>
    </w:p>
    <w:p w:rsidR="00850242" w:rsidRDefault="00850242" w:rsidP="0029502A">
      <w:pPr>
        <w:spacing w:line="480" w:lineRule="auto"/>
        <w:ind w:left="720" w:firstLine="720"/>
        <w:rPr>
          <w:rFonts w:ascii="Times New Roman" w:hAnsi="Times New Roman" w:cs="Times New Roman"/>
          <w:sz w:val="24"/>
          <w:szCs w:val="24"/>
        </w:rPr>
      </w:pPr>
    </w:p>
    <w:p w:rsidR="00850242" w:rsidRDefault="00850242" w:rsidP="0029502A">
      <w:pPr>
        <w:spacing w:line="480" w:lineRule="auto"/>
        <w:ind w:left="720" w:firstLine="720"/>
        <w:rPr>
          <w:rFonts w:ascii="Times New Roman" w:hAnsi="Times New Roman" w:cs="Times New Roman"/>
          <w:sz w:val="24"/>
          <w:szCs w:val="24"/>
        </w:rPr>
      </w:pPr>
    </w:p>
    <w:p w:rsidR="00850242" w:rsidRDefault="00850242" w:rsidP="0029502A">
      <w:pPr>
        <w:spacing w:line="480" w:lineRule="auto"/>
        <w:ind w:left="720" w:firstLine="720"/>
        <w:rPr>
          <w:rFonts w:ascii="Times New Roman" w:hAnsi="Times New Roman" w:cs="Times New Roman"/>
          <w:sz w:val="24"/>
          <w:szCs w:val="24"/>
        </w:rPr>
      </w:pPr>
    </w:p>
    <w:p w:rsidR="00850242" w:rsidRDefault="00850242" w:rsidP="0029502A">
      <w:pPr>
        <w:spacing w:line="480" w:lineRule="auto"/>
        <w:ind w:left="720" w:firstLine="720"/>
        <w:rPr>
          <w:rFonts w:ascii="Times New Roman" w:hAnsi="Times New Roman" w:cs="Times New Roman"/>
          <w:sz w:val="24"/>
          <w:szCs w:val="24"/>
        </w:rPr>
      </w:pPr>
    </w:p>
    <w:p w:rsidR="00850242" w:rsidRDefault="00850242" w:rsidP="0029502A">
      <w:pPr>
        <w:spacing w:line="480" w:lineRule="auto"/>
        <w:ind w:left="720" w:firstLine="720"/>
        <w:rPr>
          <w:rFonts w:ascii="Times New Roman" w:hAnsi="Times New Roman" w:cs="Times New Roman"/>
          <w:sz w:val="24"/>
          <w:szCs w:val="24"/>
        </w:rPr>
      </w:pPr>
    </w:p>
    <w:p w:rsidR="00850242" w:rsidRDefault="00850242" w:rsidP="0029502A">
      <w:pPr>
        <w:spacing w:line="480" w:lineRule="auto"/>
        <w:ind w:left="720" w:firstLine="720"/>
        <w:rPr>
          <w:rFonts w:ascii="Times New Roman" w:hAnsi="Times New Roman" w:cs="Times New Roman"/>
          <w:sz w:val="24"/>
          <w:szCs w:val="24"/>
        </w:rPr>
      </w:pPr>
    </w:p>
    <w:p w:rsidR="00850242" w:rsidRDefault="00850242" w:rsidP="0029502A">
      <w:pPr>
        <w:spacing w:line="480" w:lineRule="auto"/>
        <w:ind w:left="720" w:firstLine="720"/>
        <w:rPr>
          <w:rFonts w:ascii="Times New Roman" w:hAnsi="Times New Roman" w:cs="Times New Roman"/>
          <w:sz w:val="24"/>
          <w:szCs w:val="24"/>
        </w:rPr>
      </w:pPr>
    </w:p>
    <w:p w:rsidR="00850242" w:rsidRDefault="00850242" w:rsidP="0029502A">
      <w:pPr>
        <w:spacing w:line="480" w:lineRule="auto"/>
        <w:ind w:left="720" w:firstLine="720"/>
        <w:rPr>
          <w:rFonts w:ascii="Times New Roman" w:hAnsi="Times New Roman" w:cs="Times New Roman"/>
          <w:sz w:val="24"/>
          <w:szCs w:val="24"/>
        </w:rPr>
      </w:pPr>
    </w:p>
    <w:p w:rsidR="00850242" w:rsidRDefault="00850242" w:rsidP="00850242">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50242" w:rsidRDefault="00850242" w:rsidP="00850242">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G.Cazabat, Belu, M. G., Popa, I., &amp; Paraschiv, D. (2017). Models and practice of retail location on the Romanina market. </w:t>
      </w:r>
      <w:r>
        <w:rPr>
          <w:i/>
          <w:iCs/>
          <w:noProof/>
        </w:rPr>
        <w:t>Amfiteatru Econmic, 19(45)</w:t>
      </w:r>
      <w:r>
        <w:rPr>
          <w:noProof/>
        </w:rPr>
        <w:t>, 493-508.</w:t>
      </w:r>
    </w:p>
    <w:p w:rsidR="00850242" w:rsidRDefault="00850242" w:rsidP="00850242">
      <w:pPr>
        <w:pStyle w:val="Bibliography"/>
        <w:ind w:left="720" w:hanging="720"/>
        <w:rPr>
          <w:noProof/>
        </w:rPr>
      </w:pPr>
      <w:r>
        <w:rPr>
          <w:noProof/>
        </w:rPr>
        <w:t xml:space="preserve">Rogman, T. (2013). Location and operation mode decision-making in the Middle East; A case study approach. </w:t>
      </w:r>
      <w:r>
        <w:rPr>
          <w:i/>
          <w:iCs/>
          <w:noProof/>
        </w:rPr>
        <w:t>Journalof Strategy Management, 6(2)</w:t>
      </w:r>
      <w:r>
        <w:rPr>
          <w:noProof/>
        </w:rPr>
        <w:t>, 190-206.</w:t>
      </w:r>
    </w:p>
    <w:p w:rsidR="00850242" w:rsidRDefault="00850242" w:rsidP="00850242">
      <w:pPr>
        <w:pStyle w:val="Bibliography"/>
        <w:ind w:left="720" w:hanging="720"/>
        <w:rPr>
          <w:noProof/>
        </w:rPr>
      </w:pPr>
      <w:r>
        <w:rPr>
          <w:noProof/>
        </w:rPr>
        <w:t xml:space="preserve">Villareal, B., Reyes, J. G., &amp; Kumar, V. (2016). Alean thinking and simulation based approach for the mprovement of routine operations. </w:t>
      </w:r>
      <w:r w:rsidR="004D118F">
        <w:rPr>
          <w:i/>
          <w:iCs/>
          <w:noProof/>
        </w:rPr>
        <w:t>Industrial M</w:t>
      </w:r>
      <w:r>
        <w:rPr>
          <w:i/>
          <w:iCs/>
          <w:noProof/>
        </w:rPr>
        <w:t>a</w:t>
      </w:r>
      <w:r w:rsidR="004D118F">
        <w:rPr>
          <w:i/>
          <w:iCs/>
          <w:noProof/>
        </w:rPr>
        <w:t>na</w:t>
      </w:r>
      <w:r>
        <w:rPr>
          <w:i/>
          <w:iCs/>
          <w:noProof/>
        </w:rPr>
        <w:t>gement &amp; Data Systems, 116(5)</w:t>
      </w:r>
      <w:r>
        <w:rPr>
          <w:noProof/>
        </w:rPr>
        <w:t>, 903-925.</w:t>
      </w:r>
    </w:p>
    <w:p w:rsidR="00850242" w:rsidRDefault="00850242" w:rsidP="00850242">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850242" w:rsidRDefault="00850242" w:rsidP="0029502A">
      <w:pPr>
        <w:spacing w:line="480" w:lineRule="auto"/>
        <w:ind w:left="720" w:firstLine="720"/>
        <w:rPr>
          <w:rFonts w:ascii="Times New Roman" w:hAnsi="Times New Roman" w:cs="Times New Roman"/>
          <w:sz w:val="24"/>
          <w:szCs w:val="24"/>
        </w:rPr>
      </w:pPr>
    </w:p>
    <w:p w:rsidR="00780512" w:rsidRPr="00780512" w:rsidRDefault="00780512" w:rsidP="00780512">
      <w:pPr>
        <w:spacing w:line="480" w:lineRule="auto"/>
        <w:jc w:val="center"/>
        <w:rPr>
          <w:rFonts w:ascii="Times New Roman" w:hAnsi="Times New Roman" w:cs="Times New Roman"/>
          <w:sz w:val="24"/>
          <w:szCs w:val="24"/>
        </w:rPr>
      </w:pPr>
    </w:p>
    <w:sectPr w:rsidR="00780512" w:rsidRPr="00780512" w:rsidSect="00430B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0563" w:rsidRDefault="00EE0563" w:rsidP="00430B34">
      <w:pPr>
        <w:spacing w:after="0" w:line="240" w:lineRule="auto"/>
      </w:pPr>
      <w:r>
        <w:separator/>
      </w:r>
    </w:p>
  </w:endnote>
  <w:endnote w:type="continuationSeparator" w:id="0">
    <w:p w:rsidR="00EE0563" w:rsidRDefault="00EE0563" w:rsidP="00430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0563" w:rsidRDefault="00EE0563" w:rsidP="00430B34">
      <w:pPr>
        <w:spacing w:after="0" w:line="240" w:lineRule="auto"/>
      </w:pPr>
      <w:r>
        <w:separator/>
      </w:r>
    </w:p>
  </w:footnote>
  <w:footnote w:type="continuationSeparator" w:id="0">
    <w:p w:rsidR="00EE0563" w:rsidRDefault="00EE0563" w:rsidP="00430B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0B34" w:rsidRPr="00780512" w:rsidRDefault="0029502A">
    <w:pPr>
      <w:pStyle w:val="Header"/>
      <w:rPr>
        <w:rFonts w:ascii="Times New Roman" w:hAnsi="Times New Roman" w:cs="Times New Roman"/>
        <w:sz w:val="24"/>
        <w:szCs w:val="24"/>
      </w:rPr>
    </w:pPr>
    <w:r>
      <w:rPr>
        <w:rFonts w:ascii="Times New Roman" w:hAnsi="Times New Roman" w:cs="Times New Roman"/>
        <w:sz w:val="24"/>
        <w:szCs w:val="24"/>
      </w:rPr>
      <w:t xml:space="preserve">Centralization and Decentralization </w:t>
    </w:r>
    <w:r>
      <w:rPr>
        <w:rFonts w:ascii="Times New Roman" w:hAnsi="Times New Roman" w:cs="Times New Roman"/>
        <w:sz w:val="24"/>
        <w:szCs w:val="24"/>
      </w:rPr>
      <w:tab/>
    </w:r>
    <w:r>
      <w:rPr>
        <w:rFonts w:ascii="Times New Roman" w:hAnsi="Times New Roman" w:cs="Times New Roman"/>
        <w:sz w:val="24"/>
        <w:szCs w:val="24"/>
      </w:rPr>
      <w:tab/>
    </w:r>
    <w:r w:rsidRPr="0029502A">
      <w:rPr>
        <w:rFonts w:ascii="Times New Roman" w:hAnsi="Times New Roman" w:cs="Times New Roman"/>
        <w:sz w:val="24"/>
        <w:szCs w:val="24"/>
      </w:rPr>
      <w:fldChar w:fldCharType="begin"/>
    </w:r>
    <w:r w:rsidRPr="0029502A">
      <w:rPr>
        <w:rFonts w:ascii="Times New Roman" w:hAnsi="Times New Roman" w:cs="Times New Roman"/>
        <w:sz w:val="24"/>
        <w:szCs w:val="24"/>
      </w:rPr>
      <w:instrText xml:space="preserve"> PAGE   \* MERGEFORMAT </w:instrText>
    </w:r>
    <w:r w:rsidRPr="0029502A">
      <w:rPr>
        <w:rFonts w:ascii="Times New Roman" w:hAnsi="Times New Roman" w:cs="Times New Roman"/>
        <w:sz w:val="24"/>
        <w:szCs w:val="24"/>
      </w:rPr>
      <w:fldChar w:fldCharType="separate"/>
    </w:r>
    <w:r w:rsidR="004D118F">
      <w:rPr>
        <w:rFonts w:ascii="Times New Roman" w:hAnsi="Times New Roman" w:cs="Times New Roman"/>
        <w:noProof/>
        <w:sz w:val="24"/>
        <w:szCs w:val="24"/>
      </w:rPr>
      <w:t>4</w:t>
    </w:r>
    <w:r w:rsidRPr="0029502A">
      <w:rPr>
        <w:rFonts w:ascii="Times New Roman" w:hAnsi="Times New Roman" w:cs="Times New Roman"/>
        <w:noProof/>
        <w:sz w:val="24"/>
        <w:szCs w:val="24"/>
      </w:rPr>
      <w:fldChar w:fldCharType="end"/>
    </w:r>
  </w:p>
  <w:p w:rsidR="00430B34" w:rsidRDefault="00430B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0B34" w:rsidRPr="00430B34" w:rsidRDefault="00430B34">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780512">
      <w:rPr>
        <w:rFonts w:ascii="Times New Roman" w:hAnsi="Times New Roman" w:cs="Times New Roman"/>
        <w:sz w:val="24"/>
        <w:szCs w:val="24"/>
      </w:rPr>
      <w:t xml:space="preserve">Centralization and Decentralization </w:t>
    </w:r>
    <w:r w:rsidR="00780512">
      <w:rPr>
        <w:rFonts w:ascii="Times New Roman" w:hAnsi="Times New Roman" w:cs="Times New Roman"/>
        <w:sz w:val="24"/>
        <w:szCs w:val="24"/>
      </w:rPr>
      <w:tab/>
    </w:r>
    <w:r w:rsidR="00780512" w:rsidRPr="00780512">
      <w:rPr>
        <w:rFonts w:ascii="Times New Roman" w:hAnsi="Times New Roman" w:cs="Times New Roman"/>
        <w:sz w:val="24"/>
        <w:szCs w:val="24"/>
      </w:rPr>
      <w:fldChar w:fldCharType="begin"/>
    </w:r>
    <w:r w:rsidR="00780512" w:rsidRPr="00780512">
      <w:rPr>
        <w:rFonts w:ascii="Times New Roman" w:hAnsi="Times New Roman" w:cs="Times New Roman"/>
        <w:sz w:val="24"/>
        <w:szCs w:val="24"/>
      </w:rPr>
      <w:instrText xml:space="preserve"> PAGE   \* MERGEFORMAT </w:instrText>
    </w:r>
    <w:r w:rsidR="00780512" w:rsidRPr="00780512">
      <w:rPr>
        <w:rFonts w:ascii="Times New Roman" w:hAnsi="Times New Roman" w:cs="Times New Roman"/>
        <w:sz w:val="24"/>
        <w:szCs w:val="24"/>
      </w:rPr>
      <w:fldChar w:fldCharType="separate"/>
    </w:r>
    <w:r w:rsidR="00ED3493">
      <w:rPr>
        <w:rFonts w:ascii="Times New Roman" w:hAnsi="Times New Roman" w:cs="Times New Roman"/>
        <w:noProof/>
        <w:sz w:val="24"/>
        <w:szCs w:val="24"/>
      </w:rPr>
      <w:t>1</w:t>
    </w:r>
    <w:r w:rsidR="00780512" w:rsidRPr="0078051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17A"/>
    <w:rsid w:val="000012C5"/>
    <w:rsid w:val="000B13BE"/>
    <w:rsid w:val="00281646"/>
    <w:rsid w:val="0029502A"/>
    <w:rsid w:val="00430B34"/>
    <w:rsid w:val="0046517A"/>
    <w:rsid w:val="004D118F"/>
    <w:rsid w:val="004F739E"/>
    <w:rsid w:val="00512007"/>
    <w:rsid w:val="00594F1F"/>
    <w:rsid w:val="00600894"/>
    <w:rsid w:val="0068252E"/>
    <w:rsid w:val="006A0F5A"/>
    <w:rsid w:val="00780512"/>
    <w:rsid w:val="00850242"/>
    <w:rsid w:val="009372FD"/>
    <w:rsid w:val="009453CC"/>
    <w:rsid w:val="00A51544"/>
    <w:rsid w:val="00A53950"/>
    <w:rsid w:val="00BD5629"/>
    <w:rsid w:val="00C45F4C"/>
    <w:rsid w:val="00C46AAD"/>
    <w:rsid w:val="00C8055B"/>
    <w:rsid w:val="00D234EC"/>
    <w:rsid w:val="00E722EA"/>
    <w:rsid w:val="00ED3493"/>
    <w:rsid w:val="00EE0563"/>
    <w:rsid w:val="00F2628E"/>
    <w:rsid w:val="00F37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D347B2-07C3-47D0-AD76-108F982E6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0B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B34"/>
  </w:style>
  <w:style w:type="paragraph" w:styleId="Footer">
    <w:name w:val="footer"/>
    <w:basedOn w:val="Normal"/>
    <w:link w:val="FooterChar"/>
    <w:uiPriority w:val="99"/>
    <w:unhideWhenUsed/>
    <w:rsid w:val="00430B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B34"/>
  </w:style>
  <w:style w:type="paragraph" w:styleId="Bibliography">
    <w:name w:val="Bibliography"/>
    <w:basedOn w:val="Normal"/>
    <w:next w:val="Normal"/>
    <w:uiPriority w:val="37"/>
    <w:unhideWhenUsed/>
    <w:rsid w:val="00850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6947499">
      <w:bodyDiv w:val="1"/>
      <w:marLeft w:val="0"/>
      <w:marRight w:val="0"/>
      <w:marTop w:val="0"/>
      <w:marBottom w:val="0"/>
      <w:divBdr>
        <w:top w:val="none" w:sz="0" w:space="0" w:color="auto"/>
        <w:left w:val="none" w:sz="0" w:space="0" w:color="auto"/>
        <w:bottom w:val="none" w:sz="0" w:space="0" w:color="auto"/>
        <w:right w:val="none" w:sz="0" w:space="0" w:color="auto"/>
      </w:divBdr>
    </w:div>
    <w:div w:id="809327213">
      <w:bodyDiv w:val="1"/>
      <w:marLeft w:val="0"/>
      <w:marRight w:val="0"/>
      <w:marTop w:val="0"/>
      <w:marBottom w:val="0"/>
      <w:divBdr>
        <w:top w:val="none" w:sz="0" w:space="0" w:color="auto"/>
        <w:left w:val="none" w:sz="0" w:space="0" w:color="auto"/>
        <w:bottom w:val="none" w:sz="0" w:space="0" w:color="auto"/>
        <w:right w:val="none" w:sz="0" w:space="0" w:color="auto"/>
      </w:divBdr>
    </w:div>
    <w:div w:id="1024940619">
      <w:bodyDiv w:val="1"/>
      <w:marLeft w:val="0"/>
      <w:marRight w:val="0"/>
      <w:marTop w:val="0"/>
      <w:marBottom w:val="0"/>
      <w:divBdr>
        <w:top w:val="none" w:sz="0" w:space="0" w:color="auto"/>
        <w:left w:val="none" w:sz="0" w:space="0" w:color="auto"/>
        <w:bottom w:val="none" w:sz="0" w:space="0" w:color="auto"/>
        <w:right w:val="none" w:sz="0" w:space="0" w:color="auto"/>
      </w:divBdr>
    </w:div>
    <w:div w:id="1170290273">
      <w:bodyDiv w:val="1"/>
      <w:marLeft w:val="0"/>
      <w:marRight w:val="0"/>
      <w:marTop w:val="0"/>
      <w:marBottom w:val="0"/>
      <w:divBdr>
        <w:top w:val="none" w:sz="0" w:space="0" w:color="auto"/>
        <w:left w:val="none" w:sz="0" w:space="0" w:color="auto"/>
        <w:bottom w:val="none" w:sz="0" w:space="0" w:color="auto"/>
        <w:right w:val="none" w:sz="0" w:space="0" w:color="auto"/>
      </w:divBdr>
    </w:div>
    <w:div w:id="1528641341">
      <w:bodyDiv w:val="1"/>
      <w:marLeft w:val="0"/>
      <w:marRight w:val="0"/>
      <w:marTop w:val="0"/>
      <w:marBottom w:val="0"/>
      <w:divBdr>
        <w:top w:val="none" w:sz="0" w:space="0" w:color="auto"/>
        <w:left w:val="none" w:sz="0" w:space="0" w:color="auto"/>
        <w:bottom w:val="none" w:sz="0" w:space="0" w:color="auto"/>
        <w:right w:val="none" w:sz="0" w:space="0" w:color="auto"/>
      </w:divBdr>
    </w:div>
    <w:div w:id="1550997579">
      <w:bodyDiv w:val="1"/>
      <w:marLeft w:val="0"/>
      <w:marRight w:val="0"/>
      <w:marTop w:val="0"/>
      <w:marBottom w:val="0"/>
      <w:divBdr>
        <w:top w:val="none" w:sz="0" w:space="0" w:color="auto"/>
        <w:left w:val="none" w:sz="0" w:space="0" w:color="auto"/>
        <w:bottom w:val="none" w:sz="0" w:space="0" w:color="auto"/>
        <w:right w:val="none" w:sz="0" w:space="0" w:color="auto"/>
      </w:divBdr>
    </w:div>
    <w:div w:id="1804691595">
      <w:bodyDiv w:val="1"/>
      <w:marLeft w:val="0"/>
      <w:marRight w:val="0"/>
      <w:marTop w:val="0"/>
      <w:marBottom w:val="0"/>
      <w:divBdr>
        <w:top w:val="none" w:sz="0" w:space="0" w:color="auto"/>
        <w:left w:val="none" w:sz="0" w:space="0" w:color="auto"/>
        <w:bottom w:val="none" w:sz="0" w:space="0" w:color="auto"/>
        <w:right w:val="none" w:sz="0" w:space="0" w:color="auto"/>
      </w:divBdr>
    </w:div>
    <w:div w:id="1989820914">
      <w:bodyDiv w:val="1"/>
      <w:marLeft w:val="0"/>
      <w:marRight w:val="0"/>
      <w:marTop w:val="0"/>
      <w:marBottom w:val="0"/>
      <w:divBdr>
        <w:top w:val="none" w:sz="0" w:space="0" w:color="auto"/>
        <w:left w:val="none" w:sz="0" w:space="0" w:color="auto"/>
        <w:bottom w:val="none" w:sz="0" w:space="0" w:color="auto"/>
        <w:right w:val="none" w:sz="0" w:space="0" w:color="auto"/>
      </w:divBdr>
    </w:div>
    <w:div w:id="2036734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DFF"/>
    <w:rsid w:val="00073DFF"/>
    <w:rsid w:val="000E4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AC5354B4F0A4F69BC0E7FF4F54A8D3E">
    <w:name w:val="4AC5354B4F0A4F69BC0E7FF4F54A8D3E"/>
    <w:rsid w:val="00073D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GCa17</b:Tag>
    <b:SourceType>JournalArticle</b:SourceType>
    <b:Guid>{76EBD969-44A5-45D8-B38F-8D6FF08FD286}</b:Guid>
    <b:Title>Models and practice of retail location on the Romanina market</b:Title>
    <b:Year>2017</b:Year>
    <b:Author>
      <b:Author>
        <b:NameList>
          <b:Person>
            <b:Last>G.Cazabat</b:Last>
          </b:Person>
          <b:Person>
            <b:Last>Belu</b:Last>
            <b:First>M.</b:First>
            <b:Middle>G.</b:Middle>
          </b:Person>
          <b:Person>
            <b:Last>Popa</b:Last>
            <b:First>I.</b:First>
          </b:Person>
          <b:Person>
            <b:Last>Paraschiv</b:Last>
            <b:First>D.M</b:First>
          </b:Person>
        </b:NameList>
      </b:Author>
    </b:Author>
    <b:JournalName>Amfiteatru Econmic, 19(45)</b:JournalName>
    <b:Pages>493-508</b:Pages>
    <b:RefOrder>2</b:RefOrder>
  </b:Source>
  <b:Source>
    <b:Tag>TRo13</b:Tag>
    <b:SourceType>JournalArticle</b:SourceType>
    <b:Guid>{F5E03DB5-7239-43B1-9AA9-10FCE910F0B7}</b:Guid>
    <b:Author>
      <b:Author>
        <b:NameList>
          <b:Person>
            <b:Last>Rogman</b:Last>
            <b:First>T.</b:First>
          </b:Person>
        </b:NameList>
      </b:Author>
    </b:Author>
    <b:Title>Location and operation mode decision-making in the Middle East; A case study approach</b:Title>
    <b:JournalName>Journalof Strategy Management, 6(2)</b:JournalName>
    <b:Year>2013</b:Year>
    <b:Pages>190-206</b:Pages>
    <b:RefOrder>1</b:RefOrder>
  </b:Source>
  <b:Source>
    <b:Tag>BVi16</b:Tag>
    <b:SourceType>JournalArticle</b:SourceType>
    <b:Guid>{5EE01C05-74C5-48B2-8968-A8C084A163D6}</b:Guid>
    <b:Author>
      <b:Author>
        <b:NameList>
          <b:Person>
            <b:Last>Villareal</b:Last>
            <b:First>B.</b:First>
          </b:Person>
          <b:Person>
            <b:Last>Reyes</b:Last>
            <b:First>J.A</b:First>
            <b:Middle>Gaza</b:Middle>
          </b:Person>
          <b:Person>
            <b:Last>Kumar</b:Last>
            <b:First>V.</b:First>
          </b:Person>
        </b:NameList>
      </b:Author>
    </b:Author>
    <b:Title>Alean thinking and simulation based approach for the mprovement of routine operations</b:Title>
    <b:JournalName>Industrial Mnagement &amp; Data Systems, 116(5)</b:JournalName>
    <b:Year>2016</b:Year>
    <b:Pages>903-925</b:Pages>
    <b:RefOrder>3</b:RefOrder>
  </b:Source>
</b:Sources>
</file>

<file path=customXml/itemProps1.xml><?xml version="1.0" encoding="utf-8"?>
<ds:datastoreItem xmlns:ds="http://schemas.openxmlformats.org/officeDocument/2006/customXml" ds:itemID="{14DE15EB-332A-428C-905C-F0C2BD478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14</cp:revision>
  <dcterms:created xsi:type="dcterms:W3CDTF">2018-10-18T08:24:00Z</dcterms:created>
  <dcterms:modified xsi:type="dcterms:W3CDTF">2018-10-18T11:44:00Z</dcterms:modified>
</cp:coreProperties>
</file>