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CF4D1" w14:textId="05373BE7" w:rsidR="00C512F9" w:rsidRPr="00C512F9" w:rsidRDefault="00C512F9" w:rsidP="00C512F9">
      <w:pPr>
        <w:spacing w:line="280" w:lineRule="atLeast"/>
        <w:rPr>
          <w:b/>
          <w:sz w:val="20"/>
          <w:szCs w:val="20"/>
        </w:rPr>
      </w:pPr>
      <w:bookmarkStart w:id="0" w:name="_GoBack"/>
      <w:bookmarkEnd w:id="0"/>
      <w:r w:rsidRPr="00C512F9">
        <w:rPr>
          <w:b/>
          <w:sz w:val="20"/>
          <w:szCs w:val="20"/>
        </w:rPr>
        <w:t xml:space="preserve">This form should be </w:t>
      </w:r>
      <w:proofErr w:type="gramStart"/>
      <w:r w:rsidRPr="00C512F9">
        <w:rPr>
          <w:b/>
          <w:sz w:val="20"/>
          <w:szCs w:val="20"/>
        </w:rPr>
        <w:t>completed, and</w:t>
      </w:r>
      <w:proofErr w:type="gramEnd"/>
      <w:r w:rsidRPr="00C512F9">
        <w:rPr>
          <w:b/>
          <w:sz w:val="20"/>
          <w:szCs w:val="20"/>
        </w:rPr>
        <w:t xml:space="preserve"> attached as the cover of each piece of assignment submitted.  </w:t>
      </w:r>
      <w:r w:rsidRPr="00C512F9">
        <w:rPr>
          <w:b/>
          <w:color w:val="FF0000"/>
          <w:sz w:val="20"/>
          <w:szCs w:val="20"/>
        </w:rPr>
        <w:br/>
      </w:r>
    </w:p>
    <w:tbl>
      <w:tblPr>
        <w:tblW w:w="960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11"/>
        <w:gridCol w:w="4491"/>
      </w:tblGrid>
      <w:tr w:rsidR="00C512F9" w:rsidRPr="00C512F9" w14:paraId="1D17895B" w14:textId="77777777" w:rsidTr="00842BBB">
        <w:trPr>
          <w:trHeight w:val="432"/>
        </w:trPr>
        <w:tc>
          <w:tcPr>
            <w:tcW w:w="5111" w:type="dxa"/>
            <w:tcBorders>
              <w:top w:val="nil"/>
              <w:left w:val="nil"/>
              <w:bottom w:val="single" w:sz="4" w:space="0" w:color="auto"/>
              <w:right w:val="nil"/>
            </w:tcBorders>
            <w:vAlign w:val="center"/>
          </w:tcPr>
          <w:p w14:paraId="79E8C7D2" w14:textId="03D745AE" w:rsidR="00C512F9" w:rsidRPr="00C512F9" w:rsidRDefault="00C512F9" w:rsidP="00842BBB">
            <w:pPr>
              <w:spacing w:line="280" w:lineRule="atLeast"/>
              <w:rPr>
                <w:b/>
                <w:bCs/>
                <w:sz w:val="20"/>
                <w:szCs w:val="20"/>
              </w:rPr>
            </w:pPr>
            <w:r w:rsidRPr="00C512F9">
              <w:rPr>
                <w:b/>
                <w:bCs/>
                <w:sz w:val="20"/>
                <w:szCs w:val="20"/>
              </w:rPr>
              <w:t>STUDENT NAME</w:t>
            </w:r>
            <w:r w:rsidRPr="00914F89">
              <w:rPr>
                <w:sz w:val="20"/>
                <w:szCs w:val="20"/>
              </w:rPr>
              <w:t>:</w:t>
            </w:r>
            <w:r w:rsidR="00914F89" w:rsidRPr="00914F89">
              <w:rPr>
                <w:sz w:val="20"/>
                <w:szCs w:val="20"/>
              </w:rPr>
              <w:t xml:space="preserve"> Faraj </w:t>
            </w:r>
            <w:proofErr w:type="spellStart"/>
            <w:r w:rsidR="00914F89" w:rsidRPr="00914F89">
              <w:rPr>
                <w:sz w:val="20"/>
                <w:szCs w:val="20"/>
              </w:rPr>
              <w:t>Al-Ansari</w:t>
            </w:r>
            <w:proofErr w:type="spellEnd"/>
          </w:p>
        </w:tc>
        <w:tc>
          <w:tcPr>
            <w:tcW w:w="4491" w:type="dxa"/>
            <w:tcBorders>
              <w:top w:val="nil"/>
              <w:left w:val="nil"/>
              <w:bottom w:val="single" w:sz="4" w:space="0" w:color="auto"/>
              <w:right w:val="nil"/>
            </w:tcBorders>
            <w:vAlign w:val="center"/>
          </w:tcPr>
          <w:p w14:paraId="7246B195" w14:textId="119255D6" w:rsidR="00C512F9" w:rsidRPr="00C512F9" w:rsidRDefault="00C512F9" w:rsidP="00842BBB">
            <w:pPr>
              <w:spacing w:line="280" w:lineRule="atLeast"/>
              <w:rPr>
                <w:b/>
                <w:bCs/>
                <w:sz w:val="20"/>
                <w:szCs w:val="20"/>
              </w:rPr>
            </w:pPr>
            <w:r w:rsidRPr="00C512F9">
              <w:rPr>
                <w:b/>
                <w:bCs/>
                <w:sz w:val="20"/>
                <w:szCs w:val="20"/>
              </w:rPr>
              <w:t>PROGRAMME START DATE:</w:t>
            </w:r>
            <w:r w:rsidR="000A182D">
              <w:rPr>
                <w:b/>
                <w:bCs/>
                <w:sz w:val="20"/>
                <w:szCs w:val="20"/>
              </w:rPr>
              <w:t xml:space="preserve"> </w:t>
            </w:r>
            <w:r w:rsidR="000A182D" w:rsidRPr="000A182D">
              <w:rPr>
                <w:sz w:val="20"/>
                <w:szCs w:val="20"/>
              </w:rPr>
              <w:t>October 2019</w:t>
            </w:r>
          </w:p>
        </w:tc>
      </w:tr>
      <w:tr w:rsidR="00C512F9" w:rsidRPr="00C512F9" w14:paraId="219EF345" w14:textId="77777777" w:rsidTr="00842BBB">
        <w:trPr>
          <w:cantSplit/>
          <w:trHeight w:val="432"/>
        </w:trPr>
        <w:tc>
          <w:tcPr>
            <w:tcW w:w="5111" w:type="dxa"/>
            <w:tcBorders>
              <w:left w:val="nil"/>
              <w:bottom w:val="single" w:sz="4" w:space="0" w:color="auto"/>
              <w:right w:val="nil"/>
            </w:tcBorders>
            <w:vAlign w:val="center"/>
          </w:tcPr>
          <w:p w14:paraId="2AFD3503" w14:textId="15CB190C" w:rsidR="00C512F9" w:rsidRPr="00C512F9" w:rsidRDefault="00C512F9" w:rsidP="00842BBB">
            <w:pPr>
              <w:spacing w:line="280" w:lineRule="atLeast"/>
              <w:rPr>
                <w:bCs/>
                <w:sz w:val="20"/>
                <w:szCs w:val="20"/>
              </w:rPr>
            </w:pPr>
            <w:r w:rsidRPr="00C512F9">
              <w:rPr>
                <w:b/>
                <w:bCs/>
                <w:sz w:val="20"/>
                <w:szCs w:val="20"/>
              </w:rPr>
              <w:t xml:space="preserve">PROGRAMME TITLE:  </w:t>
            </w:r>
            <w:r w:rsidR="00914F89" w:rsidRPr="00914F89">
              <w:rPr>
                <w:sz w:val="20"/>
                <w:szCs w:val="20"/>
              </w:rPr>
              <w:t>CIPD 5</w:t>
            </w:r>
          </w:p>
        </w:tc>
        <w:tc>
          <w:tcPr>
            <w:tcW w:w="4491" w:type="dxa"/>
            <w:tcBorders>
              <w:left w:val="nil"/>
              <w:bottom w:val="single" w:sz="4" w:space="0" w:color="auto"/>
              <w:right w:val="nil"/>
            </w:tcBorders>
            <w:vAlign w:val="center"/>
          </w:tcPr>
          <w:p w14:paraId="4EE77C78" w14:textId="04CB3E8E" w:rsidR="00C512F9" w:rsidRPr="00C512F9" w:rsidRDefault="00C512F9" w:rsidP="00842BBB">
            <w:pPr>
              <w:spacing w:line="280" w:lineRule="atLeast"/>
              <w:rPr>
                <w:b/>
                <w:bCs/>
                <w:sz w:val="20"/>
                <w:szCs w:val="20"/>
              </w:rPr>
            </w:pPr>
            <w:r w:rsidRPr="00C512F9">
              <w:rPr>
                <w:b/>
                <w:bCs/>
                <w:sz w:val="20"/>
                <w:szCs w:val="20"/>
              </w:rPr>
              <w:t xml:space="preserve">COURSE LOCATION: </w:t>
            </w:r>
            <w:r w:rsidR="00914F89" w:rsidRPr="00914F89">
              <w:rPr>
                <w:sz w:val="20"/>
                <w:szCs w:val="20"/>
              </w:rPr>
              <w:t>Doha – Qatar</w:t>
            </w:r>
            <w:r w:rsidR="00914F89">
              <w:rPr>
                <w:b/>
                <w:bCs/>
                <w:sz w:val="20"/>
                <w:szCs w:val="20"/>
              </w:rPr>
              <w:t xml:space="preserve"> </w:t>
            </w:r>
          </w:p>
        </w:tc>
      </w:tr>
      <w:tr w:rsidR="00C512F9" w:rsidRPr="00C512F9" w14:paraId="6A49F200" w14:textId="77777777" w:rsidTr="00842BBB">
        <w:trPr>
          <w:cantSplit/>
          <w:trHeight w:val="432"/>
        </w:trPr>
        <w:tc>
          <w:tcPr>
            <w:tcW w:w="9602" w:type="dxa"/>
            <w:gridSpan w:val="2"/>
            <w:tcBorders>
              <w:left w:val="nil"/>
              <w:bottom w:val="single" w:sz="4" w:space="0" w:color="auto"/>
              <w:right w:val="nil"/>
            </w:tcBorders>
            <w:vAlign w:val="center"/>
          </w:tcPr>
          <w:p w14:paraId="69E75237" w14:textId="4736687C" w:rsidR="00C512F9" w:rsidRPr="00C512F9" w:rsidRDefault="00C512F9" w:rsidP="00842BBB">
            <w:pPr>
              <w:spacing w:line="280" w:lineRule="atLeast"/>
              <w:rPr>
                <w:bCs/>
                <w:sz w:val="20"/>
                <w:szCs w:val="20"/>
              </w:rPr>
            </w:pPr>
            <w:r w:rsidRPr="00C512F9">
              <w:rPr>
                <w:b/>
                <w:bCs/>
                <w:sz w:val="20"/>
                <w:szCs w:val="20"/>
              </w:rPr>
              <w:t>PERSONAL TUTOR:</w:t>
            </w:r>
            <w:r w:rsidR="00914F89">
              <w:rPr>
                <w:b/>
                <w:bCs/>
                <w:sz w:val="20"/>
                <w:szCs w:val="20"/>
              </w:rPr>
              <w:t xml:space="preserve"> </w:t>
            </w:r>
            <w:r w:rsidR="00914F89" w:rsidRPr="00914F89">
              <w:rPr>
                <w:sz w:val="20"/>
                <w:szCs w:val="20"/>
              </w:rPr>
              <w:t>Mr</w:t>
            </w:r>
            <w:r w:rsidR="00AD5486">
              <w:rPr>
                <w:sz w:val="20"/>
                <w:szCs w:val="20"/>
              </w:rPr>
              <w:t>s. Lucy Mackintosh</w:t>
            </w:r>
          </w:p>
        </w:tc>
      </w:tr>
      <w:tr w:rsidR="00C512F9" w:rsidRPr="00C512F9" w14:paraId="76A63D23" w14:textId="77777777" w:rsidTr="00842BBB">
        <w:trPr>
          <w:cantSplit/>
          <w:trHeight w:val="432"/>
        </w:trPr>
        <w:tc>
          <w:tcPr>
            <w:tcW w:w="9602" w:type="dxa"/>
            <w:gridSpan w:val="2"/>
            <w:tcBorders>
              <w:left w:val="nil"/>
              <w:bottom w:val="single" w:sz="4" w:space="0" w:color="auto"/>
              <w:right w:val="nil"/>
            </w:tcBorders>
            <w:vAlign w:val="center"/>
          </w:tcPr>
          <w:p w14:paraId="31D5EB07" w14:textId="2C36BDE8" w:rsidR="00C512F9" w:rsidRPr="00C512F9" w:rsidRDefault="00C512F9" w:rsidP="00842BBB">
            <w:pPr>
              <w:spacing w:line="280" w:lineRule="atLeast"/>
              <w:rPr>
                <w:bCs/>
                <w:sz w:val="20"/>
                <w:szCs w:val="20"/>
              </w:rPr>
            </w:pPr>
            <w:r w:rsidRPr="00C512F9">
              <w:rPr>
                <w:b/>
                <w:bCs/>
                <w:sz w:val="20"/>
                <w:szCs w:val="20"/>
              </w:rPr>
              <w:t xml:space="preserve">ASSIGNMENT TITLE: </w:t>
            </w:r>
            <w:r w:rsidR="00E64D07">
              <w:rPr>
                <w:b/>
                <w:bCs/>
                <w:sz w:val="20"/>
                <w:szCs w:val="20"/>
              </w:rPr>
              <w:t xml:space="preserve"> </w:t>
            </w:r>
            <w:r w:rsidR="00E64D07" w:rsidRPr="00E64D07">
              <w:rPr>
                <w:sz w:val="20"/>
                <w:szCs w:val="20"/>
              </w:rPr>
              <w:t>5</w:t>
            </w:r>
            <w:r w:rsidR="007B774E">
              <w:rPr>
                <w:sz w:val="20"/>
                <w:szCs w:val="20"/>
              </w:rPr>
              <w:t>ENG</w:t>
            </w:r>
          </w:p>
        </w:tc>
      </w:tr>
      <w:tr w:rsidR="00C512F9" w:rsidRPr="00C512F9" w14:paraId="6A9CB035" w14:textId="77777777" w:rsidTr="00842BBB">
        <w:trPr>
          <w:trHeight w:val="432"/>
        </w:trPr>
        <w:tc>
          <w:tcPr>
            <w:tcW w:w="5111" w:type="dxa"/>
            <w:tcBorders>
              <w:left w:val="nil"/>
              <w:right w:val="nil"/>
            </w:tcBorders>
            <w:vAlign w:val="center"/>
          </w:tcPr>
          <w:p w14:paraId="6284607F" w14:textId="5DAE226D" w:rsidR="00C512F9" w:rsidRPr="00C512F9" w:rsidRDefault="00C512F9" w:rsidP="00842BBB">
            <w:pPr>
              <w:spacing w:line="280" w:lineRule="atLeast"/>
              <w:rPr>
                <w:b/>
                <w:bCs/>
                <w:sz w:val="20"/>
                <w:szCs w:val="20"/>
              </w:rPr>
            </w:pPr>
            <w:r w:rsidRPr="00C512F9">
              <w:rPr>
                <w:b/>
                <w:bCs/>
                <w:sz w:val="20"/>
                <w:szCs w:val="20"/>
              </w:rPr>
              <w:t xml:space="preserve">SUBMISSION:     </w:t>
            </w:r>
            <w:r w:rsidRPr="00C512F9">
              <w:rPr>
                <w:bCs/>
                <w:sz w:val="20"/>
                <w:szCs w:val="20"/>
              </w:rPr>
              <w:t>1</w:t>
            </w:r>
            <w:r w:rsidRPr="00C512F9">
              <w:rPr>
                <w:bCs/>
                <w:sz w:val="20"/>
                <w:szCs w:val="20"/>
                <w:vertAlign w:val="superscript"/>
              </w:rPr>
              <w:t>ST</w:t>
            </w:r>
            <w:r w:rsidRPr="00C512F9">
              <w:rPr>
                <w:bCs/>
                <w:sz w:val="20"/>
                <w:szCs w:val="20"/>
              </w:rPr>
              <w:t xml:space="preserve">     </w:t>
            </w:r>
          </w:p>
        </w:tc>
        <w:tc>
          <w:tcPr>
            <w:tcW w:w="4491" w:type="dxa"/>
            <w:tcBorders>
              <w:left w:val="nil"/>
              <w:right w:val="nil"/>
            </w:tcBorders>
            <w:vAlign w:val="center"/>
          </w:tcPr>
          <w:p w14:paraId="0B76E0DA" w14:textId="4C860D9D" w:rsidR="00C512F9" w:rsidRPr="00C512F9" w:rsidRDefault="00C512F9" w:rsidP="00842BBB">
            <w:pPr>
              <w:spacing w:line="280" w:lineRule="atLeast"/>
              <w:rPr>
                <w:b/>
                <w:bCs/>
                <w:sz w:val="20"/>
                <w:szCs w:val="20"/>
              </w:rPr>
            </w:pPr>
            <w:r w:rsidRPr="00C512F9">
              <w:rPr>
                <w:b/>
                <w:bCs/>
                <w:sz w:val="20"/>
                <w:szCs w:val="20"/>
              </w:rPr>
              <w:t>DATE OF SUBMISSION:</w:t>
            </w:r>
            <w:r w:rsidR="00914F89">
              <w:rPr>
                <w:b/>
                <w:bCs/>
                <w:sz w:val="20"/>
                <w:szCs w:val="20"/>
              </w:rPr>
              <w:t xml:space="preserve"> </w:t>
            </w:r>
            <w:r w:rsidR="007B774E">
              <w:rPr>
                <w:b/>
                <w:bCs/>
                <w:sz w:val="20"/>
                <w:szCs w:val="20"/>
              </w:rPr>
              <w:t>21</w:t>
            </w:r>
            <w:r w:rsidR="007B774E" w:rsidRPr="007B774E">
              <w:rPr>
                <w:b/>
                <w:bCs/>
                <w:sz w:val="20"/>
                <w:szCs w:val="20"/>
                <w:vertAlign w:val="superscript"/>
              </w:rPr>
              <w:t>st</w:t>
            </w:r>
            <w:r w:rsidR="007B774E">
              <w:rPr>
                <w:b/>
                <w:bCs/>
                <w:sz w:val="20"/>
                <w:szCs w:val="20"/>
              </w:rPr>
              <w:t xml:space="preserve"> </w:t>
            </w:r>
            <w:r w:rsidR="00AD5486" w:rsidRPr="00AD5486">
              <w:rPr>
                <w:sz w:val="20"/>
                <w:szCs w:val="20"/>
              </w:rPr>
              <w:t xml:space="preserve"> March</w:t>
            </w:r>
            <w:r w:rsidR="00AC2201" w:rsidRPr="00AD5486">
              <w:rPr>
                <w:sz w:val="20"/>
                <w:szCs w:val="20"/>
              </w:rPr>
              <w:t xml:space="preserve"> 2020</w:t>
            </w:r>
          </w:p>
        </w:tc>
      </w:tr>
    </w:tbl>
    <w:p w14:paraId="1820D71E" w14:textId="77777777" w:rsidR="00C512F9" w:rsidRPr="00C512F9" w:rsidRDefault="00C512F9" w:rsidP="00C512F9">
      <w:pPr>
        <w:spacing w:line="280" w:lineRule="atLeast"/>
        <w:rPr>
          <w:i/>
          <w:iCs/>
          <w:sz w:val="20"/>
          <w:szCs w:val="20"/>
        </w:rPr>
      </w:pPr>
      <w:r w:rsidRPr="00C512F9">
        <w:rPr>
          <w:i/>
          <w:iCs/>
          <w:sz w:val="20"/>
          <w:szCs w:val="20"/>
        </w:rPr>
        <w:t xml:space="preserve">Before submitting your work to </w:t>
      </w:r>
      <w:hyperlink r:id="rId8" w:history="1">
        <w:r w:rsidRPr="00C512F9">
          <w:rPr>
            <w:rStyle w:val="Hyperlink"/>
            <w:i/>
            <w:iCs/>
            <w:sz w:val="20"/>
            <w:szCs w:val="20"/>
          </w:rPr>
          <w:t>www.bradfield.co.uk</w:t>
        </w:r>
      </w:hyperlink>
      <w:r w:rsidRPr="00C512F9">
        <w:rPr>
          <w:i/>
          <w:iCs/>
          <w:sz w:val="20"/>
          <w:szCs w:val="20"/>
        </w:rPr>
        <w:t xml:space="preserve"> please read the following statements and tick all the boxes to show that you have understood and completed what is required.</w:t>
      </w:r>
    </w:p>
    <w:p w14:paraId="3EE96906" w14:textId="77777777" w:rsidR="00C512F9" w:rsidRPr="00C512F9" w:rsidRDefault="00C512F9" w:rsidP="00C512F9">
      <w:pPr>
        <w:spacing w:line="280" w:lineRule="atLeast"/>
        <w:rPr>
          <w:b/>
          <w:sz w:val="20"/>
          <w:szCs w:val="20"/>
        </w:rPr>
      </w:pPr>
    </w:p>
    <w:tbl>
      <w:tblPr>
        <w:tblW w:w="960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48"/>
        <w:gridCol w:w="454"/>
      </w:tblGrid>
      <w:tr w:rsidR="00C512F9" w:rsidRPr="00C512F9" w14:paraId="5C4E594B" w14:textId="77777777" w:rsidTr="00842BBB">
        <w:trPr>
          <w:trHeight w:val="504"/>
        </w:trPr>
        <w:tc>
          <w:tcPr>
            <w:tcW w:w="9148" w:type="dxa"/>
            <w:tcBorders>
              <w:top w:val="nil"/>
              <w:left w:val="nil"/>
              <w:bottom w:val="nil"/>
            </w:tcBorders>
            <w:vAlign w:val="center"/>
          </w:tcPr>
          <w:p w14:paraId="1B6EDDD4" w14:textId="77777777" w:rsidR="00C512F9" w:rsidRPr="00C512F9" w:rsidRDefault="00C512F9" w:rsidP="00842BBB">
            <w:pPr>
              <w:spacing w:line="20" w:lineRule="atLeast"/>
              <w:rPr>
                <w:b/>
                <w:bCs/>
                <w:sz w:val="20"/>
                <w:szCs w:val="20"/>
              </w:rPr>
            </w:pPr>
            <w:r w:rsidRPr="00C512F9">
              <w:rPr>
                <w:b/>
                <w:sz w:val="20"/>
                <w:szCs w:val="20"/>
              </w:rPr>
              <w:t>1. I have read my work through and have checked it for spelling and grammatical errors using, where appropriate, the spell and grammar checker on the computer.</w:t>
            </w:r>
          </w:p>
        </w:tc>
        <w:tc>
          <w:tcPr>
            <w:tcW w:w="454" w:type="dxa"/>
            <w:tcBorders>
              <w:bottom w:val="single" w:sz="4" w:space="0" w:color="auto"/>
            </w:tcBorders>
            <w:vAlign w:val="center"/>
          </w:tcPr>
          <w:p w14:paraId="0740CEE8" w14:textId="5695AA53" w:rsidR="00C512F9" w:rsidRPr="00C512F9" w:rsidRDefault="00E64D07" w:rsidP="00842BBB">
            <w:pPr>
              <w:spacing w:line="20" w:lineRule="atLeast"/>
              <w:rPr>
                <w:b/>
                <w:bCs/>
                <w:sz w:val="20"/>
                <w:szCs w:val="20"/>
              </w:rPr>
            </w:pPr>
            <w:r>
              <w:rPr>
                <w:b/>
                <w:bCs/>
                <w:sz w:val="20"/>
                <w:szCs w:val="20"/>
              </w:rPr>
              <w:t>x</w:t>
            </w:r>
          </w:p>
        </w:tc>
      </w:tr>
      <w:tr w:rsidR="00C512F9" w:rsidRPr="00C512F9" w14:paraId="7B428F9D" w14:textId="77777777" w:rsidTr="00842BBB">
        <w:trPr>
          <w:trHeight w:val="504"/>
        </w:trPr>
        <w:tc>
          <w:tcPr>
            <w:tcW w:w="9148" w:type="dxa"/>
            <w:tcBorders>
              <w:top w:val="nil"/>
              <w:left w:val="nil"/>
              <w:bottom w:val="nil"/>
            </w:tcBorders>
            <w:vAlign w:val="center"/>
          </w:tcPr>
          <w:p w14:paraId="44C4893B" w14:textId="01C823B7" w:rsidR="00C512F9" w:rsidRPr="00C512F9" w:rsidRDefault="00C512F9" w:rsidP="00842BBB">
            <w:pPr>
              <w:spacing w:line="20" w:lineRule="atLeast"/>
              <w:rPr>
                <w:b/>
                <w:bCs/>
                <w:sz w:val="20"/>
                <w:szCs w:val="20"/>
              </w:rPr>
            </w:pPr>
            <w:r w:rsidRPr="00C512F9">
              <w:rPr>
                <w:b/>
                <w:bCs/>
                <w:sz w:val="20"/>
                <w:szCs w:val="20"/>
              </w:rPr>
              <w:t>2. I have written my name at the top of each page</w:t>
            </w:r>
            <w:r w:rsidR="008138EA">
              <w:rPr>
                <w:b/>
                <w:bCs/>
                <w:sz w:val="20"/>
                <w:szCs w:val="20"/>
              </w:rPr>
              <w:t>89</w:t>
            </w:r>
            <w:r w:rsidRPr="00C512F9">
              <w:rPr>
                <w:b/>
                <w:bCs/>
                <w:sz w:val="20"/>
                <w:szCs w:val="20"/>
              </w:rPr>
              <w:t xml:space="preserve"> of my work.</w:t>
            </w:r>
          </w:p>
        </w:tc>
        <w:tc>
          <w:tcPr>
            <w:tcW w:w="454" w:type="dxa"/>
            <w:tcBorders>
              <w:top w:val="single" w:sz="4" w:space="0" w:color="auto"/>
              <w:bottom w:val="single" w:sz="4" w:space="0" w:color="auto"/>
            </w:tcBorders>
            <w:vAlign w:val="center"/>
          </w:tcPr>
          <w:p w14:paraId="42D1875B" w14:textId="46B409AB" w:rsidR="00C512F9" w:rsidRPr="00C512F9" w:rsidRDefault="00E64D07" w:rsidP="00842BBB">
            <w:pPr>
              <w:spacing w:line="20" w:lineRule="atLeast"/>
              <w:rPr>
                <w:b/>
                <w:bCs/>
                <w:sz w:val="20"/>
                <w:szCs w:val="20"/>
              </w:rPr>
            </w:pPr>
            <w:r>
              <w:rPr>
                <w:b/>
                <w:bCs/>
                <w:sz w:val="20"/>
                <w:szCs w:val="20"/>
              </w:rPr>
              <w:t>x</w:t>
            </w:r>
          </w:p>
        </w:tc>
      </w:tr>
      <w:tr w:rsidR="00C512F9" w:rsidRPr="00C512F9" w14:paraId="56EEB7D9" w14:textId="77777777" w:rsidTr="00842BBB">
        <w:trPr>
          <w:trHeight w:val="504"/>
        </w:trPr>
        <w:tc>
          <w:tcPr>
            <w:tcW w:w="9148" w:type="dxa"/>
            <w:tcBorders>
              <w:top w:val="nil"/>
              <w:left w:val="nil"/>
              <w:bottom w:val="nil"/>
            </w:tcBorders>
            <w:vAlign w:val="center"/>
          </w:tcPr>
          <w:p w14:paraId="438C66E8" w14:textId="77777777" w:rsidR="00C512F9" w:rsidRPr="00C512F9" w:rsidRDefault="00C512F9" w:rsidP="00842BBB">
            <w:pPr>
              <w:spacing w:line="20" w:lineRule="atLeast"/>
              <w:rPr>
                <w:b/>
                <w:bCs/>
                <w:sz w:val="20"/>
                <w:szCs w:val="20"/>
              </w:rPr>
            </w:pPr>
            <w:r w:rsidRPr="00C512F9">
              <w:rPr>
                <w:b/>
                <w:bCs/>
                <w:sz w:val="20"/>
                <w:szCs w:val="20"/>
              </w:rPr>
              <w:t>3. I have numbered each page of my work.</w:t>
            </w:r>
          </w:p>
        </w:tc>
        <w:tc>
          <w:tcPr>
            <w:tcW w:w="454" w:type="dxa"/>
            <w:tcBorders>
              <w:top w:val="single" w:sz="4" w:space="0" w:color="auto"/>
              <w:bottom w:val="single" w:sz="4" w:space="0" w:color="auto"/>
            </w:tcBorders>
            <w:vAlign w:val="center"/>
          </w:tcPr>
          <w:p w14:paraId="7C54A945" w14:textId="71ED4933" w:rsidR="00C512F9" w:rsidRPr="00C512F9" w:rsidRDefault="003877C7" w:rsidP="00842BBB">
            <w:pPr>
              <w:spacing w:line="20" w:lineRule="atLeast"/>
              <w:rPr>
                <w:b/>
                <w:bCs/>
                <w:sz w:val="20"/>
                <w:szCs w:val="20"/>
              </w:rPr>
            </w:pPr>
            <w:r>
              <w:rPr>
                <w:b/>
                <w:bCs/>
                <w:sz w:val="20"/>
                <w:szCs w:val="20"/>
              </w:rPr>
              <w:t>x</w:t>
            </w:r>
          </w:p>
        </w:tc>
      </w:tr>
      <w:tr w:rsidR="00C512F9" w:rsidRPr="00C512F9" w14:paraId="323554FC" w14:textId="77777777" w:rsidTr="00842BBB">
        <w:trPr>
          <w:trHeight w:val="840"/>
        </w:trPr>
        <w:tc>
          <w:tcPr>
            <w:tcW w:w="9148" w:type="dxa"/>
            <w:tcBorders>
              <w:top w:val="nil"/>
              <w:left w:val="nil"/>
              <w:bottom w:val="nil"/>
            </w:tcBorders>
            <w:vAlign w:val="center"/>
          </w:tcPr>
          <w:p w14:paraId="1F0FDC5F" w14:textId="77777777" w:rsidR="00C512F9" w:rsidRPr="00C512F9" w:rsidRDefault="00C512F9" w:rsidP="00842BBB">
            <w:pPr>
              <w:spacing w:line="20" w:lineRule="atLeast"/>
              <w:rPr>
                <w:b/>
                <w:bCs/>
                <w:sz w:val="20"/>
                <w:szCs w:val="20"/>
              </w:rPr>
            </w:pPr>
            <w:r w:rsidRPr="00C512F9">
              <w:rPr>
                <w:b/>
                <w:bCs/>
                <w:sz w:val="20"/>
                <w:szCs w:val="20"/>
              </w:rPr>
              <w:t>4. I have written the word count of my submission at the top of the first page of my assignment.  [Where an assignment is split into sections with differing word counts, you should start each new section on a new page and note the word count for the section at the top of the page].</w:t>
            </w:r>
          </w:p>
        </w:tc>
        <w:tc>
          <w:tcPr>
            <w:tcW w:w="454" w:type="dxa"/>
            <w:tcBorders>
              <w:top w:val="single" w:sz="4" w:space="0" w:color="auto"/>
              <w:bottom w:val="single" w:sz="4" w:space="0" w:color="auto"/>
            </w:tcBorders>
            <w:vAlign w:val="center"/>
          </w:tcPr>
          <w:p w14:paraId="3E85E880" w14:textId="371E2BD4" w:rsidR="00C512F9" w:rsidRPr="00C512F9" w:rsidRDefault="003877C7" w:rsidP="00842BBB">
            <w:pPr>
              <w:spacing w:line="20" w:lineRule="atLeast"/>
              <w:rPr>
                <w:b/>
                <w:bCs/>
                <w:sz w:val="20"/>
                <w:szCs w:val="20"/>
              </w:rPr>
            </w:pPr>
            <w:r>
              <w:rPr>
                <w:b/>
                <w:bCs/>
                <w:sz w:val="20"/>
                <w:szCs w:val="20"/>
              </w:rPr>
              <w:t>x</w:t>
            </w:r>
          </w:p>
        </w:tc>
      </w:tr>
      <w:tr w:rsidR="00C512F9" w:rsidRPr="00C512F9" w14:paraId="76F78167" w14:textId="77777777" w:rsidTr="00842BBB">
        <w:trPr>
          <w:trHeight w:val="504"/>
        </w:trPr>
        <w:tc>
          <w:tcPr>
            <w:tcW w:w="9602" w:type="dxa"/>
            <w:gridSpan w:val="2"/>
            <w:tcBorders>
              <w:top w:val="nil"/>
              <w:left w:val="nil"/>
              <w:bottom w:val="nil"/>
              <w:right w:val="nil"/>
            </w:tcBorders>
            <w:vAlign w:val="center"/>
          </w:tcPr>
          <w:p w14:paraId="430A2342" w14:textId="77777777" w:rsidR="00C512F9" w:rsidRPr="00C512F9" w:rsidRDefault="00C512F9" w:rsidP="00842BBB">
            <w:pPr>
              <w:spacing w:line="20" w:lineRule="atLeast"/>
              <w:rPr>
                <w:b/>
                <w:bCs/>
                <w:sz w:val="20"/>
                <w:szCs w:val="20"/>
              </w:rPr>
            </w:pPr>
            <w:r w:rsidRPr="00C512F9">
              <w:rPr>
                <w:b/>
                <w:bCs/>
                <w:sz w:val="20"/>
                <w:szCs w:val="20"/>
              </w:rPr>
              <w:t>5. I have read and understood the following declaration:</w:t>
            </w:r>
          </w:p>
        </w:tc>
      </w:tr>
      <w:tr w:rsidR="00C512F9" w:rsidRPr="00C512F9" w14:paraId="3AA32D7D" w14:textId="77777777" w:rsidTr="00842BBB">
        <w:trPr>
          <w:trHeight w:val="470"/>
        </w:trPr>
        <w:tc>
          <w:tcPr>
            <w:tcW w:w="9148" w:type="dxa"/>
            <w:tcBorders>
              <w:top w:val="nil"/>
              <w:left w:val="nil"/>
              <w:bottom w:val="nil"/>
            </w:tcBorders>
            <w:vAlign w:val="center"/>
          </w:tcPr>
          <w:p w14:paraId="102C31E0" w14:textId="77777777" w:rsidR="00C512F9" w:rsidRPr="00C512F9" w:rsidRDefault="00C512F9" w:rsidP="00C512F9">
            <w:pPr>
              <w:numPr>
                <w:ilvl w:val="0"/>
                <w:numId w:val="6"/>
              </w:numPr>
              <w:spacing w:after="0" w:line="20" w:lineRule="atLeast"/>
              <w:ind w:left="714" w:hanging="357"/>
              <w:rPr>
                <w:b/>
                <w:bCs/>
                <w:sz w:val="20"/>
                <w:szCs w:val="20"/>
              </w:rPr>
            </w:pPr>
            <w:r w:rsidRPr="00C512F9">
              <w:rPr>
                <w:b/>
                <w:bCs/>
                <w:sz w:val="20"/>
                <w:szCs w:val="20"/>
              </w:rPr>
              <w:t>I confirm that the work/evidence presented for assessment is my own unaided work.</w:t>
            </w:r>
          </w:p>
        </w:tc>
        <w:tc>
          <w:tcPr>
            <w:tcW w:w="454" w:type="dxa"/>
            <w:tcBorders>
              <w:top w:val="single" w:sz="4" w:space="0" w:color="auto"/>
              <w:bottom w:val="single" w:sz="4" w:space="0" w:color="auto"/>
            </w:tcBorders>
            <w:vAlign w:val="center"/>
          </w:tcPr>
          <w:p w14:paraId="0A820FC2" w14:textId="1B843910" w:rsidR="00C512F9" w:rsidRPr="00C512F9" w:rsidRDefault="003877C7" w:rsidP="00842BBB">
            <w:pPr>
              <w:spacing w:line="20" w:lineRule="atLeast"/>
              <w:rPr>
                <w:b/>
                <w:bCs/>
                <w:sz w:val="20"/>
                <w:szCs w:val="20"/>
              </w:rPr>
            </w:pPr>
            <w:r>
              <w:rPr>
                <w:b/>
                <w:bCs/>
                <w:sz w:val="20"/>
                <w:szCs w:val="20"/>
              </w:rPr>
              <w:t>x</w:t>
            </w:r>
          </w:p>
        </w:tc>
      </w:tr>
      <w:tr w:rsidR="00C512F9" w:rsidRPr="00C512F9" w14:paraId="685C0957" w14:textId="77777777" w:rsidTr="00842BBB">
        <w:trPr>
          <w:trHeight w:val="504"/>
        </w:trPr>
        <w:tc>
          <w:tcPr>
            <w:tcW w:w="9148" w:type="dxa"/>
            <w:tcBorders>
              <w:top w:val="nil"/>
              <w:left w:val="nil"/>
              <w:bottom w:val="nil"/>
            </w:tcBorders>
            <w:vAlign w:val="center"/>
          </w:tcPr>
          <w:p w14:paraId="2114EE1A" w14:textId="77777777" w:rsidR="00C512F9" w:rsidRPr="00C512F9" w:rsidRDefault="00C512F9" w:rsidP="00C512F9">
            <w:pPr>
              <w:numPr>
                <w:ilvl w:val="0"/>
                <w:numId w:val="6"/>
              </w:numPr>
              <w:spacing w:after="0" w:line="20" w:lineRule="atLeast"/>
              <w:ind w:left="714" w:hanging="357"/>
              <w:rPr>
                <w:b/>
                <w:bCs/>
                <w:sz w:val="20"/>
                <w:szCs w:val="20"/>
              </w:rPr>
            </w:pPr>
            <w:r w:rsidRPr="00C512F9">
              <w:rPr>
                <w:b/>
                <w:bCs/>
                <w:sz w:val="20"/>
                <w:szCs w:val="20"/>
              </w:rPr>
              <w:t>I have read the assessment regulations and understand that if I am found to have ‘copied’ from published work without acknowledgement, or from other candidate’s work, this may be regarded as plagiarism which is an offence against the assessment regulations and leads to failure in the relevant unit and formal disciplinary action.</w:t>
            </w:r>
          </w:p>
        </w:tc>
        <w:tc>
          <w:tcPr>
            <w:tcW w:w="454" w:type="dxa"/>
            <w:tcBorders>
              <w:top w:val="single" w:sz="4" w:space="0" w:color="auto"/>
              <w:bottom w:val="single" w:sz="4" w:space="0" w:color="auto"/>
            </w:tcBorders>
            <w:vAlign w:val="center"/>
          </w:tcPr>
          <w:p w14:paraId="3AFF1F2E" w14:textId="3A8DD482" w:rsidR="00C512F9" w:rsidRPr="00C512F9" w:rsidRDefault="003877C7" w:rsidP="00842BBB">
            <w:pPr>
              <w:spacing w:line="20" w:lineRule="atLeast"/>
              <w:rPr>
                <w:b/>
                <w:bCs/>
                <w:sz w:val="20"/>
                <w:szCs w:val="20"/>
              </w:rPr>
            </w:pPr>
            <w:r>
              <w:rPr>
                <w:b/>
                <w:bCs/>
                <w:sz w:val="20"/>
                <w:szCs w:val="20"/>
              </w:rPr>
              <w:t>x</w:t>
            </w:r>
          </w:p>
        </w:tc>
      </w:tr>
      <w:tr w:rsidR="00C512F9" w:rsidRPr="00C512F9" w14:paraId="7B670070" w14:textId="77777777" w:rsidTr="00842BBB">
        <w:trPr>
          <w:trHeight w:val="504"/>
        </w:trPr>
        <w:tc>
          <w:tcPr>
            <w:tcW w:w="9148" w:type="dxa"/>
            <w:tcBorders>
              <w:top w:val="nil"/>
              <w:left w:val="nil"/>
              <w:bottom w:val="nil"/>
            </w:tcBorders>
            <w:vAlign w:val="center"/>
          </w:tcPr>
          <w:p w14:paraId="2DDF4272" w14:textId="77777777" w:rsidR="00C512F9" w:rsidRPr="00C512F9" w:rsidRDefault="00C512F9" w:rsidP="00C512F9">
            <w:pPr>
              <w:numPr>
                <w:ilvl w:val="0"/>
                <w:numId w:val="6"/>
              </w:numPr>
              <w:spacing w:after="0" w:line="20" w:lineRule="atLeast"/>
              <w:rPr>
                <w:b/>
                <w:bCs/>
                <w:sz w:val="20"/>
                <w:szCs w:val="20"/>
              </w:rPr>
            </w:pPr>
            <w:r w:rsidRPr="00C512F9">
              <w:rPr>
                <w:b/>
                <w:bCs/>
                <w:sz w:val="20"/>
                <w:szCs w:val="20"/>
              </w:rPr>
              <w:t>I agree to this work being subjected to scrutiny by textual analysis software if required.</w:t>
            </w:r>
          </w:p>
        </w:tc>
        <w:tc>
          <w:tcPr>
            <w:tcW w:w="454" w:type="dxa"/>
            <w:tcBorders>
              <w:top w:val="single" w:sz="4" w:space="0" w:color="auto"/>
              <w:bottom w:val="single" w:sz="4" w:space="0" w:color="auto"/>
            </w:tcBorders>
            <w:vAlign w:val="center"/>
          </w:tcPr>
          <w:p w14:paraId="6904E235" w14:textId="6E1E53D1" w:rsidR="00C512F9" w:rsidRPr="00C512F9" w:rsidRDefault="003877C7" w:rsidP="00842BBB">
            <w:pPr>
              <w:spacing w:line="20" w:lineRule="atLeast"/>
              <w:rPr>
                <w:b/>
                <w:bCs/>
                <w:sz w:val="20"/>
                <w:szCs w:val="20"/>
              </w:rPr>
            </w:pPr>
            <w:r>
              <w:rPr>
                <w:b/>
                <w:bCs/>
                <w:sz w:val="20"/>
                <w:szCs w:val="20"/>
              </w:rPr>
              <w:t>x</w:t>
            </w:r>
          </w:p>
        </w:tc>
      </w:tr>
      <w:tr w:rsidR="00C512F9" w:rsidRPr="00C512F9" w14:paraId="48C3AEF3" w14:textId="77777777" w:rsidTr="00842BBB">
        <w:trPr>
          <w:trHeight w:val="504"/>
        </w:trPr>
        <w:tc>
          <w:tcPr>
            <w:tcW w:w="9148" w:type="dxa"/>
            <w:tcBorders>
              <w:top w:val="nil"/>
              <w:left w:val="nil"/>
              <w:bottom w:val="nil"/>
            </w:tcBorders>
            <w:vAlign w:val="center"/>
          </w:tcPr>
          <w:p w14:paraId="3988CC30" w14:textId="77777777" w:rsidR="00C512F9" w:rsidRPr="00C512F9" w:rsidRDefault="00C512F9" w:rsidP="00C512F9">
            <w:pPr>
              <w:numPr>
                <w:ilvl w:val="0"/>
                <w:numId w:val="6"/>
              </w:numPr>
              <w:spacing w:after="0" w:line="20" w:lineRule="atLeast"/>
              <w:rPr>
                <w:b/>
                <w:bCs/>
                <w:sz w:val="20"/>
                <w:szCs w:val="20"/>
              </w:rPr>
            </w:pPr>
            <w:r w:rsidRPr="00C512F9">
              <w:rPr>
                <w:b/>
                <w:bCs/>
                <w:sz w:val="20"/>
                <w:szCs w:val="20"/>
              </w:rPr>
              <w:t>I understand that my work may be used for future academic/quality assurance purposes in accordance with the provisions of Data Protection legislation.</w:t>
            </w:r>
          </w:p>
        </w:tc>
        <w:tc>
          <w:tcPr>
            <w:tcW w:w="454" w:type="dxa"/>
            <w:tcBorders>
              <w:top w:val="single" w:sz="4" w:space="0" w:color="auto"/>
              <w:bottom w:val="single" w:sz="4" w:space="0" w:color="auto"/>
            </w:tcBorders>
            <w:vAlign w:val="center"/>
          </w:tcPr>
          <w:p w14:paraId="500E1EE2" w14:textId="1C827BE7" w:rsidR="00C512F9" w:rsidRPr="00C512F9" w:rsidRDefault="003877C7" w:rsidP="00842BBB">
            <w:pPr>
              <w:spacing w:line="20" w:lineRule="atLeast"/>
              <w:rPr>
                <w:b/>
                <w:bCs/>
                <w:sz w:val="20"/>
                <w:szCs w:val="20"/>
              </w:rPr>
            </w:pPr>
            <w:r>
              <w:rPr>
                <w:b/>
                <w:bCs/>
                <w:sz w:val="20"/>
                <w:szCs w:val="20"/>
              </w:rPr>
              <w:t>x</w:t>
            </w:r>
          </w:p>
        </w:tc>
      </w:tr>
      <w:tr w:rsidR="00C512F9" w:rsidRPr="00C512F9" w14:paraId="7BB1B755" w14:textId="77777777" w:rsidTr="00842BBB">
        <w:trPr>
          <w:trHeight w:val="504"/>
        </w:trPr>
        <w:tc>
          <w:tcPr>
            <w:tcW w:w="9148" w:type="dxa"/>
            <w:tcBorders>
              <w:top w:val="nil"/>
              <w:left w:val="nil"/>
              <w:bottom w:val="nil"/>
            </w:tcBorders>
            <w:vAlign w:val="center"/>
          </w:tcPr>
          <w:p w14:paraId="161B7ADE" w14:textId="77777777" w:rsidR="00C512F9" w:rsidRPr="00C512F9" w:rsidRDefault="00C512F9" w:rsidP="00C512F9">
            <w:pPr>
              <w:numPr>
                <w:ilvl w:val="0"/>
                <w:numId w:val="6"/>
              </w:numPr>
              <w:spacing w:after="0" w:line="20" w:lineRule="atLeast"/>
              <w:rPr>
                <w:b/>
                <w:bCs/>
                <w:sz w:val="20"/>
                <w:szCs w:val="20"/>
              </w:rPr>
            </w:pPr>
            <w:r w:rsidRPr="00C512F9">
              <w:rPr>
                <w:b/>
                <w:bCs/>
                <w:sz w:val="20"/>
                <w:szCs w:val="20"/>
              </w:rPr>
              <w:t>I understand that the work/evidence submitted for assessment may not be returned to me and that I have retained a copy for my records.</w:t>
            </w:r>
          </w:p>
        </w:tc>
        <w:tc>
          <w:tcPr>
            <w:tcW w:w="454" w:type="dxa"/>
            <w:tcBorders>
              <w:top w:val="single" w:sz="4" w:space="0" w:color="auto"/>
              <w:bottom w:val="single" w:sz="4" w:space="0" w:color="auto"/>
            </w:tcBorders>
            <w:vAlign w:val="center"/>
          </w:tcPr>
          <w:p w14:paraId="37456147" w14:textId="54D813E0" w:rsidR="00C512F9" w:rsidRPr="00C512F9" w:rsidRDefault="003877C7" w:rsidP="00842BBB">
            <w:pPr>
              <w:spacing w:line="20" w:lineRule="atLeast"/>
              <w:rPr>
                <w:b/>
                <w:bCs/>
                <w:sz w:val="20"/>
                <w:szCs w:val="20"/>
              </w:rPr>
            </w:pPr>
            <w:r>
              <w:rPr>
                <w:b/>
                <w:bCs/>
                <w:sz w:val="20"/>
                <w:szCs w:val="20"/>
              </w:rPr>
              <w:t>x</w:t>
            </w:r>
          </w:p>
        </w:tc>
      </w:tr>
      <w:tr w:rsidR="00C512F9" w:rsidRPr="00C512F9" w14:paraId="2CAF8A60" w14:textId="77777777" w:rsidTr="00842BBB">
        <w:trPr>
          <w:trHeight w:val="654"/>
        </w:trPr>
        <w:tc>
          <w:tcPr>
            <w:tcW w:w="9148" w:type="dxa"/>
            <w:tcBorders>
              <w:top w:val="nil"/>
              <w:left w:val="nil"/>
              <w:bottom w:val="nil"/>
            </w:tcBorders>
            <w:vAlign w:val="center"/>
          </w:tcPr>
          <w:p w14:paraId="6BD33036" w14:textId="77777777" w:rsidR="00C512F9" w:rsidRPr="00C512F9" w:rsidRDefault="00C512F9" w:rsidP="00C512F9">
            <w:pPr>
              <w:numPr>
                <w:ilvl w:val="0"/>
                <w:numId w:val="6"/>
              </w:numPr>
              <w:spacing w:after="0" w:line="20" w:lineRule="atLeast"/>
              <w:rPr>
                <w:b/>
                <w:bCs/>
                <w:sz w:val="20"/>
                <w:szCs w:val="20"/>
              </w:rPr>
            </w:pPr>
            <w:r w:rsidRPr="00C512F9">
              <w:rPr>
                <w:b/>
                <w:bCs/>
                <w:sz w:val="20"/>
                <w:szCs w:val="20"/>
              </w:rPr>
              <w:t>I understand that until such time as the assessment grade has been ratified through internal and external quality assurance processes it is not final.</w:t>
            </w:r>
          </w:p>
          <w:p w14:paraId="1FED7D08" w14:textId="77777777" w:rsidR="00C512F9" w:rsidRPr="00C512F9" w:rsidRDefault="00C512F9" w:rsidP="00842BBB">
            <w:pPr>
              <w:spacing w:line="20" w:lineRule="atLeast"/>
              <w:ind w:left="720"/>
              <w:rPr>
                <w:b/>
                <w:bCs/>
                <w:sz w:val="20"/>
                <w:szCs w:val="20"/>
              </w:rPr>
            </w:pPr>
          </w:p>
        </w:tc>
        <w:tc>
          <w:tcPr>
            <w:tcW w:w="454" w:type="dxa"/>
            <w:tcBorders>
              <w:top w:val="single" w:sz="4" w:space="0" w:color="auto"/>
              <w:bottom w:val="single" w:sz="4" w:space="0" w:color="auto"/>
            </w:tcBorders>
            <w:vAlign w:val="center"/>
          </w:tcPr>
          <w:p w14:paraId="74E267A8" w14:textId="007F52BE" w:rsidR="00C512F9" w:rsidRPr="00C512F9" w:rsidRDefault="003877C7" w:rsidP="00842BBB">
            <w:pPr>
              <w:spacing w:line="20" w:lineRule="atLeast"/>
              <w:rPr>
                <w:b/>
                <w:bCs/>
                <w:sz w:val="20"/>
                <w:szCs w:val="20"/>
              </w:rPr>
            </w:pPr>
            <w:r>
              <w:rPr>
                <w:b/>
                <w:bCs/>
                <w:sz w:val="20"/>
                <w:szCs w:val="20"/>
              </w:rPr>
              <w:t>x</w:t>
            </w:r>
          </w:p>
        </w:tc>
      </w:tr>
      <w:tr w:rsidR="00C512F9" w:rsidRPr="00C512F9" w14:paraId="43CCB8D3" w14:textId="77777777" w:rsidTr="00842BBB">
        <w:trPr>
          <w:trHeight w:val="539"/>
        </w:trPr>
        <w:tc>
          <w:tcPr>
            <w:tcW w:w="9148" w:type="dxa"/>
            <w:tcBorders>
              <w:top w:val="nil"/>
              <w:left w:val="nil"/>
              <w:bottom w:val="nil"/>
            </w:tcBorders>
            <w:vAlign w:val="center"/>
          </w:tcPr>
          <w:p w14:paraId="655C3F8B" w14:textId="77777777" w:rsidR="00C512F9" w:rsidRPr="00C512F9" w:rsidRDefault="00C512F9" w:rsidP="00842BBB">
            <w:pPr>
              <w:spacing w:line="20" w:lineRule="atLeast"/>
              <w:rPr>
                <w:b/>
                <w:sz w:val="20"/>
                <w:szCs w:val="20"/>
              </w:rPr>
            </w:pPr>
            <w:r w:rsidRPr="00C512F9">
              <w:rPr>
                <w:b/>
                <w:sz w:val="20"/>
                <w:szCs w:val="20"/>
              </w:rPr>
              <w:t xml:space="preserve">6.  I note and understand that the submission of this cover sheet with </w:t>
            </w:r>
            <w:proofErr w:type="gramStart"/>
            <w:r w:rsidRPr="00C512F9">
              <w:rPr>
                <w:b/>
                <w:sz w:val="20"/>
                <w:szCs w:val="20"/>
              </w:rPr>
              <w:t>my</w:t>
            </w:r>
            <w:proofErr w:type="gramEnd"/>
          </w:p>
          <w:p w14:paraId="1EFE99F4" w14:textId="77777777" w:rsidR="00C512F9" w:rsidRPr="00C512F9" w:rsidRDefault="00C512F9" w:rsidP="00842BBB">
            <w:pPr>
              <w:spacing w:line="20" w:lineRule="atLeast"/>
              <w:rPr>
                <w:b/>
                <w:bCs/>
                <w:sz w:val="20"/>
                <w:szCs w:val="20"/>
              </w:rPr>
            </w:pPr>
            <w:r w:rsidRPr="00C512F9">
              <w:rPr>
                <w:b/>
                <w:sz w:val="20"/>
                <w:szCs w:val="20"/>
              </w:rPr>
              <w:t>assignment is deemed to be equivalent to my signature.</w:t>
            </w:r>
          </w:p>
        </w:tc>
        <w:tc>
          <w:tcPr>
            <w:tcW w:w="454" w:type="dxa"/>
            <w:tcBorders>
              <w:top w:val="single" w:sz="4" w:space="0" w:color="auto"/>
            </w:tcBorders>
            <w:vAlign w:val="center"/>
          </w:tcPr>
          <w:p w14:paraId="2864F30B" w14:textId="2F95F8C0" w:rsidR="00C512F9" w:rsidRPr="00C512F9" w:rsidRDefault="003877C7" w:rsidP="00842BBB">
            <w:pPr>
              <w:spacing w:line="20" w:lineRule="atLeast"/>
              <w:rPr>
                <w:b/>
                <w:bCs/>
                <w:sz w:val="20"/>
                <w:szCs w:val="20"/>
              </w:rPr>
            </w:pPr>
            <w:r>
              <w:rPr>
                <w:b/>
                <w:bCs/>
                <w:sz w:val="20"/>
                <w:szCs w:val="20"/>
              </w:rPr>
              <w:t>x</w:t>
            </w:r>
          </w:p>
        </w:tc>
      </w:tr>
    </w:tbl>
    <w:p w14:paraId="79D90AD9" w14:textId="1384133D" w:rsidR="00C512F9" w:rsidRDefault="00C512F9" w:rsidP="006D564B">
      <w:pPr>
        <w:autoSpaceDE w:val="0"/>
        <w:autoSpaceDN w:val="0"/>
        <w:adjustRightInd w:val="0"/>
        <w:spacing w:after="0" w:line="240" w:lineRule="auto"/>
        <w:rPr>
          <w:rFonts w:asciiTheme="minorBidi" w:hAnsiTheme="minorBidi"/>
          <w:b/>
          <w:bCs/>
          <w:sz w:val="20"/>
          <w:szCs w:val="20"/>
        </w:rPr>
      </w:pPr>
    </w:p>
    <w:p w14:paraId="54E09956" w14:textId="77777777" w:rsidR="003C19F8" w:rsidRDefault="003C19F8" w:rsidP="003C19F8">
      <w:pPr>
        <w:autoSpaceDE w:val="0"/>
        <w:autoSpaceDN w:val="0"/>
        <w:adjustRightInd w:val="0"/>
        <w:spacing w:after="0" w:line="240" w:lineRule="auto"/>
        <w:rPr>
          <w:rFonts w:asciiTheme="minorBidi" w:hAnsiTheme="minorBidi"/>
          <w:b/>
          <w:bCs/>
          <w:sz w:val="20"/>
          <w:szCs w:val="20"/>
        </w:rPr>
      </w:pPr>
    </w:p>
    <w:p w14:paraId="6CB9603C" w14:textId="16E7AFE0" w:rsidR="00A13C81" w:rsidRPr="003C19F8" w:rsidRDefault="003877C7" w:rsidP="003C19F8">
      <w:pPr>
        <w:autoSpaceDE w:val="0"/>
        <w:autoSpaceDN w:val="0"/>
        <w:adjustRightInd w:val="0"/>
        <w:spacing w:after="0" w:line="240" w:lineRule="auto"/>
        <w:rPr>
          <w:sz w:val="20"/>
          <w:szCs w:val="20"/>
        </w:rPr>
      </w:pPr>
      <w:r>
        <w:rPr>
          <w:sz w:val="20"/>
          <w:szCs w:val="20"/>
        </w:rPr>
        <w:lastRenderedPageBreak/>
        <w:t xml:space="preserve">Word count is:  </w:t>
      </w:r>
      <w:r w:rsidR="009218D9">
        <w:rPr>
          <w:sz w:val="20"/>
          <w:szCs w:val="20"/>
        </w:rPr>
        <w:t>39</w:t>
      </w:r>
      <w:r w:rsidR="00186CEA">
        <w:rPr>
          <w:sz w:val="20"/>
          <w:szCs w:val="20"/>
        </w:rPr>
        <w:t>34</w:t>
      </w:r>
      <w:r w:rsidR="007C29CD">
        <w:rPr>
          <w:sz w:val="20"/>
          <w:szCs w:val="20"/>
        </w:rPr>
        <w:t xml:space="preserve"> </w:t>
      </w:r>
      <w:r>
        <w:rPr>
          <w:sz w:val="20"/>
          <w:szCs w:val="20"/>
        </w:rPr>
        <w:t>words</w:t>
      </w:r>
    </w:p>
    <w:sdt>
      <w:sdtPr>
        <w:rPr>
          <w:rFonts w:asciiTheme="minorBidi" w:hAnsiTheme="minorBidi"/>
        </w:rPr>
        <w:id w:val="1234440351"/>
        <w:docPartObj>
          <w:docPartGallery w:val="Cover Pages"/>
          <w:docPartUnique/>
        </w:docPartObj>
      </w:sdtPr>
      <w:sdtEndPr/>
      <w:sdtContent>
        <w:p w14:paraId="329D626A" w14:textId="23D5BF5E" w:rsidR="007C29CD" w:rsidRPr="003C19F8" w:rsidRDefault="007C29CD" w:rsidP="003C19F8">
          <w:pPr>
            <w:spacing w:line="480" w:lineRule="auto"/>
            <w:rPr>
              <w:rFonts w:asciiTheme="minorBidi" w:hAnsiTheme="minorBidi"/>
            </w:rPr>
          </w:pPr>
        </w:p>
        <w:tbl>
          <w:tblPr>
            <w:tblW w:w="5000" w:type="pct"/>
            <w:jc w:val="center"/>
            <w:tblLook w:val="04A0" w:firstRow="1" w:lastRow="0" w:firstColumn="1" w:lastColumn="0" w:noHBand="0" w:noVBand="1"/>
          </w:tblPr>
          <w:tblGrid>
            <w:gridCol w:w="9360"/>
          </w:tblGrid>
          <w:tr w:rsidR="006D1D27" w:rsidRPr="003C19F8" w14:paraId="6BB6E0D1" w14:textId="77777777" w:rsidTr="00842BBB">
            <w:trPr>
              <w:trHeight w:val="2880"/>
              <w:jc w:val="center"/>
            </w:trPr>
            <w:tc>
              <w:tcPr>
                <w:tcW w:w="5000" w:type="pct"/>
              </w:tcPr>
              <w:sdt>
                <w:sdtPr>
                  <w:rPr>
                    <w:rFonts w:asciiTheme="minorBidi" w:eastAsiaTheme="majorEastAsia" w:hAnsiTheme="minorBidi"/>
                    <w:caps/>
                    <w:lang w:val="en-GB" w:eastAsia="en-US"/>
                  </w:rPr>
                  <w:id w:val="-1957088527"/>
                  <w:docPartObj>
                    <w:docPartGallery w:val="Cover Pages"/>
                    <w:docPartUnique/>
                  </w:docPartObj>
                </w:sdtPr>
                <w:sdtEndPr>
                  <w:rPr>
                    <w:rFonts w:eastAsiaTheme="minorHAnsi"/>
                    <w:caps w:val="0"/>
                    <w:lang w:val="en-US"/>
                  </w:rPr>
                </w:sdtEndPr>
                <w:sdtContent>
                  <w:p w14:paraId="151EF842" w14:textId="77777777" w:rsidR="00626C90" w:rsidRPr="00FC16C7" w:rsidRDefault="00626C90" w:rsidP="00626C90">
                    <w:pPr>
                      <w:pStyle w:val="NoSpacing"/>
                      <w:spacing w:line="480" w:lineRule="auto"/>
                      <w:rPr>
                        <w:rFonts w:asciiTheme="minorBidi" w:hAnsiTheme="minorBidi"/>
                      </w:rPr>
                    </w:pPr>
                  </w:p>
                  <w:sdt>
                    <w:sdtPr>
                      <w:rPr>
                        <w:rFonts w:asciiTheme="minorBidi" w:eastAsiaTheme="minorEastAsia" w:hAnsiTheme="minorBidi"/>
                        <w:lang w:val="en-GB" w:eastAsia="zh-CN"/>
                      </w:rPr>
                      <w:id w:val="1637836325"/>
                      <w:docPartObj>
                        <w:docPartGallery w:val="Cover Pages"/>
                        <w:docPartUnique/>
                      </w:docPartObj>
                    </w:sdtPr>
                    <w:sdtEndPr>
                      <w:rPr>
                        <w:rFonts w:eastAsiaTheme="majorEastAsia"/>
                        <w:caps/>
                        <w:lang w:val="en-US"/>
                      </w:rPr>
                    </w:sdtEndPr>
                    <w:sdtContent>
                      <w:p w14:paraId="08A0005B" w14:textId="3244AFA3" w:rsidR="00626C90" w:rsidRPr="00FC16C7" w:rsidRDefault="00626C90" w:rsidP="00626C90">
                        <w:pPr>
                          <w:rPr>
                            <w:rFonts w:asciiTheme="minorBidi" w:hAnsiTheme="minorBidi"/>
                            <w:lang w:val="en-GB"/>
                          </w:rPr>
                        </w:pPr>
                      </w:p>
                      <w:p w14:paraId="7D3A46FC" w14:textId="77777777" w:rsidR="00626C90" w:rsidRPr="00FC16C7" w:rsidRDefault="00626C90" w:rsidP="00626C90">
                        <w:pPr>
                          <w:rPr>
                            <w:rFonts w:asciiTheme="minorBidi" w:hAnsiTheme="minorBidi"/>
                          </w:rPr>
                        </w:pPr>
                      </w:p>
                      <w:tbl>
                        <w:tblPr>
                          <w:tblpPr w:leftFromText="187" w:rightFromText="187" w:bottomFromText="200" w:horzAnchor="margin" w:tblpXSpec="center" w:tblpYSpec="bottom"/>
                          <w:tblW w:w="5000" w:type="pct"/>
                          <w:tblLook w:val="04A0" w:firstRow="1" w:lastRow="0" w:firstColumn="1" w:lastColumn="0" w:noHBand="0" w:noVBand="1"/>
                        </w:tblPr>
                        <w:tblGrid>
                          <w:gridCol w:w="9144"/>
                        </w:tblGrid>
                        <w:tr w:rsidR="00626C90" w:rsidRPr="00FC16C7" w14:paraId="15A9CF3E" w14:textId="77777777" w:rsidTr="00626C90">
                          <w:tc>
                            <w:tcPr>
                              <w:tcW w:w="5000" w:type="pct"/>
                            </w:tcPr>
                            <w:p w14:paraId="3FC22247" w14:textId="4DC51E5F" w:rsidR="00626C90" w:rsidRPr="00FC16C7" w:rsidRDefault="00ED58C3" w:rsidP="00626C90">
                              <w:pPr>
                                <w:pStyle w:val="NoSpacing"/>
                                <w:spacing w:line="276" w:lineRule="auto"/>
                                <w:rPr>
                                  <w:rFonts w:asciiTheme="minorBidi" w:hAnsiTheme="minorBidi"/>
                                </w:rPr>
                              </w:pPr>
                            </w:p>
                          </w:tc>
                        </w:tr>
                      </w:tbl>
                    </w:sdtContent>
                  </w:sdt>
                  <w:sdt>
                    <w:sdtPr>
                      <w:rPr>
                        <w:rFonts w:ascii="Times New Roman" w:eastAsiaTheme="minorHAnsi" w:hAnsi="Times New Roman"/>
                        <w:color w:val="4472C4" w:themeColor="accent1"/>
                        <w:sz w:val="24"/>
                        <w:lang w:eastAsia="en-US"/>
                      </w:rPr>
                      <w:id w:val="-934197999"/>
                      <w:docPartObj>
                        <w:docPartGallery w:val="Cover Pages"/>
                        <w:docPartUnique/>
                      </w:docPartObj>
                    </w:sdtPr>
                    <w:sdtEndPr>
                      <w:rPr>
                        <w:rFonts w:asciiTheme="minorHAnsi" w:hAnsiTheme="minorHAnsi" w:cs="Times New Roman"/>
                        <w:b/>
                        <w:color w:val="000000" w:themeColor="text1"/>
                        <w:sz w:val="22"/>
                      </w:rPr>
                    </w:sdtEndPr>
                    <w:sdtContent>
                      <w:p w14:paraId="71B08686" w14:textId="332D829F" w:rsidR="00097CC6" w:rsidRPr="00FF4712" w:rsidRDefault="00097CC6" w:rsidP="00FF4712">
                        <w:pPr>
                          <w:pStyle w:val="NoSpacing"/>
                          <w:spacing w:before="1540" w:after="240"/>
                          <w:rPr>
                            <w:rFonts w:ascii="Times New Roman" w:eastAsiaTheme="majorEastAsia" w:hAnsi="Times New Roman" w:cs="Times New Roman"/>
                            <w:b/>
                            <w:caps/>
                            <w:color w:val="000000" w:themeColor="text1"/>
                            <w:sz w:val="72"/>
                            <w:szCs w:val="80"/>
                          </w:rPr>
                        </w:pPr>
                        <w:r>
                          <w:rPr>
                            <w:noProof/>
                            <w:color w:val="4472C4" w:themeColor="accent1"/>
                          </w:rPr>
                          <mc:AlternateContent>
                            <mc:Choice Requires="wps">
                              <w:drawing>
                                <wp:anchor distT="0" distB="0" distL="114300" distR="114300" simplePos="0" relativeHeight="251659264" behindDoc="0" locked="0" layoutInCell="1" allowOverlap="1" wp14:anchorId="265A5D16" wp14:editId="73B1E59D">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26F490" w14:textId="77777777" w:rsidR="00097CC6" w:rsidRDefault="00097CC6" w:rsidP="00097CC6">
                                              <w:pPr>
                                                <w:pStyle w:val="NoSpacing"/>
                                                <w:jc w:val="center"/>
                                                <w:rPr>
                                                  <w:color w:val="4472C4" w:themeColor="accent1"/>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265A5D16" id="_x0000_t202" coordsize="21600,21600" o:spt="202" path="m,l,21600r21600,l21600,xe">
                                  <v:stroke joinstyle="miter"/>
                                  <v:path gradientshapeok="t" o:connecttype="rect"/>
                                </v:shapetype>
                                <v:shape id="Text Box 142" o:spid="_x0000_s1026" type="#_x0000_t202" style="position:absolute;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p w14:paraId="1A26F490" w14:textId="77777777" w:rsidR="00097CC6" w:rsidRDefault="00097CC6" w:rsidP="00097CC6">
                                        <w:pPr>
                                          <w:pStyle w:val="NoSpacing"/>
                                          <w:jc w:val="center"/>
                                          <w:rPr>
                                            <w:color w:val="4472C4" w:themeColor="accent1"/>
                                          </w:rPr>
                                        </w:pPr>
                                      </w:p>
                                    </w:txbxContent>
                                  </v:textbox>
                                  <w10:wrap anchorx="margin" anchory="page"/>
                                </v:shape>
                              </w:pict>
                            </mc:Fallback>
                          </mc:AlternateContent>
                        </w:r>
                      </w:p>
                      <w:p w14:paraId="1C25BCBE" w14:textId="77777777" w:rsidR="00097CC6" w:rsidRDefault="00097CC6" w:rsidP="00097CC6">
                        <w:pPr>
                          <w:rPr>
                            <w:rFonts w:eastAsiaTheme="majorEastAsia" w:cs="Times New Roman"/>
                            <w:b/>
                            <w:color w:val="000000" w:themeColor="text1"/>
                            <w:szCs w:val="32"/>
                          </w:rPr>
                        </w:pPr>
                        <w:r>
                          <w:rPr>
                            <w:rFonts w:cs="Times New Roman"/>
                            <w:b/>
                            <w:color w:val="000000" w:themeColor="text1"/>
                          </w:rPr>
                          <w:br w:type="page"/>
                        </w:r>
                      </w:p>
                    </w:sdtContent>
                  </w:sdt>
                  <w:sdt>
                    <w:sdtPr>
                      <w:rPr>
                        <w:rFonts w:asciiTheme="minorHAnsi" w:eastAsiaTheme="minorHAnsi" w:hAnsiTheme="minorHAnsi" w:cstheme="minorBidi"/>
                        <w:b w:val="0"/>
                        <w:sz w:val="24"/>
                        <w:szCs w:val="22"/>
                        <w:lang w:val="en-US"/>
                      </w:rPr>
                      <w:id w:val="1723874856"/>
                      <w:docPartObj>
                        <w:docPartGallery w:val="Table of Contents"/>
                        <w:docPartUnique/>
                      </w:docPartObj>
                    </w:sdtPr>
                    <w:sdtEndPr>
                      <w:rPr>
                        <w:bCs/>
                        <w:noProof/>
                        <w:sz w:val="22"/>
                      </w:rPr>
                    </w:sdtEndPr>
                    <w:sdtContent>
                      <w:p w14:paraId="6EC67473" w14:textId="77777777" w:rsidR="00097CC6" w:rsidRPr="002E6029" w:rsidRDefault="00097CC6" w:rsidP="00097CC6">
                        <w:pPr>
                          <w:pStyle w:val="TOCHeading"/>
                          <w:jc w:val="center"/>
                          <w:rPr>
                            <w:b w:val="0"/>
                            <w:color w:val="000000" w:themeColor="text1"/>
                            <w:sz w:val="24"/>
                          </w:rPr>
                        </w:pPr>
                        <w:r w:rsidRPr="002E6029">
                          <w:rPr>
                            <w:color w:val="000000" w:themeColor="text1"/>
                            <w:sz w:val="24"/>
                          </w:rPr>
                          <w:t>Table of Contents</w:t>
                        </w:r>
                      </w:p>
                      <w:p w14:paraId="4E6E5F28" w14:textId="77777777" w:rsidR="00097CC6" w:rsidRDefault="00097CC6" w:rsidP="00097CC6">
                        <w:pPr>
                          <w:pStyle w:val="TOC1"/>
                          <w:tabs>
                            <w:tab w:val="right" w:leader="dot" w:pos="9350"/>
                          </w:tabs>
                          <w:rPr>
                            <w:rFonts w:asciiTheme="minorHAnsi" w:hAnsiTheme="minorHAnsi"/>
                            <w:noProof/>
                            <w:sz w:val="22"/>
                          </w:rPr>
                        </w:pPr>
                        <w:r>
                          <w:fldChar w:fldCharType="begin"/>
                        </w:r>
                        <w:r>
                          <w:instrText xml:space="preserve"> TOC \o "1-3" \h \z \u </w:instrText>
                        </w:r>
                        <w:r>
                          <w:fldChar w:fldCharType="separate"/>
                        </w:r>
                        <w:hyperlink w:anchor="_Toc35645824" w:history="1">
                          <w:r w:rsidRPr="00B03500">
                            <w:rPr>
                              <w:rStyle w:val="Hyperlink"/>
                              <w:noProof/>
                            </w:rPr>
                            <w:t>Introduction</w:t>
                          </w:r>
                          <w:r>
                            <w:rPr>
                              <w:noProof/>
                              <w:webHidden/>
                            </w:rPr>
                            <w:tab/>
                          </w:r>
                          <w:r>
                            <w:rPr>
                              <w:noProof/>
                              <w:webHidden/>
                            </w:rPr>
                            <w:fldChar w:fldCharType="begin"/>
                          </w:r>
                          <w:r>
                            <w:rPr>
                              <w:noProof/>
                              <w:webHidden/>
                            </w:rPr>
                            <w:instrText xml:space="preserve"> PAGEREF _Toc35645824 \h </w:instrText>
                          </w:r>
                          <w:r>
                            <w:rPr>
                              <w:noProof/>
                              <w:webHidden/>
                            </w:rPr>
                          </w:r>
                          <w:r>
                            <w:rPr>
                              <w:noProof/>
                              <w:webHidden/>
                            </w:rPr>
                            <w:fldChar w:fldCharType="separate"/>
                          </w:r>
                          <w:r>
                            <w:rPr>
                              <w:noProof/>
                              <w:webHidden/>
                            </w:rPr>
                            <w:t>3</w:t>
                          </w:r>
                          <w:r>
                            <w:rPr>
                              <w:noProof/>
                              <w:webHidden/>
                            </w:rPr>
                            <w:fldChar w:fldCharType="end"/>
                          </w:r>
                        </w:hyperlink>
                      </w:p>
                      <w:p w14:paraId="7B455346" w14:textId="77777777" w:rsidR="00097CC6" w:rsidRDefault="00ED58C3" w:rsidP="00097CC6">
                        <w:pPr>
                          <w:pStyle w:val="TOC1"/>
                          <w:tabs>
                            <w:tab w:val="right" w:leader="dot" w:pos="9350"/>
                          </w:tabs>
                          <w:rPr>
                            <w:rFonts w:asciiTheme="minorHAnsi" w:hAnsiTheme="minorHAnsi"/>
                            <w:noProof/>
                            <w:sz w:val="22"/>
                          </w:rPr>
                        </w:pPr>
                        <w:hyperlink w:anchor="_Toc35645825" w:history="1">
                          <w:r w:rsidR="00097CC6" w:rsidRPr="00B03500">
                            <w:rPr>
                              <w:rStyle w:val="Hyperlink"/>
                              <w:noProof/>
                            </w:rPr>
                            <w:t>An analysis of the meaning, principal dimensions and components of employee engagement and how it differs, if at all, from related concepts such as organisational commitment, employer involvement, job satisfaction</w:t>
                          </w:r>
                          <w:r w:rsidR="00097CC6">
                            <w:rPr>
                              <w:noProof/>
                              <w:webHidden/>
                            </w:rPr>
                            <w:tab/>
                          </w:r>
                          <w:r w:rsidR="00097CC6">
                            <w:rPr>
                              <w:noProof/>
                              <w:webHidden/>
                            </w:rPr>
                            <w:fldChar w:fldCharType="begin"/>
                          </w:r>
                          <w:r w:rsidR="00097CC6">
                            <w:rPr>
                              <w:noProof/>
                              <w:webHidden/>
                            </w:rPr>
                            <w:instrText xml:space="preserve"> PAGEREF _Toc35645825 \h </w:instrText>
                          </w:r>
                          <w:r w:rsidR="00097CC6">
                            <w:rPr>
                              <w:noProof/>
                              <w:webHidden/>
                            </w:rPr>
                          </w:r>
                          <w:r w:rsidR="00097CC6">
                            <w:rPr>
                              <w:noProof/>
                              <w:webHidden/>
                            </w:rPr>
                            <w:fldChar w:fldCharType="separate"/>
                          </w:r>
                          <w:r w:rsidR="00097CC6">
                            <w:rPr>
                              <w:noProof/>
                              <w:webHidden/>
                            </w:rPr>
                            <w:t>3</w:t>
                          </w:r>
                          <w:r w:rsidR="00097CC6">
                            <w:rPr>
                              <w:noProof/>
                              <w:webHidden/>
                            </w:rPr>
                            <w:fldChar w:fldCharType="end"/>
                          </w:r>
                        </w:hyperlink>
                      </w:p>
                      <w:p w14:paraId="2D98AB27" w14:textId="77777777" w:rsidR="00097CC6" w:rsidRDefault="00ED58C3" w:rsidP="00097CC6">
                        <w:pPr>
                          <w:pStyle w:val="TOC1"/>
                          <w:tabs>
                            <w:tab w:val="right" w:leader="dot" w:pos="9350"/>
                          </w:tabs>
                          <w:rPr>
                            <w:rFonts w:asciiTheme="minorHAnsi" w:hAnsiTheme="minorHAnsi"/>
                            <w:noProof/>
                            <w:sz w:val="22"/>
                          </w:rPr>
                        </w:pPr>
                        <w:hyperlink w:anchor="_Toc35645826" w:history="1">
                          <w:r w:rsidR="00097CC6" w:rsidRPr="00B03500">
                            <w:rPr>
                              <w:rStyle w:val="Hyperlink"/>
                              <w:noProof/>
                            </w:rPr>
                            <w:t>The Concept of Employee Engagement for Employee and Employer</w:t>
                          </w:r>
                          <w:r w:rsidR="00097CC6">
                            <w:rPr>
                              <w:noProof/>
                              <w:webHidden/>
                            </w:rPr>
                            <w:tab/>
                          </w:r>
                          <w:r w:rsidR="00097CC6">
                            <w:rPr>
                              <w:noProof/>
                              <w:webHidden/>
                            </w:rPr>
                            <w:fldChar w:fldCharType="begin"/>
                          </w:r>
                          <w:r w:rsidR="00097CC6">
                            <w:rPr>
                              <w:noProof/>
                              <w:webHidden/>
                            </w:rPr>
                            <w:instrText xml:space="preserve"> PAGEREF _Toc35645826 \h </w:instrText>
                          </w:r>
                          <w:r w:rsidR="00097CC6">
                            <w:rPr>
                              <w:noProof/>
                              <w:webHidden/>
                            </w:rPr>
                          </w:r>
                          <w:r w:rsidR="00097CC6">
                            <w:rPr>
                              <w:noProof/>
                              <w:webHidden/>
                            </w:rPr>
                            <w:fldChar w:fldCharType="separate"/>
                          </w:r>
                          <w:r w:rsidR="00097CC6">
                            <w:rPr>
                              <w:noProof/>
                              <w:webHidden/>
                            </w:rPr>
                            <w:t>3</w:t>
                          </w:r>
                          <w:r w:rsidR="00097CC6">
                            <w:rPr>
                              <w:noProof/>
                              <w:webHidden/>
                            </w:rPr>
                            <w:fldChar w:fldCharType="end"/>
                          </w:r>
                        </w:hyperlink>
                      </w:p>
                      <w:p w14:paraId="54EAC16C" w14:textId="77777777" w:rsidR="00097CC6" w:rsidRDefault="00ED58C3" w:rsidP="00097CC6">
                        <w:pPr>
                          <w:pStyle w:val="TOC1"/>
                          <w:tabs>
                            <w:tab w:val="right" w:leader="dot" w:pos="9350"/>
                          </w:tabs>
                          <w:rPr>
                            <w:rFonts w:asciiTheme="minorHAnsi" w:hAnsiTheme="minorHAnsi"/>
                            <w:noProof/>
                            <w:sz w:val="22"/>
                          </w:rPr>
                        </w:pPr>
                        <w:hyperlink w:anchor="_Toc35645827" w:history="1">
                          <w:r w:rsidR="00097CC6" w:rsidRPr="00B03500">
                            <w:rPr>
                              <w:rStyle w:val="Hyperlink"/>
                              <w:noProof/>
                            </w:rPr>
                            <w:t>Employee Engagement Components</w:t>
                          </w:r>
                          <w:r w:rsidR="00097CC6">
                            <w:rPr>
                              <w:noProof/>
                              <w:webHidden/>
                            </w:rPr>
                            <w:tab/>
                          </w:r>
                          <w:r w:rsidR="00097CC6">
                            <w:rPr>
                              <w:noProof/>
                              <w:webHidden/>
                            </w:rPr>
                            <w:fldChar w:fldCharType="begin"/>
                          </w:r>
                          <w:r w:rsidR="00097CC6">
                            <w:rPr>
                              <w:noProof/>
                              <w:webHidden/>
                            </w:rPr>
                            <w:instrText xml:space="preserve"> PAGEREF _Toc35645827 \h </w:instrText>
                          </w:r>
                          <w:r w:rsidR="00097CC6">
                            <w:rPr>
                              <w:noProof/>
                              <w:webHidden/>
                            </w:rPr>
                          </w:r>
                          <w:r w:rsidR="00097CC6">
                            <w:rPr>
                              <w:noProof/>
                              <w:webHidden/>
                            </w:rPr>
                            <w:fldChar w:fldCharType="separate"/>
                          </w:r>
                          <w:r w:rsidR="00097CC6">
                            <w:rPr>
                              <w:noProof/>
                              <w:webHidden/>
                            </w:rPr>
                            <w:t>3</w:t>
                          </w:r>
                          <w:r w:rsidR="00097CC6">
                            <w:rPr>
                              <w:noProof/>
                              <w:webHidden/>
                            </w:rPr>
                            <w:fldChar w:fldCharType="end"/>
                          </w:r>
                        </w:hyperlink>
                      </w:p>
                      <w:p w14:paraId="4D0B264C" w14:textId="77777777" w:rsidR="00097CC6" w:rsidRDefault="00ED58C3" w:rsidP="00097CC6">
                        <w:pPr>
                          <w:pStyle w:val="TOC1"/>
                          <w:tabs>
                            <w:tab w:val="right" w:leader="dot" w:pos="9350"/>
                          </w:tabs>
                          <w:rPr>
                            <w:rFonts w:asciiTheme="minorHAnsi" w:hAnsiTheme="minorHAnsi"/>
                            <w:noProof/>
                            <w:sz w:val="22"/>
                          </w:rPr>
                        </w:pPr>
                        <w:hyperlink w:anchor="_Toc35645828" w:history="1">
                          <w:r w:rsidR="00097CC6" w:rsidRPr="00B03500">
                            <w:rPr>
                              <w:rStyle w:val="Hyperlink"/>
                              <w:noProof/>
                            </w:rPr>
                            <w:t>The Psychological Contract</w:t>
                          </w:r>
                          <w:r w:rsidR="00097CC6">
                            <w:rPr>
                              <w:noProof/>
                              <w:webHidden/>
                            </w:rPr>
                            <w:tab/>
                          </w:r>
                          <w:r w:rsidR="00097CC6">
                            <w:rPr>
                              <w:noProof/>
                              <w:webHidden/>
                            </w:rPr>
                            <w:fldChar w:fldCharType="begin"/>
                          </w:r>
                          <w:r w:rsidR="00097CC6">
                            <w:rPr>
                              <w:noProof/>
                              <w:webHidden/>
                            </w:rPr>
                            <w:instrText xml:space="preserve"> PAGEREF _Toc35645828 \h </w:instrText>
                          </w:r>
                          <w:r w:rsidR="00097CC6">
                            <w:rPr>
                              <w:noProof/>
                              <w:webHidden/>
                            </w:rPr>
                          </w:r>
                          <w:r w:rsidR="00097CC6">
                            <w:rPr>
                              <w:noProof/>
                              <w:webHidden/>
                            </w:rPr>
                            <w:fldChar w:fldCharType="separate"/>
                          </w:r>
                          <w:r w:rsidR="00097CC6">
                            <w:rPr>
                              <w:noProof/>
                              <w:webHidden/>
                            </w:rPr>
                            <w:t>4</w:t>
                          </w:r>
                          <w:r w:rsidR="00097CC6">
                            <w:rPr>
                              <w:noProof/>
                              <w:webHidden/>
                            </w:rPr>
                            <w:fldChar w:fldCharType="end"/>
                          </w:r>
                        </w:hyperlink>
                      </w:p>
                      <w:p w14:paraId="3FC91830" w14:textId="77777777" w:rsidR="00097CC6" w:rsidRDefault="00ED58C3" w:rsidP="00097CC6">
                        <w:pPr>
                          <w:pStyle w:val="TOC1"/>
                          <w:tabs>
                            <w:tab w:val="right" w:leader="dot" w:pos="9350"/>
                          </w:tabs>
                          <w:rPr>
                            <w:rFonts w:asciiTheme="minorHAnsi" w:hAnsiTheme="minorHAnsi"/>
                            <w:noProof/>
                            <w:sz w:val="22"/>
                          </w:rPr>
                        </w:pPr>
                        <w:hyperlink w:anchor="_Toc35645829" w:history="1">
                          <w:r w:rsidR="00097CC6" w:rsidRPr="00B03500">
                            <w:rPr>
                              <w:rStyle w:val="Hyperlink"/>
                              <w:noProof/>
                            </w:rPr>
                            <w:t>Alignment</w:t>
                          </w:r>
                          <w:r w:rsidR="00097CC6">
                            <w:rPr>
                              <w:noProof/>
                              <w:webHidden/>
                            </w:rPr>
                            <w:tab/>
                          </w:r>
                          <w:r w:rsidR="00097CC6">
                            <w:rPr>
                              <w:noProof/>
                              <w:webHidden/>
                            </w:rPr>
                            <w:fldChar w:fldCharType="begin"/>
                          </w:r>
                          <w:r w:rsidR="00097CC6">
                            <w:rPr>
                              <w:noProof/>
                              <w:webHidden/>
                            </w:rPr>
                            <w:instrText xml:space="preserve"> PAGEREF _Toc35645829 \h </w:instrText>
                          </w:r>
                          <w:r w:rsidR="00097CC6">
                            <w:rPr>
                              <w:noProof/>
                              <w:webHidden/>
                            </w:rPr>
                          </w:r>
                          <w:r w:rsidR="00097CC6">
                            <w:rPr>
                              <w:noProof/>
                              <w:webHidden/>
                            </w:rPr>
                            <w:fldChar w:fldCharType="separate"/>
                          </w:r>
                          <w:r w:rsidR="00097CC6">
                            <w:rPr>
                              <w:noProof/>
                              <w:webHidden/>
                            </w:rPr>
                            <w:t>4</w:t>
                          </w:r>
                          <w:r w:rsidR="00097CC6">
                            <w:rPr>
                              <w:noProof/>
                              <w:webHidden/>
                            </w:rPr>
                            <w:fldChar w:fldCharType="end"/>
                          </w:r>
                        </w:hyperlink>
                      </w:p>
                      <w:p w14:paraId="20B1B677" w14:textId="77777777" w:rsidR="00097CC6" w:rsidRDefault="00ED58C3" w:rsidP="00097CC6">
                        <w:pPr>
                          <w:pStyle w:val="TOC1"/>
                          <w:tabs>
                            <w:tab w:val="right" w:leader="dot" w:pos="9350"/>
                          </w:tabs>
                          <w:rPr>
                            <w:rFonts w:asciiTheme="minorHAnsi" w:hAnsiTheme="minorHAnsi"/>
                            <w:noProof/>
                            <w:sz w:val="22"/>
                          </w:rPr>
                        </w:pPr>
                        <w:hyperlink w:anchor="_Toc35645830" w:history="1">
                          <w:r w:rsidR="00097CC6" w:rsidRPr="00B03500">
                            <w:rPr>
                              <w:rStyle w:val="Hyperlink"/>
                              <w:noProof/>
                            </w:rPr>
                            <w:t>Trust</w:t>
                          </w:r>
                          <w:r w:rsidR="00097CC6">
                            <w:rPr>
                              <w:noProof/>
                              <w:webHidden/>
                            </w:rPr>
                            <w:tab/>
                          </w:r>
                          <w:r w:rsidR="00097CC6">
                            <w:rPr>
                              <w:noProof/>
                              <w:webHidden/>
                            </w:rPr>
                            <w:fldChar w:fldCharType="begin"/>
                          </w:r>
                          <w:r w:rsidR="00097CC6">
                            <w:rPr>
                              <w:noProof/>
                              <w:webHidden/>
                            </w:rPr>
                            <w:instrText xml:space="preserve"> PAGEREF _Toc35645830 \h </w:instrText>
                          </w:r>
                          <w:r w:rsidR="00097CC6">
                            <w:rPr>
                              <w:noProof/>
                              <w:webHidden/>
                            </w:rPr>
                          </w:r>
                          <w:r w:rsidR="00097CC6">
                            <w:rPr>
                              <w:noProof/>
                              <w:webHidden/>
                            </w:rPr>
                            <w:fldChar w:fldCharType="separate"/>
                          </w:r>
                          <w:r w:rsidR="00097CC6">
                            <w:rPr>
                              <w:noProof/>
                              <w:webHidden/>
                            </w:rPr>
                            <w:t>4</w:t>
                          </w:r>
                          <w:r w:rsidR="00097CC6">
                            <w:rPr>
                              <w:noProof/>
                              <w:webHidden/>
                            </w:rPr>
                            <w:fldChar w:fldCharType="end"/>
                          </w:r>
                        </w:hyperlink>
                      </w:p>
                      <w:p w14:paraId="5CB1C294" w14:textId="77777777" w:rsidR="00097CC6" w:rsidRDefault="00ED58C3" w:rsidP="00097CC6">
                        <w:pPr>
                          <w:pStyle w:val="TOC1"/>
                          <w:tabs>
                            <w:tab w:val="right" w:leader="dot" w:pos="9350"/>
                          </w:tabs>
                          <w:rPr>
                            <w:rFonts w:asciiTheme="minorHAnsi" w:hAnsiTheme="minorHAnsi"/>
                            <w:noProof/>
                            <w:sz w:val="22"/>
                          </w:rPr>
                        </w:pPr>
                        <w:hyperlink w:anchor="_Toc35645831" w:history="1">
                          <w:r w:rsidR="00097CC6" w:rsidRPr="00B03500">
                            <w:rPr>
                              <w:rStyle w:val="Hyperlink"/>
                              <w:noProof/>
                            </w:rPr>
                            <w:t>Principal Dimensions</w:t>
                          </w:r>
                          <w:r w:rsidR="00097CC6">
                            <w:rPr>
                              <w:noProof/>
                              <w:webHidden/>
                            </w:rPr>
                            <w:tab/>
                          </w:r>
                          <w:r w:rsidR="00097CC6">
                            <w:rPr>
                              <w:noProof/>
                              <w:webHidden/>
                            </w:rPr>
                            <w:fldChar w:fldCharType="begin"/>
                          </w:r>
                          <w:r w:rsidR="00097CC6">
                            <w:rPr>
                              <w:noProof/>
                              <w:webHidden/>
                            </w:rPr>
                            <w:instrText xml:space="preserve"> PAGEREF _Toc35645831 \h </w:instrText>
                          </w:r>
                          <w:r w:rsidR="00097CC6">
                            <w:rPr>
                              <w:noProof/>
                              <w:webHidden/>
                            </w:rPr>
                          </w:r>
                          <w:r w:rsidR="00097CC6">
                            <w:rPr>
                              <w:noProof/>
                              <w:webHidden/>
                            </w:rPr>
                            <w:fldChar w:fldCharType="separate"/>
                          </w:r>
                          <w:r w:rsidR="00097CC6">
                            <w:rPr>
                              <w:noProof/>
                              <w:webHidden/>
                            </w:rPr>
                            <w:t>5</w:t>
                          </w:r>
                          <w:r w:rsidR="00097CC6">
                            <w:rPr>
                              <w:noProof/>
                              <w:webHidden/>
                            </w:rPr>
                            <w:fldChar w:fldCharType="end"/>
                          </w:r>
                        </w:hyperlink>
                      </w:p>
                      <w:p w14:paraId="2A828F51" w14:textId="77777777" w:rsidR="00097CC6" w:rsidRDefault="00ED58C3" w:rsidP="00097CC6">
                        <w:pPr>
                          <w:pStyle w:val="TOC1"/>
                          <w:tabs>
                            <w:tab w:val="right" w:leader="dot" w:pos="9350"/>
                          </w:tabs>
                          <w:rPr>
                            <w:rFonts w:asciiTheme="minorHAnsi" w:hAnsiTheme="minorHAnsi"/>
                            <w:noProof/>
                            <w:sz w:val="22"/>
                          </w:rPr>
                        </w:pPr>
                        <w:hyperlink w:anchor="_Toc35645832" w:history="1">
                          <w:r w:rsidR="00097CC6" w:rsidRPr="00B03500">
                            <w:rPr>
                              <w:rStyle w:val="Hyperlink"/>
                              <w:noProof/>
                            </w:rPr>
                            <w:t>Intellectual Engagement</w:t>
                          </w:r>
                          <w:r w:rsidR="00097CC6">
                            <w:rPr>
                              <w:noProof/>
                              <w:webHidden/>
                            </w:rPr>
                            <w:tab/>
                          </w:r>
                          <w:r w:rsidR="00097CC6">
                            <w:rPr>
                              <w:noProof/>
                              <w:webHidden/>
                            </w:rPr>
                            <w:fldChar w:fldCharType="begin"/>
                          </w:r>
                          <w:r w:rsidR="00097CC6">
                            <w:rPr>
                              <w:noProof/>
                              <w:webHidden/>
                            </w:rPr>
                            <w:instrText xml:space="preserve"> PAGEREF _Toc35645832 \h </w:instrText>
                          </w:r>
                          <w:r w:rsidR="00097CC6">
                            <w:rPr>
                              <w:noProof/>
                              <w:webHidden/>
                            </w:rPr>
                          </w:r>
                          <w:r w:rsidR="00097CC6">
                            <w:rPr>
                              <w:noProof/>
                              <w:webHidden/>
                            </w:rPr>
                            <w:fldChar w:fldCharType="separate"/>
                          </w:r>
                          <w:r w:rsidR="00097CC6">
                            <w:rPr>
                              <w:noProof/>
                              <w:webHidden/>
                            </w:rPr>
                            <w:t>5</w:t>
                          </w:r>
                          <w:r w:rsidR="00097CC6">
                            <w:rPr>
                              <w:noProof/>
                              <w:webHidden/>
                            </w:rPr>
                            <w:fldChar w:fldCharType="end"/>
                          </w:r>
                        </w:hyperlink>
                      </w:p>
                      <w:p w14:paraId="6DC0F150" w14:textId="77777777" w:rsidR="00097CC6" w:rsidRDefault="00ED58C3" w:rsidP="00097CC6">
                        <w:pPr>
                          <w:pStyle w:val="TOC1"/>
                          <w:tabs>
                            <w:tab w:val="right" w:leader="dot" w:pos="9350"/>
                          </w:tabs>
                          <w:rPr>
                            <w:rFonts w:asciiTheme="minorHAnsi" w:hAnsiTheme="minorHAnsi"/>
                            <w:noProof/>
                            <w:sz w:val="22"/>
                          </w:rPr>
                        </w:pPr>
                        <w:hyperlink w:anchor="_Toc35645833" w:history="1">
                          <w:r w:rsidR="00097CC6" w:rsidRPr="00B03500">
                            <w:rPr>
                              <w:rStyle w:val="Hyperlink"/>
                              <w:noProof/>
                            </w:rPr>
                            <w:t>Affective Engagement</w:t>
                          </w:r>
                          <w:r w:rsidR="00097CC6">
                            <w:rPr>
                              <w:noProof/>
                              <w:webHidden/>
                            </w:rPr>
                            <w:tab/>
                          </w:r>
                          <w:r w:rsidR="00097CC6">
                            <w:rPr>
                              <w:noProof/>
                              <w:webHidden/>
                            </w:rPr>
                            <w:fldChar w:fldCharType="begin"/>
                          </w:r>
                          <w:r w:rsidR="00097CC6">
                            <w:rPr>
                              <w:noProof/>
                              <w:webHidden/>
                            </w:rPr>
                            <w:instrText xml:space="preserve"> PAGEREF _Toc35645833 \h </w:instrText>
                          </w:r>
                          <w:r w:rsidR="00097CC6">
                            <w:rPr>
                              <w:noProof/>
                              <w:webHidden/>
                            </w:rPr>
                          </w:r>
                          <w:r w:rsidR="00097CC6">
                            <w:rPr>
                              <w:noProof/>
                              <w:webHidden/>
                            </w:rPr>
                            <w:fldChar w:fldCharType="separate"/>
                          </w:r>
                          <w:r w:rsidR="00097CC6">
                            <w:rPr>
                              <w:noProof/>
                              <w:webHidden/>
                            </w:rPr>
                            <w:t>5</w:t>
                          </w:r>
                          <w:r w:rsidR="00097CC6">
                            <w:rPr>
                              <w:noProof/>
                              <w:webHidden/>
                            </w:rPr>
                            <w:fldChar w:fldCharType="end"/>
                          </w:r>
                        </w:hyperlink>
                      </w:p>
                      <w:p w14:paraId="1DF67091" w14:textId="77777777" w:rsidR="00097CC6" w:rsidRDefault="00ED58C3" w:rsidP="00097CC6">
                        <w:pPr>
                          <w:pStyle w:val="TOC1"/>
                          <w:tabs>
                            <w:tab w:val="right" w:leader="dot" w:pos="9350"/>
                          </w:tabs>
                          <w:rPr>
                            <w:rFonts w:asciiTheme="minorHAnsi" w:hAnsiTheme="minorHAnsi"/>
                            <w:noProof/>
                            <w:sz w:val="22"/>
                          </w:rPr>
                        </w:pPr>
                        <w:hyperlink w:anchor="_Toc35645834" w:history="1">
                          <w:r w:rsidR="00097CC6" w:rsidRPr="00B03500">
                            <w:rPr>
                              <w:rStyle w:val="Hyperlink"/>
                              <w:noProof/>
                            </w:rPr>
                            <w:t>Social Engagement</w:t>
                          </w:r>
                          <w:r w:rsidR="00097CC6">
                            <w:rPr>
                              <w:noProof/>
                              <w:webHidden/>
                            </w:rPr>
                            <w:tab/>
                          </w:r>
                          <w:r w:rsidR="00097CC6">
                            <w:rPr>
                              <w:noProof/>
                              <w:webHidden/>
                            </w:rPr>
                            <w:fldChar w:fldCharType="begin"/>
                          </w:r>
                          <w:r w:rsidR="00097CC6">
                            <w:rPr>
                              <w:noProof/>
                              <w:webHidden/>
                            </w:rPr>
                            <w:instrText xml:space="preserve"> PAGEREF _Toc35645834 \h </w:instrText>
                          </w:r>
                          <w:r w:rsidR="00097CC6">
                            <w:rPr>
                              <w:noProof/>
                              <w:webHidden/>
                            </w:rPr>
                          </w:r>
                          <w:r w:rsidR="00097CC6">
                            <w:rPr>
                              <w:noProof/>
                              <w:webHidden/>
                            </w:rPr>
                            <w:fldChar w:fldCharType="separate"/>
                          </w:r>
                          <w:r w:rsidR="00097CC6">
                            <w:rPr>
                              <w:noProof/>
                              <w:webHidden/>
                            </w:rPr>
                            <w:t>5</w:t>
                          </w:r>
                          <w:r w:rsidR="00097CC6">
                            <w:rPr>
                              <w:noProof/>
                              <w:webHidden/>
                            </w:rPr>
                            <w:fldChar w:fldCharType="end"/>
                          </w:r>
                        </w:hyperlink>
                      </w:p>
                      <w:p w14:paraId="124930BD" w14:textId="77777777" w:rsidR="00097CC6" w:rsidRDefault="00ED58C3" w:rsidP="00097CC6">
                        <w:pPr>
                          <w:pStyle w:val="TOC1"/>
                          <w:tabs>
                            <w:tab w:val="right" w:leader="dot" w:pos="9350"/>
                          </w:tabs>
                          <w:rPr>
                            <w:rFonts w:asciiTheme="minorHAnsi" w:hAnsiTheme="minorHAnsi"/>
                            <w:noProof/>
                            <w:sz w:val="22"/>
                          </w:rPr>
                        </w:pPr>
                        <w:hyperlink w:anchor="_Toc35645835" w:history="1">
                          <w:r w:rsidR="00097CC6" w:rsidRPr="00B03500">
                            <w:rPr>
                              <w:rStyle w:val="Hyperlink"/>
                              <w:noProof/>
                            </w:rPr>
                            <w:t>Engagement Differs from the Related Concepts</w:t>
                          </w:r>
                          <w:r w:rsidR="00097CC6">
                            <w:rPr>
                              <w:noProof/>
                              <w:webHidden/>
                            </w:rPr>
                            <w:tab/>
                          </w:r>
                          <w:r w:rsidR="00097CC6">
                            <w:rPr>
                              <w:noProof/>
                              <w:webHidden/>
                            </w:rPr>
                            <w:fldChar w:fldCharType="begin"/>
                          </w:r>
                          <w:r w:rsidR="00097CC6">
                            <w:rPr>
                              <w:noProof/>
                              <w:webHidden/>
                            </w:rPr>
                            <w:instrText xml:space="preserve"> PAGEREF _Toc35645835 \h </w:instrText>
                          </w:r>
                          <w:r w:rsidR="00097CC6">
                            <w:rPr>
                              <w:noProof/>
                              <w:webHidden/>
                            </w:rPr>
                          </w:r>
                          <w:r w:rsidR="00097CC6">
                            <w:rPr>
                              <w:noProof/>
                              <w:webHidden/>
                            </w:rPr>
                            <w:fldChar w:fldCharType="separate"/>
                          </w:r>
                          <w:r w:rsidR="00097CC6">
                            <w:rPr>
                              <w:noProof/>
                              <w:webHidden/>
                            </w:rPr>
                            <w:t>6</w:t>
                          </w:r>
                          <w:r w:rsidR="00097CC6">
                            <w:rPr>
                              <w:noProof/>
                              <w:webHidden/>
                            </w:rPr>
                            <w:fldChar w:fldCharType="end"/>
                          </w:r>
                        </w:hyperlink>
                      </w:p>
                      <w:p w14:paraId="1CDF6FC5" w14:textId="77777777" w:rsidR="00097CC6" w:rsidRDefault="00ED58C3" w:rsidP="00097CC6">
                        <w:pPr>
                          <w:pStyle w:val="TOC1"/>
                          <w:tabs>
                            <w:tab w:val="right" w:leader="dot" w:pos="9350"/>
                          </w:tabs>
                          <w:rPr>
                            <w:rFonts w:asciiTheme="minorHAnsi" w:hAnsiTheme="minorHAnsi"/>
                            <w:noProof/>
                            <w:sz w:val="22"/>
                          </w:rPr>
                        </w:pPr>
                        <w:hyperlink w:anchor="_Toc35645836" w:history="1">
                          <w:r w:rsidR="00097CC6" w:rsidRPr="00B03500">
                            <w:rPr>
                              <w:rStyle w:val="Hyperlink"/>
                              <w:noProof/>
                            </w:rPr>
                            <w:t>An identification of the principal drivers and business benefits of having an engaged workforce and a signposting of some of the steps an organisation can take to create a culture of employee engagement</w:t>
                          </w:r>
                          <w:r w:rsidR="00097CC6">
                            <w:rPr>
                              <w:noProof/>
                              <w:webHidden/>
                            </w:rPr>
                            <w:tab/>
                          </w:r>
                          <w:r w:rsidR="00097CC6">
                            <w:rPr>
                              <w:noProof/>
                              <w:webHidden/>
                            </w:rPr>
                            <w:fldChar w:fldCharType="begin"/>
                          </w:r>
                          <w:r w:rsidR="00097CC6">
                            <w:rPr>
                              <w:noProof/>
                              <w:webHidden/>
                            </w:rPr>
                            <w:instrText xml:space="preserve"> PAGEREF _Toc35645836 \h </w:instrText>
                          </w:r>
                          <w:r w:rsidR="00097CC6">
                            <w:rPr>
                              <w:noProof/>
                              <w:webHidden/>
                            </w:rPr>
                          </w:r>
                          <w:r w:rsidR="00097CC6">
                            <w:rPr>
                              <w:noProof/>
                              <w:webHidden/>
                            </w:rPr>
                            <w:fldChar w:fldCharType="separate"/>
                          </w:r>
                          <w:r w:rsidR="00097CC6">
                            <w:rPr>
                              <w:noProof/>
                              <w:webHidden/>
                            </w:rPr>
                            <w:t>6</w:t>
                          </w:r>
                          <w:r w:rsidR="00097CC6">
                            <w:rPr>
                              <w:noProof/>
                              <w:webHidden/>
                            </w:rPr>
                            <w:fldChar w:fldCharType="end"/>
                          </w:r>
                        </w:hyperlink>
                      </w:p>
                      <w:p w14:paraId="42CF9961" w14:textId="77777777" w:rsidR="00097CC6" w:rsidRDefault="00ED58C3" w:rsidP="00097CC6">
                        <w:pPr>
                          <w:pStyle w:val="TOC1"/>
                          <w:tabs>
                            <w:tab w:val="right" w:leader="dot" w:pos="9350"/>
                          </w:tabs>
                          <w:rPr>
                            <w:rFonts w:asciiTheme="minorHAnsi" w:hAnsiTheme="minorHAnsi"/>
                            <w:noProof/>
                            <w:sz w:val="22"/>
                          </w:rPr>
                        </w:pPr>
                        <w:hyperlink w:anchor="_Toc35645837" w:history="1">
                          <w:r w:rsidR="00097CC6" w:rsidRPr="00B03500">
                            <w:rPr>
                              <w:rStyle w:val="Hyperlink"/>
                              <w:noProof/>
                            </w:rPr>
                            <w:t>A brief explanation of the need for aligning engagement practices with other corporate components</w:t>
                          </w:r>
                          <w:r w:rsidR="00097CC6">
                            <w:rPr>
                              <w:noProof/>
                              <w:webHidden/>
                            </w:rPr>
                            <w:tab/>
                          </w:r>
                          <w:r w:rsidR="00097CC6">
                            <w:rPr>
                              <w:noProof/>
                              <w:webHidden/>
                            </w:rPr>
                            <w:fldChar w:fldCharType="begin"/>
                          </w:r>
                          <w:r w:rsidR="00097CC6">
                            <w:rPr>
                              <w:noProof/>
                              <w:webHidden/>
                            </w:rPr>
                            <w:instrText xml:space="preserve"> PAGEREF _Toc35645837 \h </w:instrText>
                          </w:r>
                          <w:r w:rsidR="00097CC6">
                            <w:rPr>
                              <w:noProof/>
                              <w:webHidden/>
                            </w:rPr>
                          </w:r>
                          <w:r w:rsidR="00097CC6">
                            <w:rPr>
                              <w:noProof/>
                              <w:webHidden/>
                            </w:rPr>
                            <w:fldChar w:fldCharType="separate"/>
                          </w:r>
                          <w:r w:rsidR="00097CC6">
                            <w:rPr>
                              <w:noProof/>
                              <w:webHidden/>
                            </w:rPr>
                            <w:t>9</w:t>
                          </w:r>
                          <w:r w:rsidR="00097CC6">
                            <w:rPr>
                              <w:noProof/>
                              <w:webHidden/>
                            </w:rPr>
                            <w:fldChar w:fldCharType="end"/>
                          </w:r>
                        </w:hyperlink>
                      </w:p>
                      <w:p w14:paraId="313BFCA6" w14:textId="77777777" w:rsidR="00097CC6" w:rsidRDefault="00ED58C3" w:rsidP="00097CC6">
                        <w:pPr>
                          <w:pStyle w:val="TOC1"/>
                          <w:tabs>
                            <w:tab w:val="right" w:leader="dot" w:pos="9350"/>
                          </w:tabs>
                          <w:rPr>
                            <w:rFonts w:asciiTheme="minorHAnsi" w:hAnsiTheme="minorHAnsi"/>
                            <w:noProof/>
                            <w:sz w:val="22"/>
                          </w:rPr>
                        </w:pPr>
                        <w:hyperlink w:anchor="_Toc35645838" w:history="1">
                          <w:r w:rsidR="00097CC6" w:rsidRPr="00B03500">
                            <w:rPr>
                              <w:rStyle w:val="Hyperlink"/>
                              <w:noProof/>
                            </w:rPr>
                            <w:t>Evaluation of suitable diagnostic tools for measuring employee attitudes and levels of employee engagement</w:t>
                          </w:r>
                          <w:r w:rsidR="00097CC6">
                            <w:rPr>
                              <w:noProof/>
                              <w:webHidden/>
                            </w:rPr>
                            <w:tab/>
                          </w:r>
                          <w:r w:rsidR="00097CC6">
                            <w:rPr>
                              <w:noProof/>
                              <w:webHidden/>
                            </w:rPr>
                            <w:fldChar w:fldCharType="begin"/>
                          </w:r>
                          <w:r w:rsidR="00097CC6">
                            <w:rPr>
                              <w:noProof/>
                              <w:webHidden/>
                            </w:rPr>
                            <w:instrText xml:space="preserve"> PAGEREF _Toc35645838 \h </w:instrText>
                          </w:r>
                          <w:r w:rsidR="00097CC6">
                            <w:rPr>
                              <w:noProof/>
                              <w:webHidden/>
                            </w:rPr>
                          </w:r>
                          <w:r w:rsidR="00097CC6">
                            <w:rPr>
                              <w:noProof/>
                              <w:webHidden/>
                            </w:rPr>
                            <w:fldChar w:fldCharType="separate"/>
                          </w:r>
                          <w:r w:rsidR="00097CC6">
                            <w:rPr>
                              <w:noProof/>
                              <w:webHidden/>
                            </w:rPr>
                            <w:t>11</w:t>
                          </w:r>
                          <w:r w:rsidR="00097CC6">
                            <w:rPr>
                              <w:noProof/>
                              <w:webHidden/>
                            </w:rPr>
                            <w:fldChar w:fldCharType="end"/>
                          </w:r>
                        </w:hyperlink>
                      </w:p>
                      <w:p w14:paraId="6558410C" w14:textId="77777777" w:rsidR="00097CC6" w:rsidRDefault="00ED58C3" w:rsidP="00097CC6">
                        <w:pPr>
                          <w:pStyle w:val="TOC1"/>
                          <w:tabs>
                            <w:tab w:val="right" w:leader="dot" w:pos="9350"/>
                          </w:tabs>
                          <w:rPr>
                            <w:rFonts w:asciiTheme="minorHAnsi" w:hAnsiTheme="minorHAnsi"/>
                            <w:noProof/>
                            <w:sz w:val="22"/>
                          </w:rPr>
                        </w:pPr>
                        <w:hyperlink w:anchor="_Toc35645839" w:history="1">
                          <w:r w:rsidR="00097CC6" w:rsidRPr="00B03500">
                            <w:rPr>
                              <w:rStyle w:val="Hyperlink"/>
                              <w:noProof/>
                            </w:rPr>
                            <w:t>An example of an employee value proposition (EVP) to promote levels of employee engagement making reference to what makes a ‘good’ EVP</w:t>
                          </w:r>
                          <w:r w:rsidR="00097CC6">
                            <w:rPr>
                              <w:noProof/>
                              <w:webHidden/>
                            </w:rPr>
                            <w:tab/>
                          </w:r>
                          <w:r w:rsidR="00097CC6">
                            <w:rPr>
                              <w:noProof/>
                              <w:webHidden/>
                            </w:rPr>
                            <w:fldChar w:fldCharType="begin"/>
                          </w:r>
                          <w:r w:rsidR="00097CC6">
                            <w:rPr>
                              <w:noProof/>
                              <w:webHidden/>
                            </w:rPr>
                            <w:instrText xml:space="preserve"> PAGEREF _Toc35645839 \h </w:instrText>
                          </w:r>
                          <w:r w:rsidR="00097CC6">
                            <w:rPr>
                              <w:noProof/>
                              <w:webHidden/>
                            </w:rPr>
                          </w:r>
                          <w:r w:rsidR="00097CC6">
                            <w:rPr>
                              <w:noProof/>
                              <w:webHidden/>
                            </w:rPr>
                            <w:fldChar w:fldCharType="separate"/>
                          </w:r>
                          <w:r w:rsidR="00097CC6">
                            <w:rPr>
                              <w:noProof/>
                              <w:webHidden/>
                            </w:rPr>
                            <w:t>13</w:t>
                          </w:r>
                          <w:r w:rsidR="00097CC6">
                            <w:rPr>
                              <w:noProof/>
                              <w:webHidden/>
                            </w:rPr>
                            <w:fldChar w:fldCharType="end"/>
                          </w:r>
                        </w:hyperlink>
                      </w:p>
                      <w:p w14:paraId="05C453E9" w14:textId="77777777" w:rsidR="00097CC6" w:rsidRDefault="00ED58C3" w:rsidP="00097CC6">
                        <w:pPr>
                          <w:pStyle w:val="TOC1"/>
                          <w:tabs>
                            <w:tab w:val="right" w:leader="dot" w:pos="9350"/>
                          </w:tabs>
                          <w:rPr>
                            <w:rFonts w:asciiTheme="minorHAnsi" w:hAnsiTheme="minorHAnsi"/>
                            <w:noProof/>
                            <w:sz w:val="22"/>
                          </w:rPr>
                        </w:pPr>
                        <w:hyperlink w:anchor="_Toc35645840" w:history="1">
                          <w:r w:rsidR="00097CC6" w:rsidRPr="00B03500">
                            <w:rPr>
                              <w:rStyle w:val="Hyperlink"/>
                              <w:noProof/>
                            </w:rPr>
                            <w:t>Examples of relevant HR strategies to raise levels of employee engagement and address barriers</w:t>
                          </w:r>
                          <w:r w:rsidR="00097CC6">
                            <w:rPr>
                              <w:noProof/>
                              <w:webHidden/>
                            </w:rPr>
                            <w:tab/>
                          </w:r>
                          <w:r w:rsidR="00097CC6">
                            <w:rPr>
                              <w:noProof/>
                              <w:webHidden/>
                            </w:rPr>
                            <w:fldChar w:fldCharType="begin"/>
                          </w:r>
                          <w:r w:rsidR="00097CC6">
                            <w:rPr>
                              <w:noProof/>
                              <w:webHidden/>
                            </w:rPr>
                            <w:instrText xml:space="preserve"> PAGEREF _Toc35645840 \h </w:instrText>
                          </w:r>
                          <w:r w:rsidR="00097CC6">
                            <w:rPr>
                              <w:noProof/>
                              <w:webHidden/>
                            </w:rPr>
                          </w:r>
                          <w:r w:rsidR="00097CC6">
                            <w:rPr>
                              <w:noProof/>
                              <w:webHidden/>
                            </w:rPr>
                            <w:fldChar w:fldCharType="separate"/>
                          </w:r>
                          <w:r w:rsidR="00097CC6">
                            <w:rPr>
                              <w:noProof/>
                              <w:webHidden/>
                            </w:rPr>
                            <w:t>14</w:t>
                          </w:r>
                          <w:r w:rsidR="00097CC6">
                            <w:rPr>
                              <w:noProof/>
                              <w:webHidden/>
                            </w:rPr>
                            <w:fldChar w:fldCharType="end"/>
                          </w:r>
                        </w:hyperlink>
                      </w:p>
                      <w:p w14:paraId="57D3D05C" w14:textId="77777777" w:rsidR="00097CC6" w:rsidRDefault="00ED58C3" w:rsidP="00097CC6">
                        <w:pPr>
                          <w:pStyle w:val="TOC1"/>
                          <w:tabs>
                            <w:tab w:val="right" w:leader="dot" w:pos="9350"/>
                          </w:tabs>
                          <w:rPr>
                            <w:rFonts w:asciiTheme="minorHAnsi" w:hAnsiTheme="minorHAnsi"/>
                            <w:noProof/>
                            <w:sz w:val="22"/>
                          </w:rPr>
                        </w:pPr>
                        <w:hyperlink w:anchor="_Toc35645841" w:history="1">
                          <w:r w:rsidR="00097CC6" w:rsidRPr="00B03500">
                            <w:rPr>
                              <w:rStyle w:val="Hyperlink"/>
                              <w:noProof/>
                            </w:rPr>
                            <w:t>Conclusion</w:t>
                          </w:r>
                          <w:r w:rsidR="00097CC6">
                            <w:rPr>
                              <w:noProof/>
                              <w:webHidden/>
                            </w:rPr>
                            <w:tab/>
                          </w:r>
                          <w:r w:rsidR="00097CC6">
                            <w:rPr>
                              <w:noProof/>
                              <w:webHidden/>
                            </w:rPr>
                            <w:fldChar w:fldCharType="begin"/>
                          </w:r>
                          <w:r w:rsidR="00097CC6">
                            <w:rPr>
                              <w:noProof/>
                              <w:webHidden/>
                            </w:rPr>
                            <w:instrText xml:space="preserve"> PAGEREF _Toc35645841 \h </w:instrText>
                          </w:r>
                          <w:r w:rsidR="00097CC6">
                            <w:rPr>
                              <w:noProof/>
                              <w:webHidden/>
                            </w:rPr>
                          </w:r>
                          <w:r w:rsidR="00097CC6">
                            <w:rPr>
                              <w:noProof/>
                              <w:webHidden/>
                            </w:rPr>
                            <w:fldChar w:fldCharType="separate"/>
                          </w:r>
                          <w:r w:rsidR="00097CC6">
                            <w:rPr>
                              <w:noProof/>
                              <w:webHidden/>
                            </w:rPr>
                            <w:t>16</w:t>
                          </w:r>
                          <w:r w:rsidR="00097CC6">
                            <w:rPr>
                              <w:noProof/>
                              <w:webHidden/>
                            </w:rPr>
                            <w:fldChar w:fldCharType="end"/>
                          </w:r>
                        </w:hyperlink>
                      </w:p>
                      <w:p w14:paraId="73ED3488" w14:textId="77777777" w:rsidR="00097CC6" w:rsidRDefault="00ED58C3" w:rsidP="00097CC6">
                        <w:pPr>
                          <w:pStyle w:val="TOC1"/>
                          <w:tabs>
                            <w:tab w:val="right" w:leader="dot" w:pos="9350"/>
                          </w:tabs>
                          <w:rPr>
                            <w:rFonts w:asciiTheme="minorHAnsi" w:hAnsiTheme="minorHAnsi"/>
                            <w:noProof/>
                            <w:sz w:val="22"/>
                          </w:rPr>
                        </w:pPr>
                        <w:hyperlink w:anchor="_Toc35645842" w:history="1">
                          <w:r w:rsidR="00097CC6" w:rsidRPr="00B03500">
                            <w:rPr>
                              <w:rStyle w:val="Hyperlink"/>
                              <w:noProof/>
                            </w:rPr>
                            <w:t>References</w:t>
                          </w:r>
                          <w:r w:rsidR="00097CC6">
                            <w:rPr>
                              <w:noProof/>
                              <w:webHidden/>
                            </w:rPr>
                            <w:tab/>
                          </w:r>
                          <w:r w:rsidR="00097CC6">
                            <w:rPr>
                              <w:noProof/>
                              <w:webHidden/>
                            </w:rPr>
                            <w:fldChar w:fldCharType="begin"/>
                          </w:r>
                          <w:r w:rsidR="00097CC6">
                            <w:rPr>
                              <w:noProof/>
                              <w:webHidden/>
                            </w:rPr>
                            <w:instrText xml:space="preserve"> PAGEREF _Toc35645842 \h </w:instrText>
                          </w:r>
                          <w:r w:rsidR="00097CC6">
                            <w:rPr>
                              <w:noProof/>
                              <w:webHidden/>
                            </w:rPr>
                          </w:r>
                          <w:r w:rsidR="00097CC6">
                            <w:rPr>
                              <w:noProof/>
                              <w:webHidden/>
                            </w:rPr>
                            <w:fldChar w:fldCharType="separate"/>
                          </w:r>
                          <w:r w:rsidR="00097CC6">
                            <w:rPr>
                              <w:noProof/>
                              <w:webHidden/>
                            </w:rPr>
                            <w:t>17</w:t>
                          </w:r>
                          <w:r w:rsidR="00097CC6">
                            <w:rPr>
                              <w:noProof/>
                              <w:webHidden/>
                            </w:rPr>
                            <w:fldChar w:fldCharType="end"/>
                          </w:r>
                        </w:hyperlink>
                      </w:p>
                      <w:p w14:paraId="6E0540D0" w14:textId="77777777" w:rsidR="00097CC6" w:rsidRDefault="00ED58C3" w:rsidP="00097CC6">
                        <w:pPr>
                          <w:pStyle w:val="TOC1"/>
                          <w:tabs>
                            <w:tab w:val="right" w:leader="dot" w:pos="9350"/>
                          </w:tabs>
                          <w:rPr>
                            <w:rFonts w:asciiTheme="minorHAnsi" w:hAnsiTheme="minorHAnsi"/>
                            <w:noProof/>
                            <w:sz w:val="22"/>
                          </w:rPr>
                        </w:pPr>
                        <w:hyperlink w:anchor="_Toc35645843" w:history="1">
                          <w:r w:rsidR="00097CC6" w:rsidRPr="00B03500">
                            <w:rPr>
                              <w:rStyle w:val="Hyperlink"/>
                              <w:noProof/>
                            </w:rPr>
                            <w:t>Appendix</w:t>
                          </w:r>
                          <w:r w:rsidR="00097CC6">
                            <w:rPr>
                              <w:noProof/>
                              <w:webHidden/>
                            </w:rPr>
                            <w:tab/>
                          </w:r>
                          <w:r w:rsidR="00097CC6">
                            <w:rPr>
                              <w:noProof/>
                              <w:webHidden/>
                            </w:rPr>
                            <w:fldChar w:fldCharType="begin"/>
                          </w:r>
                          <w:r w:rsidR="00097CC6">
                            <w:rPr>
                              <w:noProof/>
                              <w:webHidden/>
                            </w:rPr>
                            <w:instrText xml:space="preserve"> PAGEREF _Toc35645843 \h </w:instrText>
                          </w:r>
                          <w:r w:rsidR="00097CC6">
                            <w:rPr>
                              <w:noProof/>
                              <w:webHidden/>
                            </w:rPr>
                          </w:r>
                          <w:r w:rsidR="00097CC6">
                            <w:rPr>
                              <w:noProof/>
                              <w:webHidden/>
                            </w:rPr>
                            <w:fldChar w:fldCharType="separate"/>
                          </w:r>
                          <w:r w:rsidR="00097CC6">
                            <w:rPr>
                              <w:noProof/>
                              <w:webHidden/>
                            </w:rPr>
                            <w:t>21</w:t>
                          </w:r>
                          <w:r w:rsidR="00097CC6">
                            <w:rPr>
                              <w:noProof/>
                              <w:webHidden/>
                            </w:rPr>
                            <w:fldChar w:fldCharType="end"/>
                          </w:r>
                        </w:hyperlink>
                      </w:p>
                      <w:p w14:paraId="5A944BB2" w14:textId="77777777" w:rsidR="00097CC6" w:rsidRDefault="00097CC6" w:rsidP="00097CC6">
                        <w:r>
                          <w:rPr>
                            <w:b/>
                            <w:bCs/>
                            <w:noProof/>
                          </w:rPr>
                          <w:fldChar w:fldCharType="end"/>
                        </w:r>
                      </w:p>
                    </w:sdtContent>
                  </w:sdt>
                  <w:p w14:paraId="0628C74E" w14:textId="77777777" w:rsidR="00097CC6" w:rsidRDefault="00097CC6" w:rsidP="00097CC6">
                    <w:pPr>
                      <w:rPr>
                        <w:rFonts w:eastAsiaTheme="majorEastAsia" w:cstheme="majorBidi"/>
                        <w:b/>
                        <w:color w:val="000000" w:themeColor="text1"/>
                        <w:szCs w:val="32"/>
                        <w:lang w:val="en-GB"/>
                      </w:rPr>
                    </w:pPr>
                    <w:r>
                      <w:rPr>
                        <w:lang w:val="en-GB"/>
                      </w:rPr>
                      <w:br w:type="page"/>
                    </w:r>
                  </w:p>
                  <w:p w14:paraId="6572B46E" w14:textId="77777777" w:rsidR="00097CC6" w:rsidRPr="00F46801" w:rsidRDefault="00097CC6" w:rsidP="00097CC6">
                    <w:pPr>
                      <w:pStyle w:val="Heading1"/>
                    </w:pPr>
                    <w:bookmarkStart w:id="1" w:name="_Toc35645824"/>
                    <w:r w:rsidRPr="00F46801">
                      <w:t>Introduction</w:t>
                    </w:r>
                    <w:bookmarkEnd w:id="1"/>
                    <w:r w:rsidRPr="00F46801">
                      <w:t xml:space="preserve"> </w:t>
                    </w:r>
                  </w:p>
                  <w:p w14:paraId="7C80C988" w14:textId="77777777" w:rsidR="00097CC6" w:rsidRPr="00F46801" w:rsidRDefault="00097CC6" w:rsidP="00097CC6">
                    <w:pPr>
                      <w:rPr>
                        <w:lang w:val="en-GB"/>
                      </w:rPr>
                    </w:pPr>
                    <w:r w:rsidRPr="00F46801">
                      <w:rPr>
                        <w:lang w:val="en-GB"/>
                      </w:rPr>
                      <w:lastRenderedPageBreak/>
                      <w:t xml:space="preserve">This briefing paper will help in the evaluation of the meaning, dimension, as well as components of the employee engagement and </w:t>
                    </w:r>
                    <w:proofErr w:type="gramStart"/>
                    <w:r w:rsidRPr="00F46801">
                      <w:rPr>
                        <w:lang w:val="en-GB"/>
                      </w:rPr>
                      <w:t>having an understanding of</w:t>
                    </w:r>
                    <w:proofErr w:type="gramEnd"/>
                    <w:r w:rsidRPr="00F46801">
                      <w:rPr>
                        <w:lang w:val="en-GB"/>
                      </w:rPr>
                      <w:t xml:space="preserve"> the component and concept of employee engagement along with the implementation of HR strategies as well as practices to increase the level of employee engagement.</w:t>
                    </w:r>
                  </w:p>
                  <w:p w14:paraId="73C063FC" w14:textId="77777777" w:rsidR="00097CC6" w:rsidRPr="00F46801" w:rsidRDefault="00097CC6" w:rsidP="00097CC6">
                    <w:pPr>
                      <w:pStyle w:val="Heading1"/>
                    </w:pPr>
                    <w:bookmarkStart w:id="2" w:name="_Toc35645825"/>
                    <w:r w:rsidRPr="00F46801">
                      <w:t>An analysis of the meaning, principal dimensions and components of employee engagement and how it differs, if at all, from related concepts such as organisational commitment, employer involvement, job satisfaction</w:t>
                    </w:r>
                    <w:bookmarkEnd w:id="2"/>
                    <w:r w:rsidRPr="00F46801">
                      <w:t xml:space="preserve">  </w:t>
                    </w:r>
                  </w:p>
                  <w:p w14:paraId="36C8A4DF" w14:textId="77777777" w:rsidR="00097CC6" w:rsidRPr="00F46801" w:rsidRDefault="00097CC6" w:rsidP="00097CC6">
                    <w:pPr>
                      <w:pStyle w:val="Heading1"/>
                    </w:pPr>
                    <w:bookmarkStart w:id="3" w:name="_Toc35645826"/>
                    <w:r w:rsidRPr="00F46801">
                      <w:t>The Concept of Employee Engagement for Employee and Employer</w:t>
                    </w:r>
                    <w:bookmarkEnd w:id="3"/>
                    <w:r w:rsidRPr="00F46801">
                      <w:t xml:space="preserve"> </w:t>
                    </w:r>
                  </w:p>
                  <w:p w14:paraId="4A69CF42" w14:textId="77777777" w:rsidR="00097CC6" w:rsidRPr="00F46801" w:rsidRDefault="00097CC6" w:rsidP="00097CC6">
                    <w:pPr>
                      <w:rPr>
                        <w:lang w:val="en-GB"/>
                      </w:rPr>
                    </w:pPr>
                    <w:r w:rsidRPr="00F46801">
                      <w:rPr>
                        <w:lang w:val="en-GB"/>
                      </w:rPr>
                      <w:t>Employee engagement is regarded as the emotional commitment of the workers towards the company as well as its objectives. The emotional commitment of the workers means that they concerned about their company and their own work</w:t>
                    </w:r>
                    <w:sdt>
                      <w:sdtPr>
                        <w:rPr>
                          <w:lang w:val="en-GB"/>
                        </w:rPr>
                        <w:id w:val="-1794593650"/>
                        <w:citation/>
                      </w:sdtPr>
                      <w:sdtEndPr/>
                      <w:sdtContent>
                        <w:r>
                          <w:rPr>
                            <w:lang w:val="en-GB"/>
                          </w:rPr>
                          <w:fldChar w:fldCharType="begin"/>
                        </w:r>
                        <w:r>
                          <w:instrText xml:space="preserve"> CITATION Gup16 \l 1033 </w:instrText>
                        </w:r>
                        <w:r>
                          <w:rPr>
                            <w:lang w:val="en-GB"/>
                          </w:rPr>
                          <w:fldChar w:fldCharType="separate"/>
                        </w:r>
                        <w:r>
                          <w:rPr>
                            <w:noProof/>
                          </w:rPr>
                          <w:t xml:space="preserve"> </w:t>
                        </w:r>
                        <w:r w:rsidRPr="00DF2B53">
                          <w:rPr>
                            <w:noProof/>
                          </w:rPr>
                          <w:t>(Gupta &amp; Sharma, 2016. )</w:t>
                        </w:r>
                        <w:r>
                          <w:rPr>
                            <w:lang w:val="en-GB"/>
                          </w:rPr>
                          <w:fldChar w:fldCharType="end"/>
                        </w:r>
                      </w:sdtContent>
                    </w:sdt>
                    <w:r w:rsidRPr="00F46801">
                      <w:rPr>
                        <w:lang w:val="en-GB"/>
                      </w:rPr>
                      <w:t xml:space="preserve">. The employees who engaged are considered to result in high productivity, service and quality which in turn will result in </w:t>
                    </w:r>
                    <w:r>
                      <w:rPr>
                        <w:lang w:val="en-GB"/>
                      </w:rPr>
                      <w:t xml:space="preserve">an </w:t>
                    </w:r>
                    <w:r w:rsidRPr="00F46801">
                      <w:rPr>
                        <w:lang w:val="en-GB"/>
                      </w:rPr>
                      <w:t xml:space="preserve">enhancement in sales as well as </w:t>
                    </w:r>
                    <w:r>
                      <w:rPr>
                        <w:lang w:val="en-GB"/>
                      </w:rPr>
                      <w:t xml:space="preserve">the </w:t>
                    </w:r>
                    <w:r w:rsidRPr="00F46801">
                      <w:rPr>
                        <w:lang w:val="en-GB"/>
                      </w:rPr>
                      <w:t>high level of profit. Organisations consider employee engagement as the sense of determination of an individual that is also apparent to the other individuals within their persistence, efforts as well as the personal initiatives that are directed towards the organizational goals</w:t>
                    </w:r>
                    <w:sdt>
                      <w:sdtPr>
                        <w:rPr>
                          <w:lang w:val="en-GB"/>
                        </w:rPr>
                        <w:id w:val="1608304829"/>
                        <w:citation/>
                      </w:sdtPr>
                      <w:sdtEndPr/>
                      <w:sdtContent>
                        <w:r>
                          <w:rPr>
                            <w:lang w:val="en-GB"/>
                          </w:rPr>
                          <w:fldChar w:fldCharType="begin"/>
                        </w:r>
                        <w:r>
                          <w:instrText xml:space="preserve"> CITATION Kan17 \l 1033 </w:instrText>
                        </w:r>
                        <w:r>
                          <w:rPr>
                            <w:lang w:val="en-GB"/>
                          </w:rPr>
                          <w:fldChar w:fldCharType="separate"/>
                        </w:r>
                        <w:r>
                          <w:rPr>
                            <w:noProof/>
                          </w:rPr>
                          <w:t xml:space="preserve"> </w:t>
                        </w:r>
                        <w:r w:rsidRPr="00F46801">
                          <w:rPr>
                            <w:noProof/>
                          </w:rPr>
                          <w:t>(Kang &amp; Sung, 2017)</w:t>
                        </w:r>
                        <w:r>
                          <w:rPr>
                            <w:lang w:val="en-GB"/>
                          </w:rPr>
                          <w:fldChar w:fldCharType="end"/>
                        </w:r>
                      </w:sdtContent>
                    </w:sdt>
                    <w:r w:rsidRPr="00F46801">
                      <w:rPr>
                        <w:lang w:val="en-GB"/>
                      </w:rPr>
                      <w:t>.</w:t>
                    </w:r>
                  </w:p>
                  <w:p w14:paraId="5841056B" w14:textId="77777777" w:rsidR="00097CC6" w:rsidRPr="00F46801" w:rsidRDefault="00097CC6" w:rsidP="00097CC6">
                    <w:pPr>
                      <w:pStyle w:val="Heading1"/>
                    </w:pPr>
                    <w:bookmarkStart w:id="4" w:name="_Toc35645827"/>
                    <w:r w:rsidRPr="00F46801">
                      <w:t>Employee Engagement Components</w:t>
                    </w:r>
                    <w:bookmarkEnd w:id="4"/>
                  </w:p>
                  <w:p w14:paraId="5179D008" w14:textId="77777777" w:rsidR="00097CC6" w:rsidRPr="00F46801" w:rsidRDefault="00097CC6" w:rsidP="00097CC6">
                    <w:pPr>
                      <w:rPr>
                        <w:lang w:val="en-GB"/>
                      </w:rPr>
                    </w:pPr>
                    <w:r w:rsidRPr="00F46801">
                      <w:rPr>
                        <w:lang w:val="en-GB"/>
                      </w:rPr>
                      <w:t xml:space="preserve">Employee engagement is required to emphasise on </w:t>
                    </w:r>
                    <w:proofErr w:type="gramStart"/>
                    <w:r w:rsidRPr="00F46801">
                      <w:rPr>
                        <w:lang w:val="en-GB"/>
                      </w:rPr>
                      <w:t>all of</w:t>
                    </w:r>
                    <w:proofErr w:type="gramEnd"/>
                    <w:r w:rsidRPr="00F46801">
                      <w:rPr>
                        <w:lang w:val="en-GB"/>
                      </w:rPr>
                      <w:t xml:space="preserve"> the areas which can have an impact on employee’s work experience from the internal processes, leadership style, management reputation and organisational culture. The strategy to engage the workers is mainly trial and error which needs efforts and commitment for </w:t>
                    </w:r>
                    <w:r>
                      <w:rPr>
                        <w:lang w:val="en-GB"/>
                      </w:rPr>
                      <w:t xml:space="preserve">a </w:t>
                    </w:r>
                    <w:r w:rsidRPr="00F46801">
                      <w:rPr>
                        <w:lang w:val="en-GB"/>
                      </w:rPr>
                      <w:t>long period of time</w:t>
                    </w:r>
                    <w:sdt>
                      <w:sdtPr>
                        <w:rPr>
                          <w:lang w:val="en-GB"/>
                        </w:rPr>
                        <w:id w:val="1621888071"/>
                        <w:citation/>
                      </w:sdtPr>
                      <w:sdtEndPr/>
                      <w:sdtContent>
                        <w:r>
                          <w:rPr>
                            <w:lang w:val="en-GB"/>
                          </w:rPr>
                          <w:fldChar w:fldCharType="begin"/>
                        </w:r>
                        <w:r>
                          <w:instrText xml:space="preserve"> CITATION Rad15 \l 1033 </w:instrText>
                        </w:r>
                        <w:r>
                          <w:rPr>
                            <w:lang w:val="en-GB"/>
                          </w:rPr>
                          <w:fldChar w:fldCharType="separate"/>
                        </w:r>
                        <w:r>
                          <w:rPr>
                            <w:noProof/>
                          </w:rPr>
                          <w:t xml:space="preserve"> </w:t>
                        </w:r>
                        <w:r w:rsidRPr="00DF2B53">
                          <w:rPr>
                            <w:noProof/>
                          </w:rPr>
                          <w:t>(Radda, et al., 2015.)</w:t>
                        </w:r>
                        <w:r>
                          <w:rPr>
                            <w:lang w:val="en-GB"/>
                          </w:rPr>
                          <w:fldChar w:fldCharType="end"/>
                        </w:r>
                      </w:sdtContent>
                    </w:sdt>
                    <w:r w:rsidRPr="00F46801">
                      <w:rPr>
                        <w:lang w:val="en-GB"/>
                      </w:rPr>
                      <w:t>. Below is the discussion of some of the components of employee engagement:</w:t>
                    </w:r>
                  </w:p>
                  <w:p w14:paraId="492EADE7" w14:textId="77777777" w:rsidR="00097CC6" w:rsidRPr="00F46801" w:rsidRDefault="00097CC6" w:rsidP="00097CC6">
                    <w:pPr>
                      <w:pStyle w:val="Heading1"/>
                    </w:pPr>
                    <w:bookmarkStart w:id="5" w:name="_Toc35645828"/>
                    <w:r w:rsidRPr="00F46801">
                      <w:t>The Psychological Contract</w:t>
                    </w:r>
                    <w:bookmarkEnd w:id="5"/>
                  </w:p>
                  <w:p w14:paraId="1ED25F72" w14:textId="77777777" w:rsidR="00097CC6" w:rsidRPr="00F46801" w:rsidRDefault="00097CC6" w:rsidP="00097CC6">
                    <w:pPr>
                      <w:rPr>
                        <w:lang w:val="en-GB"/>
                      </w:rPr>
                    </w:pPr>
                    <w:r w:rsidRPr="00F46801">
                      <w:rPr>
                        <w:lang w:val="en-GB"/>
                      </w:rPr>
                      <w:t xml:space="preserve">In order to engage employees, it is significant for the employers to treat the employees in a fair manner and they must also be provided with </w:t>
                    </w:r>
                    <w:r>
                      <w:rPr>
                        <w:lang w:val="en-GB"/>
                      </w:rPr>
                      <w:t>a</w:t>
                    </w:r>
                    <w:r w:rsidRPr="00F46801">
                      <w:rPr>
                        <w:lang w:val="en-GB"/>
                      </w:rPr>
                      <w:t xml:space="preserve"> comfortable environment for work. Moreover, it has also been identified that the employees who get a sense of recognition are more engaged towards the organisational goals. Along with this, they must also be provided with the opportunities of progression of career</w:t>
                    </w:r>
                    <w:sdt>
                      <w:sdtPr>
                        <w:rPr>
                          <w:lang w:val="en-GB"/>
                        </w:rPr>
                        <w:id w:val="85966143"/>
                        <w:citation/>
                      </w:sdtPr>
                      <w:sdtEndPr/>
                      <w:sdtContent>
                        <w:r>
                          <w:rPr>
                            <w:lang w:val="en-GB"/>
                          </w:rPr>
                          <w:fldChar w:fldCharType="begin"/>
                        </w:r>
                        <w:r>
                          <w:instrText xml:space="preserve"> CITATION Eld17 \l 1033 </w:instrText>
                        </w:r>
                        <w:r>
                          <w:rPr>
                            <w:lang w:val="en-GB"/>
                          </w:rPr>
                          <w:fldChar w:fldCharType="separate"/>
                        </w:r>
                        <w:r>
                          <w:rPr>
                            <w:noProof/>
                          </w:rPr>
                          <w:t xml:space="preserve"> </w:t>
                        </w:r>
                        <w:r w:rsidRPr="00DF2B53">
                          <w:rPr>
                            <w:noProof/>
                          </w:rPr>
                          <w:t>(Eldor &amp; Vigoda-Gadot, 2017)</w:t>
                        </w:r>
                        <w:r>
                          <w:rPr>
                            <w:lang w:val="en-GB"/>
                          </w:rPr>
                          <w:fldChar w:fldCharType="end"/>
                        </w:r>
                      </w:sdtContent>
                    </w:sdt>
                    <w:r w:rsidRPr="00F46801">
                      <w:rPr>
                        <w:lang w:val="en-GB"/>
                      </w:rPr>
                      <w:t>.</w:t>
                    </w:r>
                  </w:p>
                  <w:p w14:paraId="07A45ACE" w14:textId="77777777" w:rsidR="00097CC6" w:rsidRPr="00F46801" w:rsidRDefault="00097CC6" w:rsidP="00097CC6">
                    <w:pPr>
                      <w:pStyle w:val="Heading1"/>
                    </w:pPr>
                    <w:bookmarkStart w:id="6" w:name="_Toc35645829"/>
                    <w:r w:rsidRPr="00F46801">
                      <w:t>Alignment</w:t>
                    </w:r>
                    <w:bookmarkEnd w:id="6"/>
                    <w:r w:rsidRPr="00F46801">
                      <w:t xml:space="preserve"> </w:t>
                    </w:r>
                  </w:p>
                  <w:p w14:paraId="473C41C4" w14:textId="77777777" w:rsidR="00097CC6" w:rsidRPr="00F46801" w:rsidRDefault="00097CC6" w:rsidP="00097CC6">
                    <w:pPr>
                      <w:rPr>
                        <w:lang w:val="en-GB"/>
                      </w:rPr>
                    </w:pPr>
                    <w:r w:rsidRPr="00F46801">
                      <w:rPr>
                        <w:lang w:val="en-GB"/>
                      </w:rPr>
                      <w:t xml:space="preserve">Alignment is considered as essential for the sustenance of the high performance. It is regarded as the linkage between strategy and execution. Moreover, the employees should align their individual goals with that of the organisational goals as it has been found that the aligned employees </w:t>
                    </w:r>
                    <w:proofErr w:type="gramStart"/>
                    <w:r w:rsidRPr="00F46801">
                      <w:rPr>
                        <w:lang w:val="en-GB"/>
                      </w:rPr>
                      <w:t xml:space="preserve">are capable </w:t>
                    </w:r>
                    <w:r>
                      <w:rPr>
                        <w:lang w:val="en-GB"/>
                      </w:rPr>
                      <w:t>of</w:t>
                    </w:r>
                    <w:r w:rsidRPr="00F46801">
                      <w:rPr>
                        <w:lang w:val="en-GB"/>
                      </w:rPr>
                      <w:t xml:space="preserve"> making</w:t>
                    </w:r>
                    <w:proofErr w:type="gramEnd"/>
                    <w:r w:rsidRPr="00F46801">
                      <w:rPr>
                        <w:lang w:val="en-GB"/>
                      </w:rPr>
                      <w:t xml:space="preserve"> the sound judgment regarding the work priorities. It is said that the alignment without the employee engagement can only result in the </w:t>
                    </w:r>
                    <w:proofErr w:type="gramStart"/>
                    <w:r w:rsidRPr="00F46801">
                      <w:rPr>
                        <w:lang w:val="en-GB"/>
                      </w:rPr>
                      <w:t>short term</w:t>
                    </w:r>
                    <w:proofErr w:type="gramEnd"/>
                    <w:r w:rsidRPr="00F46801">
                      <w:rPr>
                        <w:lang w:val="en-GB"/>
                      </w:rPr>
                      <w:t xml:space="preserve"> outcomes which are unlikely to be sustained. </w:t>
                    </w:r>
                    <w:r w:rsidRPr="00F46801">
                      <w:rPr>
                        <w:lang w:val="en-GB"/>
                      </w:rPr>
                      <w:lastRenderedPageBreak/>
                      <w:t>Similarly, employee engagement without alignment can result into the misallocated passion</w:t>
                    </w:r>
                    <w:sdt>
                      <w:sdtPr>
                        <w:rPr>
                          <w:lang w:val="en-GB"/>
                        </w:rPr>
                        <w:id w:val="693811642"/>
                        <w:citation/>
                      </w:sdtPr>
                      <w:sdtEndPr/>
                      <w:sdtContent>
                        <w:r>
                          <w:rPr>
                            <w:lang w:val="en-GB"/>
                          </w:rPr>
                          <w:fldChar w:fldCharType="begin"/>
                        </w:r>
                        <w:r>
                          <w:instrText xml:space="preserve"> CITATION Ala15 \l 1033 </w:instrText>
                        </w:r>
                        <w:r>
                          <w:rPr>
                            <w:lang w:val="en-GB"/>
                          </w:rPr>
                          <w:fldChar w:fldCharType="separate"/>
                        </w:r>
                        <w:r>
                          <w:rPr>
                            <w:noProof/>
                          </w:rPr>
                          <w:t xml:space="preserve"> </w:t>
                        </w:r>
                        <w:r w:rsidRPr="00DF2B53">
                          <w:rPr>
                            <w:noProof/>
                          </w:rPr>
                          <w:t>(Alagaraja &amp; Shuck, 2015)</w:t>
                        </w:r>
                        <w:r>
                          <w:rPr>
                            <w:lang w:val="en-GB"/>
                          </w:rPr>
                          <w:fldChar w:fldCharType="end"/>
                        </w:r>
                      </w:sdtContent>
                    </w:sdt>
                    <w:r w:rsidRPr="00F46801">
                      <w:rPr>
                        <w:lang w:val="en-GB"/>
                      </w:rPr>
                      <w:t>.</w:t>
                    </w:r>
                  </w:p>
                  <w:p w14:paraId="6DB3C721" w14:textId="77777777" w:rsidR="00097CC6" w:rsidRPr="00F46801" w:rsidRDefault="00097CC6" w:rsidP="00097CC6">
                    <w:pPr>
                      <w:pStyle w:val="Heading1"/>
                    </w:pPr>
                    <w:bookmarkStart w:id="7" w:name="_Toc35645830"/>
                    <w:r w:rsidRPr="00F46801">
                      <w:t>Trust</w:t>
                    </w:r>
                    <w:bookmarkEnd w:id="7"/>
                    <w:r w:rsidRPr="00F46801">
                      <w:t xml:space="preserve"> </w:t>
                    </w:r>
                  </w:p>
                  <w:p w14:paraId="24EB2F68" w14:textId="77777777" w:rsidR="00097CC6" w:rsidRPr="00F46801" w:rsidRDefault="00097CC6" w:rsidP="00097CC6">
                    <w:pPr>
                      <w:rPr>
                        <w:lang w:val="en-GB"/>
                      </w:rPr>
                    </w:pPr>
                    <w:r w:rsidRPr="00F46801">
                      <w:rPr>
                        <w:lang w:val="en-GB"/>
                      </w:rPr>
                      <w:t xml:space="preserve">It has also been identified the increased levels of employee engagement can just be promoted if there is a sense of trust within the organization from the side the employers as well as the employees. When they depict a powerful emotional bond with the company, it is also significant that the organisations should also depict the trust within their abilities. The employees should also be provided with the autonomy for carrying out their tasks in their own way. They must not be restricted with regards to </w:t>
                    </w:r>
                    <w:proofErr w:type="gramStart"/>
                    <w:r w:rsidRPr="00F46801">
                      <w:rPr>
                        <w:lang w:val="en-GB"/>
                      </w:rPr>
                      <w:t>particular rules</w:t>
                    </w:r>
                    <w:proofErr w:type="gramEnd"/>
                    <w:r w:rsidRPr="00F46801">
                      <w:rPr>
                        <w:lang w:val="en-GB"/>
                      </w:rPr>
                      <w:t xml:space="preserve"> and regulations and henceforth must be motivated for experimenting and for carrying out their tasks within different and innovative ways</w:t>
                    </w:r>
                    <w:sdt>
                      <w:sdtPr>
                        <w:rPr>
                          <w:lang w:val="en-GB"/>
                        </w:rPr>
                        <w:id w:val="-1226289242"/>
                        <w:citation/>
                      </w:sdtPr>
                      <w:sdtEndPr/>
                      <w:sdtContent>
                        <w:r>
                          <w:rPr>
                            <w:lang w:val="en-GB"/>
                          </w:rPr>
                          <w:fldChar w:fldCharType="begin"/>
                        </w:r>
                        <w:r>
                          <w:instrText xml:space="preserve"> CITATION Dow15 \l 1033 </w:instrText>
                        </w:r>
                        <w:r>
                          <w:rPr>
                            <w:lang w:val="en-GB"/>
                          </w:rPr>
                          <w:fldChar w:fldCharType="separate"/>
                        </w:r>
                        <w:r>
                          <w:rPr>
                            <w:noProof/>
                          </w:rPr>
                          <w:t xml:space="preserve"> </w:t>
                        </w:r>
                        <w:r w:rsidRPr="00DF2B53">
                          <w:rPr>
                            <w:noProof/>
                          </w:rPr>
                          <w:t>(Downey, et al., 2015)</w:t>
                        </w:r>
                        <w:r>
                          <w:rPr>
                            <w:lang w:val="en-GB"/>
                          </w:rPr>
                          <w:fldChar w:fldCharType="end"/>
                        </w:r>
                      </w:sdtContent>
                    </w:sdt>
                    <w:r w:rsidRPr="00F46801">
                      <w:rPr>
                        <w:lang w:val="en-GB"/>
                      </w:rPr>
                      <w:t xml:space="preserve">. </w:t>
                    </w:r>
                  </w:p>
                  <w:p w14:paraId="6D866A57" w14:textId="77777777" w:rsidR="00097CC6" w:rsidRPr="00F46801" w:rsidRDefault="00097CC6" w:rsidP="00097CC6">
                    <w:pPr>
                      <w:pStyle w:val="Heading1"/>
                    </w:pPr>
                    <w:bookmarkStart w:id="8" w:name="_Toc35645831"/>
                    <w:r w:rsidRPr="00F46801">
                      <w:t>Principal Dimensions</w:t>
                    </w:r>
                    <w:bookmarkEnd w:id="8"/>
                    <w:r w:rsidRPr="00F46801">
                      <w:t xml:space="preserve"> </w:t>
                    </w:r>
                  </w:p>
                  <w:p w14:paraId="58AA8955" w14:textId="77777777" w:rsidR="00097CC6" w:rsidRPr="00F46801" w:rsidRDefault="00097CC6" w:rsidP="00097CC6">
                    <w:pPr>
                      <w:rPr>
                        <w:lang w:val="en-GB"/>
                      </w:rPr>
                    </w:pPr>
                    <w:r w:rsidRPr="00F46801">
                      <w:rPr>
                        <w:lang w:val="en-GB"/>
                      </w:rPr>
                      <w:t>Employee engagement can also be subdivided into three fundamental areas:</w:t>
                    </w:r>
                  </w:p>
                  <w:p w14:paraId="21637A4A" w14:textId="77777777" w:rsidR="00097CC6" w:rsidRPr="00F46801" w:rsidRDefault="00097CC6" w:rsidP="00097CC6">
                    <w:pPr>
                      <w:pStyle w:val="Heading1"/>
                    </w:pPr>
                    <w:bookmarkStart w:id="9" w:name="_Toc35645832"/>
                    <w:r w:rsidRPr="00F46801">
                      <w:t>Intellectual Engagement</w:t>
                    </w:r>
                    <w:bookmarkEnd w:id="9"/>
                  </w:p>
                  <w:p w14:paraId="00573EC1" w14:textId="77777777" w:rsidR="00097CC6" w:rsidRPr="00F46801" w:rsidRDefault="00097CC6" w:rsidP="00097CC6">
                    <w:pPr>
                      <w:rPr>
                        <w:lang w:val="en-GB"/>
                      </w:rPr>
                    </w:pPr>
                    <w:r w:rsidRPr="00F46801">
                      <w:rPr>
                        <w:lang w:val="en-GB"/>
                      </w:rPr>
                      <w:t>Intellectual engagement is regarded as thought regarding the job role or the organization and the ways to improve it. This definition can only be suitable for certain organisations, employees and job roles. Certain job roles require repetitive work and do not necessarily induce intellectual engagement, neither certain individuals look for intellectual engagement from their work</w:t>
                    </w:r>
                    <w:sdt>
                      <w:sdtPr>
                        <w:rPr>
                          <w:lang w:val="en-GB"/>
                        </w:rPr>
                        <w:id w:val="-1981913652"/>
                        <w:citation/>
                      </w:sdtPr>
                      <w:sdtEndPr/>
                      <w:sdtContent>
                        <w:r>
                          <w:rPr>
                            <w:lang w:val="en-GB"/>
                          </w:rPr>
                          <w:fldChar w:fldCharType="begin"/>
                        </w:r>
                        <w:r>
                          <w:instrText xml:space="preserve"> CITATION Teo15 \l 1033 </w:instrText>
                        </w:r>
                        <w:r>
                          <w:rPr>
                            <w:lang w:val="en-GB"/>
                          </w:rPr>
                          <w:fldChar w:fldCharType="separate"/>
                        </w:r>
                        <w:r>
                          <w:rPr>
                            <w:noProof/>
                          </w:rPr>
                          <w:t xml:space="preserve"> </w:t>
                        </w:r>
                        <w:r w:rsidRPr="00DF2B53">
                          <w:rPr>
                            <w:noProof/>
                          </w:rPr>
                          <w:t>(Teo, 2015)</w:t>
                        </w:r>
                        <w:r>
                          <w:rPr>
                            <w:lang w:val="en-GB"/>
                          </w:rPr>
                          <w:fldChar w:fldCharType="end"/>
                        </w:r>
                      </w:sdtContent>
                    </w:sdt>
                    <w:r w:rsidRPr="00F46801">
                      <w:rPr>
                        <w:lang w:val="en-GB"/>
                      </w:rPr>
                      <w:t xml:space="preserve">. </w:t>
                    </w:r>
                  </w:p>
                  <w:p w14:paraId="2E0F2BBC" w14:textId="77777777" w:rsidR="00097CC6" w:rsidRPr="00F46801" w:rsidRDefault="00097CC6" w:rsidP="00097CC6">
                    <w:pPr>
                      <w:pStyle w:val="Heading1"/>
                    </w:pPr>
                    <w:bookmarkStart w:id="10" w:name="_Toc35645833"/>
                    <w:r w:rsidRPr="00F46801">
                      <w:t>Affective Engagement</w:t>
                    </w:r>
                    <w:bookmarkEnd w:id="10"/>
                    <w:r w:rsidRPr="00F46801">
                      <w:t xml:space="preserve">  </w:t>
                    </w:r>
                  </w:p>
                  <w:p w14:paraId="170D98ED" w14:textId="77777777" w:rsidR="00097CC6" w:rsidRPr="00F46801" w:rsidRDefault="00097CC6" w:rsidP="00097CC6">
                    <w:pPr>
                      <w:rPr>
                        <w:lang w:val="en-GB"/>
                      </w:rPr>
                    </w:pPr>
                    <w:r w:rsidRPr="00F46801">
                      <w:rPr>
                        <w:lang w:val="en-GB"/>
                      </w:rPr>
                      <w:t xml:space="preserve">This dimension is referred to as feeling positive towards the job role or the organisation. This relates the idea of motivation and it is induced by the conditions that have been positioned within the organisation. This is categorized by dedication, vigour and absorption. </w:t>
                    </w:r>
                  </w:p>
                  <w:p w14:paraId="7FB084D9" w14:textId="77777777" w:rsidR="00097CC6" w:rsidRPr="00F46801" w:rsidRDefault="00097CC6" w:rsidP="00097CC6">
                    <w:pPr>
                      <w:pStyle w:val="Heading1"/>
                    </w:pPr>
                    <w:bookmarkStart w:id="11" w:name="_Toc35645834"/>
                    <w:r w:rsidRPr="00F46801">
                      <w:t>Social Engagement</w:t>
                    </w:r>
                    <w:bookmarkEnd w:id="11"/>
                    <w:r w:rsidRPr="00F46801">
                      <w:t xml:space="preserve"> </w:t>
                    </w:r>
                  </w:p>
                  <w:p w14:paraId="31E58759" w14:textId="77777777" w:rsidR="00097CC6" w:rsidRPr="00F46801" w:rsidRDefault="00097CC6" w:rsidP="00097CC6">
                    <w:pPr>
                      <w:rPr>
                        <w:lang w:val="en-GB"/>
                      </w:rPr>
                    </w:pPr>
                    <w:r w:rsidRPr="00F46801">
                      <w:rPr>
                        <w:lang w:val="en-GB"/>
                      </w:rPr>
                      <w:t xml:space="preserve">Social engagement is regarded as the opportunity for interacting with the other individuals in the organisation </w:t>
                    </w:r>
                    <w:proofErr w:type="gramStart"/>
                    <w:r w:rsidRPr="00F46801">
                      <w:rPr>
                        <w:lang w:val="en-GB"/>
                      </w:rPr>
                      <w:t>and also</w:t>
                    </w:r>
                    <w:proofErr w:type="gramEnd"/>
                    <w:r w:rsidRPr="00F46801">
                      <w:rPr>
                        <w:lang w:val="en-GB"/>
                      </w:rPr>
                      <w:t xml:space="preserve"> collaborating on making improvements and changes. The engaged employees </w:t>
                    </w:r>
                    <w:r>
                      <w:rPr>
                        <w:lang w:val="en-GB"/>
                      </w:rPr>
                      <w:t>are</w:t>
                    </w:r>
                    <w:r w:rsidRPr="00F46801">
                      <w:rPr>
                        <w:lang w:val="en-GB"/>
                      </w:rPr>
                      <w:t xml:space="preserve"> not just interested in his/her own work but also get a sense of involvement in it </w:t>
                    </w:r>
                    <w:proofErr w:type="gramStart"/>
                    <w:r w:rsidRPr="00F46801">
                      <w:rPr>
                        <w:lang w:val="en-GB"/>
                      </w:rPr>
                      <w:t>and also</w:t>
                    </w:r>
                    <w:proofErr w:type="gramEnd"/>
                    <w:r w:rsidRPr="00F46801">
                      <w:rPr>
                        <w:lang w:val="en-GB"/>
                      </w:rPr>
                      <w:t xml:space="preserve"> have the psychological energy for carrying it out</w:t>
                    </w:r>
                    <w:sdt>
                      <w:sdtPr>
                        <w:rPr>
                          <w:lang w:val="en-GB"/>
                        </w:rPr>
                        <w:id w:val="-1211029370"/>
                        <w:citation/>
                      </w:sdtPr>
                      <w:sdtEndPr/>
                      <w:sdtContent>
                        <w:r>
                          <w:rPr>
                            <w:lang w:val="en-GB"/>
                          </w:rPr>
                          <w:fldChar w:fldCharType="begin"/>
                        </w:r>
                        <w:r>
                          <w:instrText xml:space="preserve"> CITATION Cro12 \l 1033 </w:instrText>
                        </w:r>
                        <w:r>
                          <w:rPr>
                            <w:lang w:val="en-GB"/>
                          </w:rPr>
                          <w:fldChar w:fldCharType="separate"/>
                        </w:r>
                        <w:r>
                          <w:rPr>
                            <w:noProof/>
                          </w:rPr>
                          <w:t xml:space="preserve"> </w:t>
                        </w:r>
                        <w:r w:rsidRPr="00DF2B53">
                          <w:rPr>
                            <w:noProof/>
                          </w:rPr>
                          <w:t>(Crone &amp; Dahl, 2012)</w:t>
                        </w:r>
                        <w:r>
                          <w:rPr>
                            <w:lang w:val="en-GB"/>
                          </w:rPr>
                          <w:fldChar w:fldCharType="end"/>
                        </w:r>
                      </w:sdtContent>
                    </w:sdt>
                    <w:r w:rsidRPr="00F46801">
                      <w:rPr>
                        <w:lang w:val="en-GB"/>
                      </w:rPr>
                      <w:t>.</w:t>
                    </w:r>
                  </w:p>
                  <w:p w14:paraId="4D862764" w14:textId="77777777" w:rsidR="00097CC6" w:rsidRPr="00F46801" w:rsidRDefault="00097CC6" w:rsidP="00097CC6">
                    <w:pPr>
                      <w:pStyle w:val="Heading1"/>
                    </w:pPr>
                    <w:bookmarkStart w:id="12" w:name="_Toc35645835"/>
                    <w:r w:rsidRPr="00F46801">
                      <w:t>Engagement Differs from the Related Concepts</w:t>
                    </w:r>
                    <w:bookmarkEnd w:id="12"/>
                    <w:r w:rsidRPr="00F46801">
                      <w:t xml:space="preserve"> </w:t>
                    </w:r>
                  </w:p>
                  <w:p w14:paraId="2EA1FACD" w14:textId="77777777" w:rsidR="00097CC6" w:rsidRPr="00F46801" w:rsidRDefault="00097CC6" w:rsidP="00097CC6">
                    <w:pPr>
                      <w:rPr>
                        <w:lang w:val="en-GB"/>
                      </w:rPr>
                    </w:pPr>
                    <w:r w:rsidRPr="00F46801">
                      <w:rPr>
                        <w:lang w:val="en-GB"/>
                      </w:rPr>
                      <w:t xml:space="preserve">Since the organisations have been experiencing globalisation, henceforth; the engagement of workers and their commitment </w:t>
                    </w:r>
                    <w:proofErr w:type="gramStart"/>
                    <w:r w:rsidRPr="00F46801">
                      <w:rPr>
                        <w:lang w:val="en-GB"/>
                      </w:rPr>
                      <w:t>are of significant importance</w:t>
                    </w:r>
                    <w:proofErr w:type="gramEnd"/>
                    <w:r w:rsidRPr="00F46801">
                      <w:rPr>
                        <w:lang w:val="en-GB"/>
                      </w:rPr>
                      <w:t xml:space="preserve">. Within the present years, employee engagement has become famous as it has been identified that there is a positive association between employee engagement, productivity, profits, customer satisfaction and employee retention. Organisational commitment has gained popularity in the past two decades. It includes the emotional connection of the employee with the company. Employee engagement has been regarded as the employee accomplishing his/her assigned tasks; however, employee involvement has been considered as the extent to which the employee is satisfied during the completion of tasks. Job satisfaction is also among the aspects of employee engagement. An employee that is engaged is regarded as satisfied </w:t>
                    </w:r>
                    <w:r w:rsidRPr="00F46801">
                      <w:rPr>
                        <w:lang w:val="en-GB"/>
                      </w:rPr>
                      <w:lastRenderedPageBreak/>
                      <w:t xml:space="preserve">and enthused with his/her work. They are also passionate regarding their work and can also give </w:t>
                    </w:r>
                    <w:r>
                      <w:rPr>
                        <w:lang w:val="en-GB"/>
                      </w:rPr>
                      <w:t xml:space="preserve">an </w:t>
                    </w:r>
                    <w:r w:rsidRPr="00F46801">
                      <w:rPr>
                        <w:lang w:val="en-GB"/>
                      </w:rPr>
                      <w:t>extraordinary performance</w:t>
                    </w:r>
                    <w:sdt>
                      <w:sdtPr>
                        <w:rPr>
                          <w:lang w:val="en-GB"/>
                        </w:rPr>
                        <w:id w:val="-1606876780"/>
                        <w:citation/>
                      </w:sdtPr>
                      <w:sdtEndPr/>
                      <w:sdtContent>
                        <w:r>
                          <w:rPr>
                            <w:lang w:val="en-GB"/>
                          </w:rPr>
                          <w:fldChar w:fldCharType="begin"/>
                        </w:r>
                        <w:r>
                          <w:instrText xml:space="preserve"> CITATION Shi15 \l 1033 </w:instrText>
                        </w:r>
                        <w:r>
                          <w:rPr>
                            <w:lang w:val="en-GB"/>
                          </w:rPr>
                          <w:fldChar w:fldCharType="separate"/>
                        </w:r>
                        <w:r>
                          <w:rPr>
                            <w:noProof/>
                          </w:rPr>
                          <w:t xml:space="preserve"> </w:t>
                        </w:r>
                        <w:r w:rsidRPr="00DF2B53">
                          <w:rPr>
                            <w:noProof/>
                          </w:rPr>
                          <w:t>(Shimazu, et al., 2015)</w:t>
                        </w:r>
                        <w:r>
                          <w:rPr>
                            <w:lang w:val="en-GB"/>
                          </w:rPr>
                          <w:fldChar w:fldCharType="end"/>
                        </w:r>
                      </w:sdtContent>
                    </w:sdt>
                    <w:r w:rsidRPr="00F46801">
                      <w:rPr>
                        <w:lang w:val="en-GB"/>
                      </w:rPr>
                      <w:t>.</w:t>
                    </w:r>
                  </w:p>
                  <w:p w14:paraId="171F4B4A" w14:textId="77777777" w:rsidR="00097CC6" w:rsidRPr="00F46801" w:rsidRDefault="00097CC6" w:rsidP="00097CC6">
                    <w:pPr>
                      <w:pStyle w:val="Heading1"/>
                    </w:pPr>
                    <w:bookmarkStart w:id="13" w:name="_Toc35645836"/>
                    <w:r w:rsidRPr="00F46801">
                      <w:t>An identification of the principal drivers and business benefits of having an engaged workforce and a signposting of some of the steps an organisation can take to create a culture of employee engagement</w:t>
                    </w:r>
                    <w:bookmarkEnd w:id="13"/>
                  </w:p>
                  <w:p w14:paraId="26980DEE" w14:textId="77777777" w:rsidR="00097CC6" w:rsidRPr="00F46801" w:rsidRDefault="00097CC6" w:rsidP="00097CC6">
                    <w:pPr>
                      <w:rPr>
                        <w:lang w:val="en-GB"/>
                      </w:rPr>
                    </w:pPr>
                    <w:r w:rsidRPr="00F46801">
                      <w:rPr>
                        <w:lang w:val="en-GB"/>
                      </w:rPr>
                      <w:t xml:space="preserve">The necessity of the enhanced level of knowledge, skills and anticipated behaviour is considered as a key business driver. This will help in making the employees </w:t>
                    </w:r>
                    <w:proofErr w:type="gramStart"/>
                    <w:r w:rsidRPr="00F46801">
                      <w:rPr>
                        <w:lang w:val="en-GB"/>
                      </w:rPr>
                      <w:t>have an understanding of</w:t>
                    </w:r>
                    <w:proofErr w:type="gramEnd"/>
                    <w:r w:rsidRPr="00F46801">
                      <w:rPr>
                        <w:lang w:val="en-GB"/>
                      </w:rPr>
                      <w:t xml:space="preserve"> their assigned tasks and also make them confident regarding their performance of </w:t>
                    </w:r>
                    <w:r>
                      <w:rPr>
                        <w:lang w:val="en-GB"/>
                      </w:rPr>
                      <w:t xml:space="preserve">the </w:t>
                    </w:r>
                    <w:r w:rsidRPr="00F46801">
                      <w:rPr>
                        <w:lang w:val="en-GB"/>
                      </w:rPr>
                      <w:t xml:space="preserve">task. The development of competitive edge is also among the key drivers as it is considered to increase the performance of the employees. The increased motivation, commitment and discretionary efforts of the employees are also among the principal drivers. Employee engagement can also be improved by the employee and employer brand equity by becoming the employer of choice. The next principal driver is the enhancement of job motivation and satisfaction. It is also significant for the employers to acquire the flexibility of the employees so that they </w:t>
                    </w:r>
                    <w:proofErr w:type="gramStart"/>
                    <w:r w:rsidRPr="00F46801">
                      <w:rPr>
                        <w:lang w:val="en-GB"/>
                      </w:rPr>
                      <w:t>are able to</w:t>
                    </w:r>
                    <w:proofErr w:type="gramEnd"/>
                    <w:r w:rsidRPr="00F46801">
                      <w:rPr>
                        <w:lang w:val="en-GB"/>
                      </w:rPr>
                      <w:t xml:space="preserve"> have an understanding of their tasks in a better way and to perform as per the expectations. The next driver is regarding the increase in employee involvement and innovation. Moreover, the employees must also be empowered so that they are able to become the evaluators and leaders within their roles</w:t>
                    </w:r>
                    <w:sdt>
                      <w:sdtPr>
                        <w:rPr>
                          <w:lang w:val="en-GB"/>
                        </w:rPr>
                        <w:id w:val="275687237"/>
                        <w:citation/>
                      </w:sdtPr>
                      <w:sdtEndPr/>
                      <w:sdtContent>
                        <w:r>
                          <w:rPr>
                            <w:lang w:val="en-GB"/>
                          </w:rPr>
                          <w:fldChar w:fldCharType="begin"/>
                        </w:r>
                        <w:r>
                          <w:instrText xml:space="preserve"> CITATION Tot15 \l 1033 </w:instrText>
                        </w:r>
                        <w:r>
                          <w:rPr>
                            <w:lang w:val="en-GB"/>
                          </w:rPr>
                          <w:fldChar w:fldCharType="separate"/>
                        </w:r>
                        <w:r>
                          <w:rPr>
                            <w:noProof/>
                          </w:rPr>
                          <w:t xml:space="preserve"> </w:t>
                        </w:r>
                        <w:r w:rsidRPr="00DF2B53">
                          <w:rPr>
                            <w:noProof/>
                          </w:rPr>
                          <w:t>(Totterdill, 2015)</w:t>
                        </w:r>
                        <w:r>
                          <w:rPr>
                            <w:lang w:val="en-GB"/>
                          </w:rPr>
                          <w:fldChar w:fldCharType="end"/>
                        </w:r>
                      </w:sdtContent>
                    </w:sdt>
                    <w:r w:rsidRPr="00F46801">
                      <w:rPr>
                        <w:lang w:val="en-GB"/>
                      </w:rPr>
                      <w:t>.</w:t>
                    </w:r>
                  </w:p>
                  <w:p w14:paraId="325B3835" w14:textId="77777777" w:rsidR="00097CC6" w:rsidRDefault="00097CC6" w:rsidP="00097CC6">
                    <w:pPr>
                      <w:rPr>
                        <w:lang w:val="en-GB"/>
                      </w:rPr>
                    </w:pPr>
                    <w:r w:rsidRPr="00F46801">
                      <w:rPr>
                        <w:lang w:val="en-GB"/>
                      </w:rPr>
                      <w:t>Employee voice is also among the principal drivers that allow the employees to express their views. Along with this, the other key drivers involve supportive work environment, vision, communication with the senior management, line management style and person</w:t>
                    </w:r>
                    <w:r>
                      <w:rPr>
                        <w:lang w:val="en-GB"/>
                      </w:rPr>
                      <w:t>-</w:t>
                    </w:r>
                    <w:r w:rsidRPr="00F46801">
                      <w:rPr>
                        <w:lang w:val="en-GB"/>
                      </w:rPr>
                      <w:t xml:space="preserve">job fit. Moreover, it has also been found that addressing employee diversity is also a significant factor in employee engagement. Employee engagement is also essential and necessary for attracting the employees towards the job as well as retaining the employees. The employees can also be engaged by encouraging them </w:t>
                    </w:r>
                    <w:r>
                      <w:rPr>
                        <w:lang w:val="en-GB"/>
                      </w:rPr>
                      <w:t>to</w:t>
                    </w:r>
                    <w:r w:rsidRPr="00F46801">
                      <w:rPr>
                        <w:lang w:val="en-GB"/>
                      </w:rPr>
                      <w:t xml:space="preserve"> mak</w:t>
                    </w:r>
                    <w:r>
                      <w:rPr>
                        <w:lang w:val="en-GB"/>
                      </w:rPr>
                      <w:t>e</w:t>
                    </w:r>
                    <w:r w:rsidRPr="00F46801">
                      <w:rPr>
                        <w:lang w:val="en-GB"/>
                      </w:rPr>
                      <w:t xml:space="preserve"> their own decisions and introducing innovative ideas. This gives them a sense of being valued and to give outstanding performance</w:t>
                    </w:r>
                    <w:sdt>
                      <w:sdtPr>
                        <w:rPr>
                          <w:lang w:val="en-GB"/>
                        </w:rPr>
                        <w:id w:val="1146705511"/>
                        <w:citation/>
                      </w:sdtPr>
                      <w:sdtEndPr/>
                      <w:sdtContent>
                        <w:r>
                          <w:rPr>
                            <w:lang w:val="en-GB"/>
                          </w:rPr>
                          <w:fldChar w:fldCharType="begin"/>
                        </w:r>
                        <w:r>
                          <w:instrText xml:space="preserve"> CITATION Ell18 \l 1033 </w:instrText>
                        </w:r>
                        <w:r>
                          <w:rPr>
                            <w:lang w:val="en-GB"/>
                          </w:rPr>
                          <w:fldChar w:fldCharType="separate"/>
                        </w:r>
                        <w:r>
                          <w:rPr>
                            <w:noProof/>
                          </w:rPr>
                          <w:t xml:space="preserve"> </w:t>
                        </w:r>
                        <w:r w:rsidRPr="00DF2B53">
                          <w:rPr>
                            <w:noProof/>
                          </w:rPr>
                          <w:t>(Elliott &amp; Corey, 2018)</w:t>
                        </w:r>
                        <w:r>
                          <w:rPr>
                            <w:lang w:val="en-GB"/>
                          </w:rPr>
                          <w:fldChar w:fldCharType="end"/>
                        </w:r>
                      </w:sdtContent>
                    </w:sdt>
                    <w:r w:rsidRPr="00F46801">
                      <w:rPr>
                        <w:lang w:val="en-GB"/>
                      </w:rPr>
                      <w:t xml:space="preserve">. </w:t>
                    </w:r>
                  </w:p>
                  <w:p w14:paraId="70880D70" w14:textId="77777777" w:rsidR="00097CC6" w:rsidRPr="00F46801" w:rsidRDefault="00097CC6" w:rsidP="00097CC6">
                    <w:pPr>
                      <w:rPr>
                        <w:lang w:val="en-GB"/>
                      </w:rPr>
                    </w:pPr>
                    <w:r w:rsidRPr="00F46801">
                      <w:rPr>
                        <w:lang w:val="en-GB"/>
                      </w:rPr>
                      <w:t>Besides benefitting the employees, the key drivers of employee engagement are also beneficial for the management as well as the consumers. With regards to managers, the benefits are for the organisations as well as for increasing their interpersonal skills. Due to the engaged employees, the productivity of the employees also enhances along with the expansion of the management system and the company. The integration of the key drivers also need</w:t>
                    </w:r>
                    <w:r>
                      <w:rPr>
                        <w:lang w:val="en-GB"/>
                      </w:rPr>
                      <w:t>s</w:t>
                    </w:r>
                    <w:r w:rsidRPr="00F46801">
                      <w:rPr>
                        <w:lang w:val="en-GB"/>
                      </w:rPr>
                      <w:t xml:space="preserve"> effective management skills which can be considered as an opportunity for the managers in order to implement and develop their own career. Within the context of consumers, the key drivers which enhances the productivity of the employees</w:t>
                    </w:r>
                    <w:r>
                      <w:rPr>
                        <w:lang w:val="en-GB"/>
                      </w:rPr>
                      <w:t>, as well as the organisation,</w:t>
                    </w:r>
                    <w:r w:rsidRPr="00F46801">
                      <w:rPr>
                        <w:lang w:val="en-GB"/>
                      </w:rPr>
                      <w:t xml:space="preserve"> lead to </w:t>
                    </w:r>
                    <w:r>
                      <w:rPr>
                        <w:lang w:val="en-GB"/>
                      </w:rPr>
                      <w:t>an</w:t>
                    </w:r>
                    <w:r w:rsidRPr="00F46801">
                      <w:rPr>
                        <w:lang w:val="en-GB"/>
                      </w:rPr>
                      <w:t xml:space="preserve"> increase in the quality of the products and services. The experiences and feedback of the customers are also being valued and they also enjoy the positive experiences together with the products and services of the organisations</w:t>
                    </w:r>
                    <w:sdt>
                      <w:sdtPr>
                        <w:rPr>
                          <w:lang w:val="en-GB"/>
                        </w:rPr>
                        <w:id w:val="700439977"/>
                        <w:citation/>
                      </w:sdtPr>
                      <w:sdtEndPr/>
                      <w:sdtContent>
                        <w:r>
                          <w:rPr>
                            <w:lang w:val="en-GB"/>
                          </w:rPr>
                          <w:fldChar w:fldCharType="begin"/>
                        </w:r>
                        <w:r>
                          <w:instrText xml:space="preserve"> CITATION Tot16 \l 1033 </w:instrText>
                        </w:r>
                        <w:r>
                          <w:rPr>
                            <w:lang w:val="en-GB"/>
                          </w:rPr>
                          <w:fldChar w:fldCharType="separate"/>
                        </w:r>
                        <w:r>
                          <w:rPr>
                            <w:noProof/>
                          </w:rPr>
                          <w:t xml:space="preserve"> </w:t>
                        </w:r>
                        <w:r w:rsidRPr="00DF2B53">
                          <w:rPr>
                            <w:noProof/>
                          </w:rPr>
                          <w:t>(Totterdill, et al., 2016)</w:t>
                        </w:r>
                        <w:r>
                          <w:rPr>
                            <w:lang w:val="en-GB"/>
                          </w:rPr>
                          <w:fldChar w:fldCharType="end"/>
                        </w:r>
                      </w:sdtContent>
                    </w:sdt>
                    <w:r w:rsidRPr="00F46801">
                      <w:rPr>
                        <w:lang w:val="en-GB"/>
                      </w:rPr>
                      <w:t>.</w:t>
                    </w:r>
                  </w:p>
                  <w:p w14:paraId="2E7866C4" w14:textId="77777777" w:rsidR="00097CC6" w:rsidRPr="00F46801" w:rsidRDefault="00097CC6" w:rsidP="00097CC6">
                    <w:pPr>
                      <w:rPr>
                        <w:lang w:val="en-GB"/>
                      </w:rPr>
                    </w:pPr>
                    <w:r w:rsidRPr="00F46801">
                      <w:rPr>
                        <w:lang w:val="en-GB"/>
                      </w:rPr>
                      <w:t xml:space="preserve">The procedure of the organisation of work in terms of task groups, definition and arrangement of the job structure and the procedure of work based on the </w:t>
                    </w:r>
                    <w:proofErr w:type="gramStart"/>
                    <w:r w:rsidRPr="00F46801">
                      <w:rPr>
                        <w:lang w:val="en-GB"/>
                      </w:rPr>
                      <w:t>carried out</w:t>
                    </w:r>
                    <w:proofErr w:type="gramEnd"/>
                    <w:r w:rsidRPr="00F46801">
                      <w:rPr>
                        <w:lang w:val="en-GB"/>
                      </w:rPr>
                      <w:t xml:space="preserve"> job analysis. The designing of </w:t>
                    </w:r>
                    <w:r>
                      <w:rPr>
                        <w:lang w:val="en-GB"/>
                      </w:rPr>
                      <w:t xml:space="preserve">a </w:t>
                    </w:r>
                    <w:r w:rsidRPr="00F46801">
                      <w:rPr>
                        <w:lang w:val="en-GB"/>
                      </w:rPr>
                      <w:t xml:space="preserve">job enables the attainment of the organisational objectives together with the reduction of job fatigue, stress and human error. The job design must take the factors for motivating the employees towards job into consideration. The job characteristic model developed by Greg Oldham and Richard Hackman </w:t>
                    </w:r>
                    <w:r w:rsidRPr="00F46801">
                      <w:rPr>
                        <w:lang w:val="en-GB"/>
                      </w:rPr>
                      <w:lastRenderedPageBreak/>
                      <w:t xml:space="preserve">elaborates the job with regards to five distinctive features. The skill variety is the level to which the job needs the accomplishment of the entire work from the beginning </w:t>
                    </w:r>
                    <w:r>
                      <w:rPr>
                        <w:lang w:val="en-GB"/>
                      </w:rPr>
                      <w:t>unti</w:t>
                    </w:r>
                    <w:r w:rsidRPr="00F46801">
                      <w:rPr>
                        <w:lang w:val="en-GB"/>
                      </w:rPr>
                      <w:t>l the end within the task identity. Task significance is regarded as the extent to which the job of the employee impacts the lives of the other individuals. Autonomy is regarded as the degree to which the employee has the capability to make the appropriate decision regarding the job role as well as responsibilities</w:t>
                    </w:r>
                    <w:sdt>
                      <w:sdtPr>
                        <w:rPr>
                          <w:lang w:val="en-GB"/>
                        </w:rPr>
                        <w:id w:val="1238283311"/>
                        <w:citation/>
                      </w:sdtPr>
                      <w:sdtEndPr/>
                      <w:sdtContent>
                        <w:r>
                          <w:rPr>
                            <w:lang w:val="en-GB"/>
                          </w:rPr>
                          <w:fldChar w:fldCharType="begin"/>
                        </w:r>
                        <w:r>
                          <w:instrText xml:space="preserve"> CITATION Kar15 \l 1033 </w:instrText>
                        </w:r>
                        <w:r>
                          <w:rPr>
                            <w:lang w:val="en-GB"/>
                          </w:rPr>
                          <w:fldChar w:fldCharType="separate"/>
                        </w:r>
                        <w:r>
                          <w:rPr>
                            <w:noProof/>
                          </w:rPr>
                          <w:t xml:space="preserve"> </w:t>
                        </w:r>
                        <w:r w:rsidRPr="00DF2B53">
                          <w:rPr>
                            <w:noProof/>
                          </w:rPr>
                          <w:t>(Kariuki &amp; Makori, 2015)</w:t>
                        </w:r>
                        <w:r>
                          <w:rPr>
                            <w:lang w:val="en-GB"/>
                          </w:rPr>
                          <w:fldChar w:fldCharType="end"/>
                        </w:r>
                      </w:sdtContent>
                    </w:sdt>
                    <w:r w:rsidRPr="00F46801">
                      <w:rPr>
                        <w:lang w:val="en-GB"/>
                      </w:rPr>
                      <w:t>.</w:t>
                    </w:r>
                  </w:p>
                  <w:p w14:paraId="5C0B4864" w14:textId="77777777" w:rsidR="00097CC6" w:rsidRPr="00F46801" w:rsidRDefault="00097CC6" w:rsidP="00097CC6">
                    <w:pPr>
                      <w:rPr>
                        <w:lang w:val="en-GB"/>
                      </w:rPr>
                    </w:pPr>
                    <w:r w:rsidRPr="00F46801">
                      <w:rPr>
                        <w:lang w:val="en-GB"/>
                      </w:rPr>
                      <w:t xml:space="preserve">Discretionary behaviour is considered as the behaviour of the employee which identified by the formal reward system in a direct manner </w:t>
                    </w:r>
                    <w:proofErr w:type="gramStart"/>
                    <w:r w:rsidRPr="00F46801">
                      <w:rPr>
                        <w:lang w:val="en-GB"/>
                      </w:rPr>
                      <w:t>and also</w:t>
                    </w:r>
                    <w:proofErr w:type="gramEnd"/>
                    <w:r w:rsidRPr="00F46801">
                      <w:rPr>
                        <w:lang w:val="en-GB"/>
                      </w:rPr>
                      <w:t xml:space="preserve"> promote the effective organisational functions. Discretionary behaviours of employees are significant for the col companies to remain competitive within the international economy. They also </w:t>
                    </w:r>
                    <w:proofErr w:type="gramStart"/>
                    <w:r w:rsidRPr="00F46801">
                      <w:rPr>
                        <w:lang w:val="en-GB"/>
                      </w:rPr>
                      <w:t xml:space="preserve">make </w:t>
                    </w:r>
                    <w:r>
                      <w:rPr>
                        <w:lang w:val="en-GB"/>
                      </w:rPr>
                      <w:t xml:space="preserve">a </w:t>
                    </w:r>
                    <w:r w:rsidRPr="00F46801">
                      <w:rPr>
                        <w:lang w:val="en-GB"/>
                      </w:rPr>
                      <w:t>contribution</w:t>
                    </w:r>
                    <w:proofErr w:type="gramEnd"/>
                    <w:r w:rsidRPr="00F46801">
                      <w:rPr>
                        <w:lang w:val="en-GB"/>
                      </w:rPr>
                      <w:t xml:space="preserve"> towards maintaining and increasing the social and psychological context of the organisation which offer support to the task performance and the effectiveness of the company. It has been found that when the employees are committed and engaged, they are also motivated for taking the discretionary behaviour</w:t>
                    </w:r>
                    <w:sdt>
                      <w:sdtPr>
                        <w:rPr>
                          <w:lang w:val="en-GB"/>
                        </w:rPr>
                        <w:id w:val="-63490631"/>
                        <w:citation/>
                      </w:sdtPr>
                      <w:sdtEndPr/>
                      <w:sdtContent>
                        <w:r>
                          <w:rPr>
                            <w:lang w:val="en-GB"/>
                          </w:rPr>
                          <w:fldChar w:fldCharType="begin"/>
                        </w:r>
                        <w:r>
                          <w:instrText xml:space="preserve"> CITATION Elo16 \l 1033 </w:instrText>
                        </w:r>
                        <w:r>
                          <w:rPr>
                            <w:lang w:val="en-GB"/>
                          </w:rPr>
                          <w:fldChar w:fldCharType="separate"/>
                        </w:r>
                        <w:r>
                          <w:rPr>
                            <w:noProof/>
                          </w:rPr>
                          <w:t xml:space="preserve"> </w:t>
                        </w:r>
                        <w:r w:rsidRPr="00DF2B53">
                          <w:rPr>
                            <w:noProof/>
                          </w:rPr>
                          <w:t>(Elorza, et al., 2016)</w:t>
                        </w:r>
                        <w:r>
                          <w:rPr>
                            <w:lang w:val="en-GB"/>
                          </w:rPr>
                          <w:fldChar w:fldCharType="end"/>
                        </w:r>
                      </w:sdtContent>
                    </w:sdt>
                    <w:r w:rsidRPr="00F46801">
                      <w:rPr>
                        <w:lang w:val="en-GB"/>
                      </w:rPr>
                      <w:t>.</w:t>
                    </w:r>
                  </w:p>
                  <w:p w14:paraId="37E50057" w14:textId="77777777" w:rsidR="00097CC6" w:rsidRPr="00F46801" w:rsidRDefault="00097CC6" w:rsidP="00097CC6">
                    <w:pPr>
                      <w:rPr>
                        <w:lang w:val="en-GB"/>
                      </w:rPr>
                    </w:pPr>
                    <w:r w:rsidRPr="00F46801">
                      <w:rPr>
                        <w:lang w:val="en-GB"/>
                      </w:rPr>
                      <w:t xml:space="preserve">Role autonomy has been considered as the degree or level of discretion and freedom that </w:t>
                    </w:r>
                    <w:proofErr w:type="gramStart"/>
                    <w:r w:rsidRPr="00F46801">
                      <w:rPr>
                        <w:lang w:val="en-GB"/>
                      </w:rPr>
                      <w:t>is allowed to</w:t>
                    </w:r>
                    <w:proofErr w:type="gramEnd"/>
                    <w:r w:rsidRPr="00F46801">
                      <w:rPr>
                        <w:lang w:val="en-GB"/>
                      </w:rPr>
                      <w:t xml:space="preserve"> the employee within his job. The jobs which have </w:t>
                    </w:r>
                    <w:r>
                      <w:rPr>
                        <w:lang w:val="en-GB"/>
                      </w:rPr>
                      <w:t>a</w:t>
                    </w:r>
                    <w:r w:rsidRPr="00F46801">
                      <w:rPr>
                        <w:lang w:val="en-GB"/>
                      </w:rPr>
                      <w:t xml:space="preserve"> high degree of autonomy result in high job satisfaction and high sense of responsibility within the company. The minimisation in employee autonomy can also end the basic motivation that the employee might attain from the activity.</w:t>
                    </w:r>
                  </w:p>
                  <w:p w14:paraId="674AE58A" w14:textId="77777777" w:rsidR="00097CC6" w:rsidRPr="00F46801" w:rsidRDefault="00097CC6" w:rsidP="00097CC6">
                    <w:pPr>
                      <w:rPr>
                        <w:lang w:val="en-GB"/>
                      </w:rPr>
                    </w:pPr>
                    <w:r w:rsidRPr="00F46801">
                      <w:rPr>
                        <w:lang w:val="en-GB"/>
                      </w:rPr>
                      <w:t xml:space="preserve">Organisational citizenship behaviour is considered as the individual behaviour which promotes the effectiveness within the functioning of the organisation. The effectiveness within working can be attained through the provision of positive, psychological and social environment where the work can be successful. It is also essential for the employees since it enhances the social connection which can impact job performance. The researches have also depicted a positive relationship </w:t>
                    </w:r>
                    <w:r>
                      <w:rPr>
                        <w:lang w:val="en-GB"/>
                      </w:rPr>
                      <w:t>between</w:t>
                    </w:r>
                    <w:r w:rsidRPr="00F46801">
                      <w:rPr>
                        <w:lang w:val="en-GB"/>
                      </w:rPr>
                      <w:t xml:space="preserve"> organisational citizenship and employee engagement</w:t>
                    </w:r>
                    <w:sdt>
                      <w:sdtPr>
                        <w:rPr>
                          <w:lang w:val="en-GB"/>
                        </w:rPr>
                        <w:id w:val="1057814627"/>
                        <w:citation/>
                      </w:sdtPr>
                      <w:sdtEndPr/>
                      <w:sdtContent>
                        <w:r>
                          <w:rPr>
                            <w:lang w:val="en-GB"/>
                          </w:rPr>
                          <w:fldChar w:fldCharType="begin"/>
                        </w:r>
                        <w:r>
                          <w:instrText xml:space="preserve"> CITATION Rup18 \l 1033 </w:instrText>
                        </w:r>
                        <w:r>
                          <w:rPr>
                            <w:lang w:val="en-GB"/>
                          </w:rPr>
                          <w:fldChar w:fldCharType="separate"/>
                        </w:r>
                        <w:r>
                          <w:rPr>
                            <w:noProof/>
                          </w:rPr>
                          <w:t xml:space="preserve"> </w:t>
                        </w:r>
                        <w:r w:rsidRPr="00DF2B53">
                          <w:rPr>
                            <w:noProof/>
                          </w:rPr>
                          <w:t>(Rupp, et al., 2018)</w:t>
                        </w:r>
                        <w:r>
                          <w:rPr>
                            <w:lang w:val="en-GB"/>
                          </w:rPr>
                          <w:fldChar w:fldCharType="end"/>
                        </w:r>
                      </w:sdtContent>
                    </w:sdt>
                    <w:r w:rsidRPr="00F46801">
                      <w:rPr>
                        <w:lang w:val="en-GB"/>
                      </w:rPr>
                      <w:t>.</w:t>
                    </w:r>
                  </w:p>
                  <w:p w14:paraId="3F54DA77" w14:textId="77777777" w:rsidR="00097CC6" w:rsidRPr="00F46801" w:rsidRDefault="00097CC6" w:rsidP="00097CC6">
                    <w:pPr>
                      <w:pStyle w:val="Heading1"/>
                    </w:pPr>
                    <w:bookmarkStart w:id="14" w:name="_Toc35645837"/>
                    <w:r w:rsidRPr="00F46801">
                      <w:t>A brief explanation of the need for aligning engagement practices with other corporate components</w:t>
                    </w:r>
                    <w:bookmarkEnd w:id="14"/>
                  </w:p>
                  <w:p w14:paraId="354DE052" w14:textId="77777777" w:rsidR="00097CC6" w:rsidRPr="00F46801" w:rsidRDefault="00097CC6" w:rsidP="00097CC6">
                    <w:pPr>
                      <w:rPr>
                        <w:lang w:val="en-GB"/>
                      </w:rPr>
                    </w:pPr>
                    <w:r w:rsidRPr="00F46801">
                      <w:rPr>
                        <w:lang w:val="en-GB"/>
                      </w:rPr>
                      <w:t xml:space="preserve">For the attainment of organisational success, it is essential to align the practices of engagement with the other corporate components for enhancing employee engagement practices. The corporate components include value, vision, organisational strategy, finance, compliance, HR and brand. In case these distinctive attributes of the company are aligned with the practices of engagement, this results in attaining the aim and objectives of the organisation, help within the success of long term as well as organisational development </w:t>
                    </w:r>
                    <w:proofErr w:type="gramStart"/>
                    <w:r w:rsidRPr="00F46801">
                      <w:rPr>
                        <w:lang w:val="en-GB"/>
                      </w:rPr>
                      <w:t>and also</w:t>
                    </w:r>
                    <w:proofErr w:type="gramEnd"/>
                    <w:r w:rsidRPr="00F46801">
                      <w:rPr>
                        <w:lang w:val="en-GB"/>
                      </w:rPr>
                      <w:t xml:space="preserve"> give a sense of importance to the employees for being the part of the success of the organisation. The alignment of the strategy of the organisation with employee engagement is essential as the employees are the most significant resources which help in the identification of the failure or success of the organisation. In order to give employees, a sense of valuing the organisational vision and to give them a sense of being a part of the team and to take the responsibility along with motivating them to perform well also need engagement</w:t>
                    </w:r>
                    <w:sdt>
                      <w:sdtPr>
                        <w:rPr>
                          <w:lang w:val="en-GB"/>
                        </w:rPr>
                        <w:id w:val="-26177812"/>
                        <w:citation/>
                      </w:sdtPr>
                      <w:sdtEndPr/>
                      <w:sdtContent>
                        <w:r>
                          <w:rPr>
                            <w:lang w:val="en-GB"/>
                          </w:rPr>
                          <w:fldChar w:fldCharType="begin"/>
                        </w:r>
                        <w:r>
                          <w:instrText xml:space="preserve"> CITATION Tan15 \l 1033 </w:instrText>
                        </w:r>
                        <w:r>
                          <w:rPr>
                            <w:lang w:val="en-GB"/>
                          </w:rPr>
                          <w:fldChar w:fldCharType="separate"/>
                        </w:r>
                        <w:r>
                          <w:rPr>
                            <w:noProof/>
                          </w:rPr>
                          <w:t xml:space="preserve"> </w:t>
                        </w:r>
                        <w:r w:rsidRPr="003A6408">
                          <w:rPr>
                            <w:noProof/>
                          </w:rPr>
                          <w:t>(Taneja, et al., 2015)</w:t>
                        </w:r>
                        <w:r>
                          <w:rPr>
                            <w:lang w:val="en-GB"/>
                          </w:rPr>
                          <w:fldChar w:fldCharType="end"/>
                        </w:r>
                      </w:sdtContent>
                    </w:sdt>
                    <w:r w:rsidRPr="00F46801">
                      <w:rPr>
                        <w:lang w:val="en-GB"/>
                      </w:rPr>
                      <w:t>.</w:t>
                    </w:r>
                  </w:p>
                  <w:p w14:paraId="07A38282" w14:textId="77777777" w:rsidR="00097CC6" w:rsidRPr="00F46801" w:rsidRDefault="00097CC6" w:rsidP="00097CC6">
                    <w:pPr>
                      <w:rPr>
                        <w:lang w:val="en-GB"/>
                      </w:rPr>
                    </w:pPr>
                    <w:r w:rsidRPr="00F46801">
                      <w:rPr>
                        <w:lang w:val="en-GB"/>
                      </w:rPr>
                      <w:t xml:space="preserve">These values will help in triggering the ethical standards which will help in enhancing the engagement of the workforce. The alignment of </w:t>
                    </w:r>
                    <w:r>
                      <w:rPr>
                        <w:lang w:val="en-GB"/>
                      </w:rPr>
                      <w:t xml:space="preserve">the </w:t>
                    </w:r>
                    <w:r w:rsidRPr="00F46801">
                      <w:rPr>
                        <w:lang w:val="en-GB"/>
                      </w:rPr>
                      <w:t xml:space="preserve">brand with the practices will enable the employees to function for enhancing the positive brand image </w:t>
                    </w:r>
                    <w:proofErr w:type="gramStart"/>
                    <w:r w:rsidRPr="00F46801">
                      <w:rPr>
                        <w:lang w:val="en-GB"/>
                      </w:rPr>
                      <w:t>and also</w:t>
                    </w:r>
                    <w:proofErr w:type="gramEnd"/>
                    <w:r w:rsidRPr="00F46801">
                      <w:rPr>
                        <w:lang w:val="en-GB"/>
                      </w:rPr>
                      <w:t xml:space="preserve"> comprises of significant decisions regarding the brand identity. The alignment of finances with the engagement practices will result in the </w:t>
                    </w:r>
                    <w:r w:rsidRPr="00F46801">
                      <w:rPr>
                        <w:lang w:val="en-GB"/>
                      </w:rPr>
                      <w:lastRenderedPageBreak/>
                      <w:t>minimisation of the recruitment costs by the approaches for increasing the retention. It is also significant that the strategies of HR are aligned with the objectives and strategies of the company as this will help the organisation to attain its set goals. This can also be carried out by the integration of the organisati</w:t>
                    </w:r>
                    <w:r>
                      <w:rPr>
                        <w:lang w:val="en-GB"/>
                      </w:rPr>
                      <w:t>o</w:t>
                    </w:r>
                    <w:r w:rsidRPr="00F46801">
                      <w:rPr>
                        <w:lang w:val="en-GB"/>
                      </w:rPr>
                      <w:t xml:space="preserve">nal objectives within the plan of employee engagement. Another method is to align the </w:t>
                    </w:r>
                    <w:proofErr w:type="gramStart"/>
                    <w:r w:rsidRPr="00F46801">
                      <w:rPr>
                        <w:lang w:val="en-GB"/>
                      </w:rPr>
                      <w:t>long term</w:t>
                    </w:r>
                    <w:proofErr w:type="gramEnd"/>
                    <w:r w:rsidRPr="00F46801">
                      <w:rPr>
                        <w:lang w:val="en-GB"/>
                      </w:rPr>
                      <w:t xml:space="preserve"> organisational development with long term employee development</w:t>
                    </w:r>
                    <w:sdt>
                      <w:sdtPr>
                        <w:rPr>
                          <w:lang w:val="en-GB"/>
                        </w:rPr>
                        <w:id w:val="41565922"/>
                        <w:citation/>
                      </w:sdtPr>
                      <w:sdtEndPr/>
                      <w:sdtContent>
                        <w:r>
                          <w:rPr>
                            <w:lang w:val="en-GB"/>
                          </w:rPr>
                          <w:fldChar w:fldCharType="begin"/>
                        </w:r>
                        <w:r>
                          <w:instrText xml:space="preserve"> CITATION Pam16 \l 1033 </w:instrText>
                        </w:r>
                        <w:r>
                          <w:rPr>
                            <w:lang w:val="en-GB"/>
                          </w:rPr>
                          <w:fldChar w:fldCharType="separate"/>
                        </w:r>
                        <w:r>
                          <w:rPr>
                            <w:noProof/>
                          </w:rPr>
                          <w:t xml:space="preserve"> </w:t>
                        </w:r>
                        <w:r w:rsidRPr="003A6408">
                          <w:rPr>
                            <w:noProof/>
                          </w:rPr>
                          <w:t>(Pamment, 2016)</w:t>
                        </w:r>
                        <w:r>
                          <w:rPr>
                            <w:lang w:val="en-GB"/>
                          </w:rPr>
                          <w:fldChar w:fldCharType="end"/>
                        </w:r>
                      </w:sdtContent>
                    </w:sdt>
                    <w:r w:rsidRPr="00F46801">
                      <w:rPr>
                        <w:lang w:val="en-GB"/>
                      </w:rPr>
                      <w:t>.</w:t>
                    </w:r>
                  </w:p>
                  <w:p w14:paraId="26D26B1A" w14:textId="77777777" w:rsidR="00097CC6" w:rsidRPr="00F46801" w:rsidRDefault="00097CC6" w:rsidP="00097CC6">
                    <w:pPr>
                      <w:rPr>
                        <w:lang w:val="en-GB"/>
                      </w:rPr>
                    </w:pPr>
                    <w:r w:rsidRPr="00F46801">
                      <w:rPr>
                        <w:lang w:val="en-GB"/>
                      </w:rPr>
                      <w:t xml:space="preserve">In this way, the HR management will emphasise on enhancing the development of </w:t>
                    </w:r>
                    <w:r>
                      <w:rPr>
                        <w:lang w:val="en-GB"/>
                      </w:rPr>
                      <w:t xml:space="preserve">a </w:t>
                    </w:r>
                    <w:r w:rsidRPr="00F46801">
                      <w:rPr>
                        <w:lang w:val="en-GB"/>
                      </w:rPr>
                      <w:t>human resource which will help within the organisational development. This can also be done by vertical and horizontal alignment. The horizontal alignment is regarded as the alignment of the procedures of talent management. Vertical alignment is considered as the alignment of the development of organisations and employees. The horizontal alignment will help the organisation in the management of the current talents in order to retain them so that the company can be benefitted from their skills. The vertical alignment will include training and the utilisation of distinctive methods of growth of employees which will help within the organisational development</w:t>
                    </w:r>
                    <w:sdt>
                      <w:sdtPr>
                        <w:rPr>
                          <w:lang w:val="en-GB"/>
                        </w:rPr>
                        <w:id w:val="-912236576"/>
                        <w:citation/>
                      </w:sdtPr>
                      <w:sdtEndPr/>
                      <w:sdtContent>
                        <w:r>
                          <w:rPr>
                            <w:lang w:val="en-GB"/>
                          </w:rPr>
                          <w:fldChar w:fldCharType="begin"/>
                        </w:r>
                        <w:r>
                          <w:instrText xml:space="preserve"> CITATION Fit16 \l 1033 </w:instrText>
                        </w:r>
                        <w:r>
                          <w:rPr>
                            <w:lang w:val="en-GB"/>
                          </w:rPr>
                          <w:fldChar w:fldCharType="separate"/>
                        </w:r>
                        <w:r>
                          <w:rPr>
                            <w:noProof/>
                          </w:rPr>
                          <w:t xml:space="preserve"> </w:t>
                        </w:r>
                        <w:r w:rsidRPr="003A6408">
                          <w:rPr>
                            <w:noProof/>
                          </w:rPr>
                          <w:t>(Fitzgerald, et al., 2016)</w:t>
                        </w:r>
                        <w:r>
                          <w:rPr>
                            <w:lang w:val="en-GB"/>
                          </w:rPr>
                          <w:fldChar w:fldCharType="end"/>
                        </w:r>
                      </w:sdtContent>
                    </w:sdt>
                    <w:r w:rsidRPr="00F46801">
                      <w:rPr>
                        <w:lang w:val="en-GB"/>
                      </w:rPr>
                      <w:t>.</w:t>
                    </w:r>
                  </w:p>
                  <w:p w14:paraId="71638EEC" w14:textId="77777777" w:rsidR="00097CC6" w:rsidRPr="00F46801" w:rsidRDefault="00097CC6" w:rsidP="00097CC6">
                    <w:pPr>
                      <w:rPr>
                        <w:lang w:val="en-GB"/>
                      </w:rPr>
                    </w:pPr>
                    <w:r w:rsidRPr="00F46801">
                      <w:rPr>
                        <w:lang w:val="en-GB"/>
                      </w:rPr>
                      <w:t xml:space="preserve">In case the HR strategies are not aligned with the overall organisational strategy, this will lead to </w:t>
                    </w:r>
                    <w:r>
                      <w:rPr>
                        <w:lang w:val="en-GB"/>
                      </w:rPr>
                      <w:t xml:space="preserve">an </w:t>
                    </w:r>
                    <w:r w:rsidRPr="00F46801">
                      <w:rPr>
                        <w:lang w:val="en-GB"/>
                      </w:rPr>
                      <w:t xml:space="preserve">adverse impact on the organisation. The organisation will also experience the employee turnover which in turn will reduce the organisational productivity and will also display the negative image. This will also increase the cost of recruitment. The employees will not get training and will not </w:t>
                    </w:r>
                    <w:proofErr w:type="gramStart"/>
                    <w:r w:rsidRPr="00F46801">
                      <w:rPr>
                        <w:lang w:val="en-GB"/>
                      </w:rPr>
                      <w:t>have an understanding of</w:t>
                    </w:r>
                    <w:proofErr w:type="gramEnd"/>
                    <w:r w:rsidRPr="00F46801">
                      <w:rPr>
                        <w:lang w:val="en-GB"/>
                      </w:rPr>
                      <w:t xml:space="preserve"> the tasks. This will cause the wastage of financial resources</w:t>
                    </w:r>
                    <w:sdt>
                      <w:sdtPr>
                        <w:rPr>
                          <w:lang w:val="en-GB"/>
                        </w:rPr>
                        <w:id w:val="190499338"/>
                        <w:citation/>
                      </w:sdtPr>
                      <w:sdtEndPr/>
                      <w:sdtContent>
                        <w:r>
                          <w:rPr>
                            <w:lang w:val="en-GB"/>
                          </w:rPr>
                          <w:fldChar w:fldCharType="begin"/>
                        </w:r>
                        <w:r>
                          <w:instrText xml:space="preserve"> CITATION Eld17 \l 1033 </w:instrText>
                        </w:r>
                        <w:r>
                          <w:rPr>
                            <w:lang w:val="en-GB"/>
                          </w:rPr>
                          <w:fldChar w:fldCharType="separate"/>
                        </w:r>
                        <w:r>
                          <w:rPr>
                            <w:noProof/>
                          </w:rPr>
                          <w:t xml:space="preserve"> </w:t>
                        </w:r>
                        <w:r w:rsidRPr="003A6408">
                          <w:rPr>
                            <w:noProof/>
                          </w:rPr>
                          <w:t>(Eldor &amp; Vigoda-Gadot, 2017)</w:t>
                        </w:r>
                        <w:r>
                          <w:rPr>
                            <w:lang w:val="en-GB"/>
                          </w:rPr>
                          <w:fldChar w:fldCharType="end"/>
                        </w:r>
                      </w:sdtContent>
                    </w:sdt>
                    <w:r w:rsidRPr="00F46801">
                      <w:rPr>
                        <w:lang w:val="en-GB"/>
                      </w:rPr>
                      <w:t>.</w:t>
                    </w:r>
                  </w:p>
                  <w:p w14:paraId="136EE2B5" w14:textId="77777777" w:rsidR="00097CC6" w:rsidRPr="00F46801" w:rsidRDefault="00097CC6" w:rsidP="00097CC6">
                    <w:pPr>
                      <w:rPr>
                        <w:lang w:val="en-GB"/>
                      </w:rPr>
                    </w:pPr>
                    <w:r w:rsidRPr="00F46801">
                      <w:rPr>
                        <w:lang w:val="en-GB"/>
                      </w:rPr>
                      <w:t>There are four enablers of the best employee engagement practices. The first enabler is the strategic narrative which is regarded as the line of sight among the vision of the organisation and job. In case, they are aligned, the employees are well-engaged. The engagement of managers is the second enabler which include</w:t>
                    </w:r>
                    <w:r>
                      <w:rPr>
                        <w:lang w:val="en-GB"/>
                      </w:rPr>
                      <w:t>s</w:t>
                    </w:r>
                    <w:r w:rsidRPr="00F46801">
                      <w:rPr>
                        <w:lang w:val="en-GB"/>
                      </w:rPr>
                      <w:t xml:space="preserve"> clarifying them regarding the organisation of the employee work, providing them </w:t>
                    </w:r>
                    <w:r>
                      <w:rPr>
                        <w:lang w:val="en-GB"/>
                      </w:rPr>
                      <w:t xml:space="preserve">with </w:t>
                    </w:r>
                    <w:r w:rsidRPr="00F46801">
                      <w:rPr>
                        <w:lang w:val="en-GB"/>
                      </w:rPr>
                      <w:t>the training for the implementation of the skills, for instance, encouraging and listening</w:t>
                    </w:r>
                    <w:r>
                      <w:rPr>
                        <w:lang w:val="en-GB"/>
                      </w:rPr>
                      <w:t xml:space="preserve"> to</w:t>
                    </w:r>
                    <w:r w:rsidRPr="00F46801">
                      <w:rPr>
                        <w:lang w:val="en-GB"/>
                      </w:rPr>
                      <w:t xml:space="preserve"> them which will assist in engagement. Employee voice is the third enabler whic</w:t>
                    </w:r>
                    <w:r>
                      <w:rPr>
                        <w:lang w:val="en-GB"/>
                      </w:rPr>
                      <w:t>h</w:t>
                    </w:r>
                    <w:r w:rsidRPr="00F46801">
                      <w:rPr>
                        <w:lang w:val="en-GB"/>
                      </w:rPr>
                      <w:t xml:space="preserve"> includes the entertaining viewpoints for making the employees engaged. Organisational integrity is the fourth enabler within which the employees are engaged to the degree that the values of the organisations can be viewed within the behaviour. The results of employee engagement minimise the employee turnover, increase the loyalty of the customers and retention, increases productivity as well as the reputation of the organisation</w:t>
                    </w:r>
                    <w:sdt>
                      <w:sdtPr>
                        <w:rPr>
                          <w:lang w:val="en-GB"/>
                        </w:rPr>
                        <w:id w:val="518820336"/>
                        <w:citation/>
                      </w:sdtPr>
                      <w:sdtEndPr/>
                      <w:sdtContent>
                        <w:r>
                          <w:rPr>
                            <w:lang w:val="en-GB"/>
                          </w:rPr>
                          <w:fldChar w:fldCharType="begin"/>
                        </w:r>
                        <w:r>
                          <w:instrText xml:space="preserve"> CITATION Kir16 \l 1033 </w:instrText>
                        </w:r>
                        <w:r>
                          <w:rPr>
                            <w:lang w:val="en-GB"/>
                          </w:rPr>
                          <w:fldChar w:fldCharType="separate"/>
                        </w:r>
                        <w:r>
                          <w:rPr>
                            <w:noProof/>
                          </w:rPr>
                          <w:t xml:space="preserve"> </w:t>
                        </w:r>
                        <w:r w:rsidRPr="003A6408">
                          <w:rPr>
                            <w:noProof/>
                          </w:rPr>
                          <w:t>(Kiron, et al., 2016)</w:t>
                        </w:r>
                        <w:r>
                          <w:rPr>
                            <w:lang w:val="en-GB"/>
                          </w:rPr>
                          <w:fldChar w:fldCharType="end"/>
                        </w:r>
                      </w:sdtContent>
                    </w:sdt>
                    <w:r w:rsidRPr="00F46801">
                      <w:rPr>
                        <w:lang w:val="en-GB"/>
                      </w:rPr>
                      <w:t>.</w:t>
                    </w:r>
                  </w:p>
                  <w:p w14:paraId="1FFBEDAE" w14:textId="77777777" w:rsidR="00097CC6" w:rsidRPr="00F46801" w:rsidRDefault="00097CC6" w:rsidP="00097CC6">
                    <w:pPr>
                      <w:pStyle w:val="Heading1"/>
                    </w:pPr>
                    <w:bookmarkStart w:id="15" w:name="_Toc35645838"/>
                    <w:r>
                      <w:t>E</w:t>
                    </w:r>
                    <w:r w:rsidRPr="00F46801">
                      <w:t>valuation of suitable diagnostic tools for measuring employee attitudes and levels of employee engagement</w:t>
                    </w:r>
                    <w:bookmarkEnd w:id="15"/>
                  </w:p>
                  <w:p w14:paraId="1EDA0155" w14:textId="77777777" w:rsidR="00097CC6" w:rsidRPr="00F46801" w:rsidRDefault="00097CC6" w:rsidP="00097CC6">
                    <w:pPr>
                      <w:rPr>
                        <w:lang w:val="en-GB"/>
                      </w:rPr>
                    </w:pPr>
                    <w:r w:rsidRPr="00F46801">
                      <w:rPr>
                        <w:lang w:val="en-GB"/>
                      </w:rPr>
                      <w:t xml:space="preserve">There </w:t>
                    </w:r>
                    <w:r>
                      <w:rPr>
                        <w:lang w:val="en-GB"/>
                      </w:rPr>
                      <w:t>is</w:t>
                    </w:r>
                    <w:r w:rsidRPr="00F46801">
                      <w:rPr>
                        <w:lang w:val="en-GB"/>
                      </w:rPr>
                      <w:t xml:space="preserve"> numerous diagnostic tool that </w:t>
                    </w:r>
                    <w:r>
                      <w:rPr>
                        <w:lang w:val="en-GB"/>
                      </w:rPr>
                      <w:t>is</w:t>
                    </w:r>
                    <w:r w:rsidRPr="00F46801">
                      <w:rPr>
                        <w:lang w:val="en-GB"/>
                      </w:rPr>
                      <w:t xml:space="preserve"> used for measuring the engagement level of the employees. Employee attitude survey is utilised for assessing the employees’ attitudes. This survey look</w:t>
                    </w:r>
                    <w:r>
                      <w:rPr>
                        <w:lang w:val="en-GB"/>
                      </w:rPr>
                      <w:t>s</w:t>
                    </w:r>
                    <w:r w:rsidRPr="00F46801">
                      <w:rPr>
                        <w:lang w:val="en-GB"/>
                      </w:rPr>
                      <w:t xml:space="preserve"> for the identification of the perceptions and views of the employees at work and in their own job role. The management can make use of this tool as a guide for the determination of </w:t>
                    </w:r>
                    <w:r>
                      <w:rPr>
                        <w:lang w:val="en-GB"/>
                      </w:rPr>
                      <w:t xml:space="preserve">the </w:t>
                    </w:r>
                    <w:r w:rsidRPr="00F46801">
                      <w:rPr>
                        <w:lang w:val="en-GB"/>
                      </w:rPr>
                      <w:t xml:space="preserve">extent to which the employees are engaged. It can also be utilised for the identification of the requirements of the employees which should be satisfied </w:t>
                    </w:r>
                    <w:r>
                      <w:rPr>
                        <w:lang w:val="en-GB"/>
                      </w:rPr>
                      <w:t>with</w:t>
                    </w:r>
                    <w:r w:rsidRPr="00F46801">
                      <w:rPr>
                        <w:lang w:val="en-GB"/>
                      </w:rPr>
                      <w:t xml:space="preserve"> increasing the level of engagement. Online surveys and interviews can also be utilised for the assessment of the attitudes of the employees. The outcomes depict various organisational and perceptual issues which are obstructing the organisation from increasing the engagement level</w:t>
                    </w:r>
                    <w:sdt>
                      <w:sdtPr>
                        <w:rPr>
                          <w:lang w:val="en-GB"/>
                        </w:rPr>
                        <w:id w:val="-434006"/>
                        <w:citation/>
                      </w:sdtPr>
                      <w:sdtEndPr/>
                      <w:sdtContent>
                        <w:r>
                          <w:rPr>
                            <w:lang w:val="en-GB"/>
                          </w:rPr>
                          <w:fldChar w:fldCharType="begin"/>
                        </w:r>
                        <w:r>
                          <w:instrText xml:space="preserve"> CITATION Shi151 \l 1033 </w:instrText>
                        </w:r>
                        <w:r>
                          <w:rPr>
                            <w:lang w:val="en-GB"/>
                          </w:rPr>
                          <w:fldChar w:fldCharType="separate"/>
                        </w:r>
                        <w:r>
                          <w:rPr>
                            <w:noProof/>
                          </w:rPr>
                          <w:t xml:space="preserve"> </w:t>
                        </w:r>
                        <w:r w:rsidRPr="003A6408">
                          <w:rPr>
                            <w:noProof/>
                          </w:rPr>
                          <w:t>(Shields, et al., 2015)</w:t>
                        </w:r>
                        <w:r>
                          <w:rPr>
                            <w:lang w:val="en-GB"/>
                          </w:rPr>
                          <w:fldChar w:fldCharType="end"/>
                        </w:r>
                      </w:sdtContent>
                    </w:sdt>
                    <w:r w:rsidRPr="00F46801">
                      <w:rPr>
                        <w:lang w:val="en-GB"/>
                      </w:rPr>
                      <w:t>.</w:t>
                    </w:r>
                  </w:p>
                  <w:p w14:paraId="2C71DA8B" w14:textId="77777777" w:rsidR="00097CC6" w:rsidRPr="00F46801" w:rsidRDefault="00097CC6" w:rsidP="00097CC6">
                    <w:pPr>
                      <w:rPr>
                        <w:lang w:val="en-GB"/>
                      </w:rPr>
                    </w:pPr>
                    <w:r w:rsidRPr="00F46801">
                      <w:rPr>
                        <w:lang w:val="en-GB"/>
                      </w:rPr>
                      <w:lastRenderedPageBreak/>
                      <w:t xml:space="preserve">Gallup has also developed a survey which comprises of twelve questions for measuring the engagement of employees. These twelve questions identify the twelve expectations of the employees which should be satisfied for enhancing the engagement level. The high scores will depict the growth of sales has been higher because of the high level of engagement whereas, the turnover has been minimised. The survey categorises the employees into three groups that </w:t>
                    </w:r>
                    <w:r>
                      <w:rPr>
                        <w:lang w:val="en-GB"/>
                      </w:rPr>
                      <w:t>are</w:t>
                    </w:r>
                    <w:r w:rsidRPr="00F46801">
                      <w:rPr>
                        <w:lang w:val="en-GB"/>
                      </w:rPr>
                      <w:t xml:space="preserve"> not engaged, engaged and actively engaged</w:t>
                    </w:r>
                    <w:sdt>
                      <w:sdtPr>
                        <w:rPr>
                          <w:lang w:val="en-GB"/>
                        </w:rPr>
                        <w:id w:val="184030022"/>
                        <w:citation/>
                      </w:sdtPr>
                      <w:sdtEndPr/>
                      <w:sdtContent>
                        <w:r>
                          <w:rPr>
                            <w:lang w:val="en-GB"/>
                          </w:rPr>
                          <w:fldChar w:fldCharType="begin"/>
                        </w:r>
                        <w:r>
                          <w:instrText xml:space="preserve"> CITATION Rad15 \l 1033 </w:instrText>
                        </w:r>
                        <w:r>
                          <w:rPr>
                            <w:lang w:val="en-GB"/>
                          </w:rPr>
                          <w:fldChar w:fldCharType="separate"/>
                        </w:r>
                        <w:r>
                          <w:rPr>
                            <w:noProof/>
                          </w:rPr>
                          <w:t xml:space="preserve"> </w:t>
                        </w:r>
                        <w:r w:rsidRPr="003A6408">
                          <w:rPr>
                            <w:noProof/>
                          </w:rPr>
                          <w:t>(Radda, et al., 2015.)</w:t>
                        </w:r>
                        <w:r>
                          <w:rPr>
                            <w:lang w:val="en-GB"/>
                          </w:rPr>
                          <w:fldChar w:fldCharType="end"/>
                        </w:r>
                      </w:sdtContent>
                    </w:sdt>
                    <w:r w:rsidRPr="00F46801">
                      <w:rPr>
                        <w:lang w:val="en-GB"/>
                      </w:rPr>
                      <w:t>.</w:t>
                    </w:r>
                  </w:p>
                  <w:p w14:paraId="26D9D6F9" w14:textId="77777777" w:rsidR="00097CC6" w:rsidRPr="00F46801" w:rsidRDefault="00097CC6" w:rsidP="00097CC6">
                    <w:pPr>
                      <w:rPr>
                        <w:lang w:val="en-GB"/>
                      </w:rPr>
                    </w:pPr>
                    <w:r w:rsidRPr="00F46801">
                      <w:rPr>
                        <w:lang w:val="en-GB"/>
                      </w:rPr>
                      <w:t xml:space="preserve">The employee engagement surveys are particularly developed for measuring the engagement; however, they just measure the engagement level. The outcomes depict the threat of the forthcoming the employee turnover as well as the level of satisfaction and motivation. The focused groups are also utilised to have </w:t>
                    </w:r>
                    <w:r>
                      <w:rPr>
                        <w:lang w:val="en-GB"/>
                      </w:rPr>
                      <w:t>an</w:t>
                    </w:r>
                    <w:r w:rsidRPr="00F46801">
                      <w:rPr>
                        <w:lang w:val="en-GB"/>
                      </w:rPr>
                      <w:t xml:space="preserve"> in</w:t>
                    </w:r>
                    <w:r>
                      <w:rPr>
                        <w:lang w:val="en-GB"/>
                      </w:rPr>
                      <w:t>-</w:t>
                    </w:r>
                    <w:r w:rsidRPr="00F46801">
                      <w:rPr>
                        <w:lang w:val="en-GB"/>
                      </w:rPr>
                      <w:t>depth knowledge of the employee engagement level. Besides these, there are also numerous HR analytic which can be regarded for measuring the level of engagement</w:t>
                    </w:r>
                    <w:sdt>
                      <w:sdtPr>
                        <w:rPr>
                          <w:lang w:val="en-GB"/>
                        </w:rPr>
                        <w:id w:val="-616134823"/>
                        <w:citation/>
                      </w:sdtPr>
                      <w:sdtEndPr/>
                      <w:sdtContent>
                        <w:r>
                          <w:rPr>
                            <w:lang w:val="en-GB"/>
                          </w:rPr>
                          <w:fldChar w:fldCharType="begin"/>
                        </w:r>
                        <w:r>
                          <w:instrText xml:space="preserve"> CITATION Ang16 \l 1033 </w:instrText>
                        </w:r>
                        <w:r>
                          <w:rPr>
                            <w:lang w:val="en-GB"/>
                          </w:rPr>
                          <w:fldChar w:fldCharType="separate"/>
                        </w:r>
                        <w:r>
                          <w:rPr>
                            <w:noProof/>
                          </w:rPr>
                          <w:t xml:space="preserve"> </w:t>
                        </w:r>
                        <w:r w:rsidRPr="003A6408">
                          <w:rPr>
                            <w:noProof/>
                          </w:rPr>
                          <w:t>(Angrave, et al., 2016)</w:t>
                        </w:r>
                        <w:r>
                          <w:rPr>
                            <w:lang w:val="en-GB"/>
                          </w:rPr>
                          <w:fldChar w:fldCharType="end"/>
                        </w:r>
                      </w:sdtContent>
                    </w:sdt>
                    <w:r w:rsidRPr="00F46801">
                      <w:rPr>
                        <w:lang w:val="en-GB"/>
                      </w:rPr>
                      <w:t>. For example, the high absenteeism rate depicts that there are problems in the organisation which are triggering employees for skipping their work. On the other hand, it is not the only determinant of the low level of engagement as the high rate of absenteeism will also lead to the failing health of the employees. However, the increased absenteeism and employee turnover point out that there is something wrong that is customary within the organisation. This information can also be utilised for measuring and analysing the engagement level of the employees for making the required changes</w:t>
                    </w:r>
                    <w:sdt>
                      <w:sdtPr>
                        <w:rPr>
                          <w:lang w:val="en-GB"/>
                        </w:rPr>
                        <w:id w:val="-1098090697"/>
                        <w:citation/>
                      </w:sdtPr>
                      <w:sdtEndPr/>
                      <w:sdtContent>
                        <w:r>
                          <w:rPr>
                            <w:lang w:val="en-GB"/>
                          </w:rPr>
                          <w:fldChar w:fldCharType="begin"/>
                        </w:r>
                        <w:r>
                          <w:instrText xml:space="preserve"> CITATION Mis16 \l 1033 </w:instrText>
                        </w:r>
                        <w:r>
                          <w:rPr>
                            <w:lang w:val="en-GB"/>
                          </w:rPr>
                          <w:fldChar w:fldCharType="separate"/>
                        </w:r>
                        <w:r>
                          <w:rPr>
                            <w:noProof/>
                          </w:rPr>
                          <w:t xml:space="preserve"> </w:t>
                        </w:r>
                        <w:r w:rsidRPr="003A6408">
                          <w:rPr>
                            <w:noProof/>
                          </w:rPr>
                          <w:t>(Mishra, et al., 2016)</w:t>
                        </w:r>
                        <w:r>
                          <w:rPr>
                            <w:lang w:val="en-GB"/>
                          </w:rPr>
                          <w:fldChar w:fldCharType="end"/>
                        </w:r>
                      </w:sdtContent>
                    </w:sdt>
                    <w:r w:rsidRPr="00F46801">
                      <w:rPr>
                        <w:lang w:val="en-GB"/>
                      </w:rPr>
                      <w:t xml:space="preserve">. </w:t>
                    </w:r>
                  </w:p>
                  <w:p w14:paraId="0E18C515" w14:textId="77777777" w:rsidR="00097CC6" w:rsidRPr="00F46801" w:rsidRDefault="00097CC6" w:rsidP="00097CC6">
                    <w:pPr>
                      <w:rPr>
                        <w:lang w:val="en-GB"/>
                      </w:rPr>
                    </w:pPr>
                    <w:r w:rsidRPr="00F46801">
                      <w:rPr>
                        <w:lang w:val="en-GB"/>
                      </w:rPr>
                      <w:t>Tiny Pulse System is also one of the diagnostic tool</w:t>
                    </w:r>
                    <w:r>
                      <w:rPr>
                        <w:lang w:val="en-GB"/>
                      </w:rPr>
                      <w:t>s</w:t>
                    </w:r>
                    <w:r w:rsidRPr="00F46801">
                      <w:rPr>
                        <w:lang w:val="en-GB"/>
                      </w:rPr>
                      <w:t xml:space="preserve"> which is used for measuring the engagement level of the employees. This software has been developed for carrying out the hybrid approach of the employee pulse survey. This type of surveys send</w:t>
                    </w:r>
                    <w:r>
                      <w:rPr>
                        <w:lang w:val="en-GB"/>
                      </w:rPr>
                      <w:t>s</w:t>
                    </w:r>
                    <w:r w:rsidRPr="00F46801">
                      <w:rPr>
                        <w:lang w:val="en-GB"/>
                      </w:rPr>
                      <w:t xml:space="preserve"> </w:t>
                    </w:r>
                    <w:r>
                      <w:rPr>
                        <w:lang w:val="en-GB"/>
                      </w:rPr>
                      <w:t xml:space="preserve">a </w:t>
                    </w:r>
                    <w:r w:rsidRPr="00F46801">
                      <w:rPr>
                        <w:lang w:val="en-GB"/>
                      </w:rPr>
                      <w:t xml:space="preserve">certain question to the selected employees for </w:t>
                    </w:r>
                    <w:proofErr w:type="gramStart"/>
                    <w:r w:rsidRPr="00F46801">
                      <w:rPr>
                        <w:lang w:val="en-GB"/>
                      </w:rPr>
                      <w:t>having an understanding of</w:t>
                    </w:r>
                    <w:proofErr w:type="gramEnd"/>
                    <w:r w:rsidRPr="00F46801">
                      <w:rPr>
                        <w:lang w:val="en-GB"/>
                      </w:rPr>
                      <w:t xml:space="preserve"> what they are thinking and doing. The tiny pulse system also utilises this method for attaining employee feedback. The software then automatically </w:t>
                    </w:r>
                    <w:proofErr w:type="gramStart"/>
                    <w:r w:rsidRPr="00F46801">
                      <w:rPr>
                        <w:lang w:val="en-GB"/>
                      </w:rPr>
                      <w:t>send</w:t>
                    </w:r>
                    <w:proofErr w:type="gramEnd"/>
                    <w:r w:rsidRPr="00F46801">
                      <w:rPr>
                        <w:lang w:val="en-GB"/>
                      </w:rPr>
                      <w:t xml:space="preserve"> the survey having one question each week for helping the leaders for keeping the pulse on engagement that is to say to enhance the engagement. It is considered as better in comparison to the old employee survey methods which are now outdated. The old employee surveys do not offer </w:t>
                    </w:r>
                    <w:r>
                      <w:rPr>
                        <w:lang w:val="en-GB"/>
                      </w:rPr>
                      <w:t>a</w:t>
                    </w:r>
                    <w:r w:rsidRPr="00F46801">
                      <w:rPr>
                        <w:lang w:val="en-GB"/>
                      </w:rPr>
                      <w:t xml:space="preserve"> meaningful evaluation of the problems that are required to be analysed. The reason behind this is that the employees might not give </w:t>
                    </w:r>
                    <w:r>
                      <w:rPr>
                        <w:lang w:val="en-GB"/>
                      </w:rPr>
                      <w:t>an</w:t>
                    </w:r>
                    <w:r w:rsidRPr="00F46801">
                      <w:rPr>
                        <w:lang w:val="en-GB"/>
                      </w:rPr>
                      <w:t xml:space="preserve"> honest response. The annual approaches related to feedback do not develop trust and engagement which needed for the honest feedback. The pulse surveys keep the strong interaction between the management and employees by the help of daily analysis by certain questions which develop </w:t>
                    </w:r>
                    <w:r>
                      <w:rPr>
                        <w:lang w:val="en-GB"/>
                      </w:rPr>
                      <w:t xml:space="preserve">a </w:t>
                    </w:r>
                    <w:r w:rsidRPr="00F46801">
                      <w:rPr>
                        <w:lang w:val="en-GB"/>
                      </w:rPr>
                      <w:t xml:space="preserve">trusting relationship for the provision of </w:t>
                    </w:r>
                    <w:r>
                      <w:rPr>
                        <w:lang w:val="en-GB"/>
                      </w:rPr>
                      <w:t xml:space="preserve">a </w:t>
                    </w:r>
                    <w:r w:rsidRPr="00F46801">
                      <w:rPr>
                        <w:lang w:val="en-GB"/>
                      </w:rPr>
                      <w:t>strong response</w:t>
                    </w:r>
                    <w:sdt>
                      <w:sdtPr>
                        <w:rPr>
                          <w:lang w:val="en-GB"/>
                        </w:rPr>
                        <w:id w:val="587893821"/>
                        <w:citation/>
                      </w:sdtPr>
                      <w:sdtEndPr/>
                      <w:sdtContent>
                        <w:r>
                          <w:rPr>
                            <w:lang w:val="en-GB"/>
                          </w:rPr>
                          <w:fldChar w:fldCharType="begin"/>
                        </w:r>
                        <w:r>
                          <w:instrText xml:space="preserve"> CITATION Cov18 \l 1033 </w:instrText>
                        </w:r>
                        <w:r>
                          <w:rPr>
                            <w:lang w:val="en-GB"/>
                          </w:rPr>
                          <w:fldChar w:fldCharType="separate"/>
                        </w:r>
                        <w:r>
                          <w:rPr>
                            <w:noProof/>
                          </w:rPr>
                          <w:t xml:space="preserve"> </w:t>
                        </w:r>
                        <w:r w:rsidRPr="003A6408">
                          <w:rPr>
                            <w:noProof/>
                          </w:rPr>
                          <w:t>(Covington, 2018)</w:t>
                        </w:r>
                        <w:r>
                          <w:rPr>
                            <w:lang w:val="en-GB"/>
                          </w:rPr>
                          <w:fldChar w:fldCharType="end"/>
                        </w:r>
                      </w:sdtContent>
                    </w:sdt>
                    <w:r w:rsidRPr="00F46801">
                      <w:rPr>
                        <w:lang w:val="en-GB"/>
                      </w:rPr>
                      <w:t>.</w:t>
                    </w:r>
                  </w:p>
                  <w:p w14:paraId="674D7A10" w14:textId="77777777" w:rsidR="00097CC6" w:rsidRPr="00F46801" w:rsidRDefault="00097CC6" w:rsidP="00097CC6">
                    <w:pPr>
                      <w:pStyle w:val="Heading1"/>
                    </w:pPr>
                    <w:bookmarkStart w:id="16" w:name="_Toc35645839"/>
                    <w:r w:rsidRPr="00F46801">
                      <w:t xml:space="preserve">An example of an employee value proposition (EVP) to promote levels of employee engagement </w:t>
                    </w:r>
                    <w:proofErr w:type="gramStart"/>
                    <w:r w:rsidRPr="00F46801">
                      <w:t>making reference</w:t>
                    </w:r>
                    <w:proofErr w:type="gramEnd"/>
                    <w:r w:rsidRPr="00F46801">
                      <w:t xml:space="preserve"> to what makes a ‘good’ EVP</w:t>
                    </w:r>
                    <w:bookmarkEnd w:id="16"/>
                  </w:p>
                  <w:p w14:paraId="2250A3F0" w14:textId="77777777" w:rsidR="00097CC6" w:rsidRPr="00F46801" w:rsidRDefault="00097CC6" w:rsidP="00097CC6">
                    <w:pPr>
                      <w:rPr>
                        <w:lang w:val="en-GB"/>
                      </w:rPr>
                    </w:pPr>
                    <w:r w:rsidRPr="00F46801">
                      <w:rPr>
                        <w:lang w:val="en-GB"/>
                      </w:rPr>
                      <w:t xml:space="preserve">The employee value proposition is regarded as an approach emphasising on the individuals that </w:t>
                    </w:r>
                    <w:r>
                      <w:rPr>
                        <w:lang w:val="en-GB"/>
                      </w:rPr>
                      <w:t>are</w:t>
                    </w:r>
                    <w:r w:rsidRPr="00F46801">
                      <w:rPr>
                        <w:lang w:val="en-GB"/>
                      </w:rPr>
                      <w:t xml:space="preserve"> directed towards the employees and the integrated strategies for planning for the human resource. It must be original, unique, convincing as well as directed strategically towards the talent pool. It must provide an outline of the unique policies and programs for the employees involving the rewards and benefits which depicts the commitment of the company towards the people as well as for management development</w:t>
                    </w:r>
                    <w:sdt>
                      <w:sdtPr>
                        <w:rPr>
                          <w:lang w:val="en-GB"/>
                        </w:rPr>
                        <w:id w:val="580337952"/>
                        <w:citation/>
                      </w:sdtPr>
                      <w:sdtEndPr/>
                      <w:sdtContent>
                        <w:r>
                          <w:rPr>
                            <w:lang w:val="en-GB"/>
                          </w:rPr>
                          <w:fldChar w:fldCharType="begin"/>
                        </w:r>
                        <w:r>
                          <w:instrText xml:space="preserve"> CITATION Paw15 \l 1033 </w:instrText>
                        </w:r>
                        <w:r>
                          <w:rPr>
                            <w:lang w:val="en-GB"/>
                          </w:rPr>
                          <w:fldChar w:fldCharType="separate"/>
                        </w:r>
                        <w:r>
                          <w:rPr>
                            <w:noProof/>
                          </w:rPr>
                          <w:t xml:space="preserve"> </w:t>
                        </w:r>
                        <w:r w:rsidRPr="003A6408">
                          <w:rPr>
                            <w:noProof/>
                          </w:rPr>
                          <w:t>(Pawar &amp; Charak, 2015)</w:t>
                        </w:r>
                        <w:r>
                          <w:rPr>
                            <w:lang w:val="en-GB"/>
                          </w:rPr>
                          <w:fldChar w:fldCharType="end"/>
                        </w:r>
                      </w:sdtContent>
                    </w:sdt>
                    <w:r w:rsidRPr="00F46801">
                      <w:rPr>
                        <w:lang w:val="en-GB"/>
                      </w:rPr>
                      <w:t>.</w:t>
                    </w:r>
                  </w:p>
                  <w:p w14:paraId="0AADE5CA" w14:textId="77777777" w:rsidR="00097CC6" w:rsidRPr="00F46801" w:rsidRDefault="00097CC6" w:rsidP="00097CC6">
                    <w:pPr>
                      <w:rPr>
                        <w:lang w:val="en-GB"/>
                      </w:rPr>
                    </w:pPr>
                    <w:r w:rsidRPr="00F46801">
                      <w:rPr>
                        <w:lang w:val="en-GB"/>
                      </w:rPr>
                      <w:lastRenderedPageBreak/>
                      <w:t xml:space="preserve">The presence of EVP or Employee Value Proposition is considered as the tool for attracting and retaining the best of employees within the organisation. EVP is used for communicating the ways in which the organisation </w:t>
                    </w:r>
                    <w:proofErr w:type="gramStart"/>
                    <w:r w:rsidRPr="00F46801">
                      <w:rPr>
                        <w:lang w:val="en-GB"/>
                      </w:rPr>
                      <w:t>value</w:t>
                    </w:r>
                    <w:proofErr w:type="gramEnd"/>
                    <w:r w:rsidRPr="00F46801">
                      <w:rPr>
                        <w:lang w:val="en-GB"/>
                      </w:rPr>
                      <w:t xml:space="preserve"> its employees and the ways in which they make efforts for giving priority to the employee well-being to the world. Hence, it is significant for the organisations to carry out brainstorming for the effective EVP which comprises of </w:t>
                    </w:r>
                    <w:proofErr w:type="gramStart"/>
                    <w:r w:rsidRPr="00F46801">
                      <w:rPr>
                        <w:lang w:val="en-GB"/>
                      </w:rPr>
                      <w:t>all of</w:t>
                    </w:r>
                    <w:proofErr w:type="gramEnd"/>
                    <w:r w:rsidRPr="00F46801">
                      <w:rPr>
                        <w:lang w:val="en-GB"/>
                      </w:rPr>
                      <w:t xml:space="preserve"> the characteristics of the management as well as engagement of employees. Following is an example of EVP</w:t>
                    </w:r>
                    <w:sdt>
                      <w:sdtPr>
                        <w:rPr>
                          <w:lang w:val="en-GB"/>
                        </w:rPr>
                        <w:id w:val="1034466589"/>
                        <w:citation/>
                      </w:sdtPr>
                      <w:sdtEndPr/>
                      <w:sdtContent>
                        <w:r>
                          <w:rPr>
                            <w:lang w:val="en-GB"/>
                          </w:rPr>
                          <w:fldChar w:fldCharType="begin"/>
                        </w:r>
                        <w:r>
                          <w:instrText xml:space="preserve"> CITATION Sal18 \l 1033 </w:instrText>
                        </w:r>
                        <w:r>
                          <w:rPr>
                            <w:lang w:val="en-GB"/>
                          </w:rPr>
                          <w:fldChar w:fldCharType="separate"/>
                        </w:r>
                        <w:r>
                          <w:rPr>
                            <w:noProof/>
                          </w:rPr>
                          <w:t xml:space="preserve"> </w:t>
                        </w:r>
                        <w:r w:rsidRPr="003A6408">
                          <w:rPr>
                            <w:noProof/>
                          </w:rPr>
                          <w:t>(Salau, et al., 2018)</w:t>
                        </w:r>
                        <w:r>
                          <w:rPr>
                            <w:lang w:val="en-GB"/>
                          </w:rPr>
                          <w:fldChar w:fldCharType="end"/>
                        </w:r>
                      </w:sdtContent>
                    </w:sdt>
                    <w:r w:rsidRPr="00F46801">
                      <w:rPr>
                        <w:lang w:val="en-GB"/>
                      </w:rPr>
                      <w:t>.</w:t>
                    </w:r>
                  </w:p>
                  <w:p w14:paraId="4C552151" w14:textId="77777777" w:rsidR="00097CC6" w:rsidRPr="00F46801" w:rsidRDefault="00097CC6" w:rsidP="00097CC6">
                    <w:pPr>
                      <w:rPr>
                        <w:lang w:val="en-GB"/>
                      </w:rPr>
                    </w:pPr>
                    <w:r w:rsidRPr="00F46801">
                      <w:rPr>
                        <w:lang w:val="en-GB"/>
                      </w:rPr>
                      <w:t>“We’re Shopify. Our mission is to make commerce better for everyone- but we’re not the workplace for everyone. We thrive on change, operate on trust and leverage the diverse perspectives of the people on our team in everything we do. We solve problems at a rapid pace.”</w:t>
                    </w:r>
                  </w:p>
                  <w:p w14:paraId="78EBFD55" w14:textId="77777777" w:rsidR="00097CC6" w:rsidRPr="00F46801" w:rsidRDefault="00097CC6" w:rsidP="00097CC6">
                    <w:pPr>
                      <w:rPr>
                        <w:lang w:val="en-GB"/>
                      </w:rPr>
                    </w:pPr>
                    <w:r w:rsidRPr="00F46801">
                      <w:rPr>
                        <w:lang w:val="en-GB"/>
                      </w:rPr>
                      <w:t xml:space="preserve">The above EVP depicts that it is a platform comprising of </w:t>
                    </w:r>
                    <w:proofErr w:type="gramStart"/>
                    <w:r w:rsidRPr="00F46801">
                      <w:rPr>
                        <w:lang w:val="en-GB"/>
                      </w:rPr>
                      <w:t>all of</w:t>
                    </w:r>
                    <w:proofErr w:type="gramEnd"/>
                    <w:r w:rsidRPr="00F46801">
                      <w:rPr>
                        <w:lang w:val="en-GB"/>
                      </w:rPr>
                      <w:t xml:space="preserve"> the point of sales and e</w:t>
                    </w:r>
                    <w:r>
                      <w:rPr>
                        <w:lang w:val="en-GB"/>
                      </w:rPr>
                      <w:t>C</w:t>
                    </w:r>
                    <w:r w:rsidRPr="00F46801">
                      <w:rPr>
                        <w:lang w:val="en-GB"/>
                      </w:rPr>
                      <w:t>ommerce features that are required by the business for starting, running and growing the business. The initiation of any business require</w:t>
                    </w:r>
                    <w:r>
                      <w:rPr>
                        <w:lang w:val="en-GB"/>
                      </w:rPr>
                      <w:t>s</w:t>
                    </w:r>
                    <w:r w:rsidRPr="00F46801">
                      <w:rPr>
                        <w:lang w:val="en-GB"/>
                      </w:rPr>
                      <w:t xml:space="preserve"> trust as well as </w:t>
                    </w:r>
                    <w:r>
                      <w:rPr>
                        <w:lang w:val="en-GB"/>
                      </w:rPr>
                      <w:t xml:space="preserve">the </w:t>
                    </w:r>
                    <w:r w:rsidRPr="00F46801">
                      <w:rPr>
                        <w:lang w:val="en-GB"/>
                      </w:rPr>
                      <w:t>need for change. The young individuals today want to work at the place that offers diversity. Therefore, this EVP will be successful in attracting and retaining the employees</w:t>
                    </w:r>
                    <w:sdt>
                      <w:sdtPr>
                        <w:rPr>
                          <w:lang w:val="en-GB"/>
                        </w:rPr>
                        <w:id w:val="1613562860"/>
                        <w:citation/>
                      </w:sdtPr>
                      <w:sdtEndPr/>
                      <w:sdtContent>
                        <w:r>
                          <w:rPr>
                            <w:lang w:val="en-GB"/>
                          </w:rPr>
                          <w:fldChar w:fldCharType="begin"/>
                        </w:r>
                        <w:r>
                          <w:instrText xml:space="preserve"> CITATION Pav15 \l 1033 </w:instrText>
                        </w:r>
                        <w:r>
                          <w:rPr>
                            <w:lang w:val="en-GB"/>
                          </w:rPr>
                          <w:fldChar w:fldCharType="separate"/>
                        </w:r>
                        <w:r>
                          <w:rPr>
                            <w:noProof/>
                          </w:rPr>
                          <w:t xml:space="preserve"> </w:t>
                        </w:r>
                        <w:r w:rsidRPr="008B2B84">
                          <w:rPr>
                            <w:noProof/>
                          </w:rPr>
                          <w:t>(Pavar &amp; Charak, 2015)</w:t>
                        </w:r>
                        <w:r>
                          <w:rPr>
                            <w:lang w:val="en-GB"/>
                          </w:rPr>
                          <w:fldChar w:fldCharType="end"/>
                        </w:r>
                      </w:sdtContent>
                    </w:sdt>
                    <w:r w:rsidRPr="00F46801">
                      <w:rPr>
                        <w:lang w:val="en-GB"/>
                      </w:rPr>
                      <w:t>.</w:t>
                    </w:r>
                  </w:p>
                  <w:p w14:paraId="1062AF13" w14:textId="77777777" w:rsidR="00097CC6" w:rsidRPr="00F46801" w:rsidRDefault="00097CC6" w:rsidP="00097CC6">
                    <w:pPr>
                      <w:pStyle w:val="Heading1"/>
                    </w:pPr>
                    <w:bookmarkStart w:id="17" w:name="_Toc35645840"/>
                    <w:r w:rsidRPr="00F46801">
                      <w:t>Examples of relevant HR strategies to raise levels of employee engagement and address barriers</w:t>
                    </w:r>
                    <w:bookmarkEnd w:id="17"/>
                  </w:p>
                  <w:p w14:paraId="34E335DC" w14:textId="77777777" w:rsidR="00097CC6" w:rsidRPr="00F46801" w:rsidRDefault="00097CC6" w:rsidP="00097CC6">
                    <w:pPr>
                      <w:rPr>
                        <w:lang w:val="en-GB"/>
                      </w:rPr>
                    </w:pPr>
                    <w:r w:rsidRPr="00F46801">
                      <w:rPr>
                        <w:lang w:val="en-GB"/>
                      </w:rPr>
                      <w:t>Within the leadership strategy, the leaders implement the behaviour which motivates the employees for their performance. The leader become</w:t>
                    </w:r>
                    <w:r>
                      <w:rPr>
                        <w:lang w:val="en-GB"/>
                      </w:rPr>
                      <w:t>s</w:t>
                    </w:r>
                    <w:r w:rsidRPr="00F46801">
                      <w:rPr>
                        <w:lang w:val="en-GB"/>
                      </w:rPr>
                      <w:t xml:space="preserve"> capable of being open, fair and consistent towards the employees within which the unbiased and flexible interaction is carried out. The leader must also develop </w:t>
                    </w:r>
                    <w:r>
                      <w:rPr>
                        <w:lang w:val="en-GB"/>
                      </w:rPr>
                      <w:t>a</w:t>
                    </w:r>
                    <w:r w:rsidRPr="00F46801">
                      <w:rPr>
                        <w:lang w:val="en-GB"/>
                      </w:rPr>
                      <w:t xml:space="preserve"> relationship with the employees </w:t>
                    </w:r>
                    <w:proofErr w:type="gramStart"/>
                    <w:r w:rsidRPr="00F46801">
                      <w:rPr>
                        <w:lang w:val="en-GB"/>
                      </w:rPr>
                      <w:t>on the basis of</w:t>
                    </w:r>
                    <w:proofErr w:type="gramEnd"/>
                    <w:r w:rsidRPr="00F46801">
                      <w:rPr>
                        <w:lang w:val="en-GB"/>
                      </w:rPr>
                      <w:t xml:space="preserve"> value and trust. The leaders enhance the employees’ knowledge by the clarification of the employees’ vision, providing them</w:t>
                    </w:r>
                    <w:r>
                      <w:rPr>
                        <w:lang w:val="en-GB"/>
                      </w:rPr>
                      <w:t xml:space="preserve"> with</w:t>
                    </w:r>
                    <w:r w:rsidRPr="00F46801">
                      <w:rPr>
                        <w:lang w:val="en-GB"/>
                      </w:rPr>
                      <w:t xml:space="preserve"> gentle training and coaching. Leaders must support the development of employees by the active training courses. The leaders attain the quality of controlling the conflicts in </w:t>
                    </w:r>
                    <w:r>
                      <w:rPr>
                        <w:lang w:val="en-GB"/>
                      </w:rPr>
                      <w:t xml:space="preserve">a </w:t>
                    </w:r>
                    <w:r w:rsidRPr="00F46801">
                      <w:rPr>
                        <w:lang w:val="en-GB"/>
                      </w:rPr>
                      <w:t xml:space="preserve">fair manner. The leaders should build empowerment within which the employees are provided </w:t>
                    </w:r>
                    <w:r>
                      <w:rPr>
                        <w:lang w:val="en-GB"/>
                      </w:rPr>
                      <w:t xml:space="preserve">with </w:t>
                    </w:r>
                    <w:r w:rsidRPr="00F46801">
                      <w:rPr>
                        <w:lang w:val="en-GB"/>
                      </w:rPr>
                      <w:t>a sense of responsibility and along with the leaders to be loyal within their responsibilities</w:t>
                    </w:r>
                    <w:sdt>
                      <w:sdtPr>
                        <w:rPr>
                          <w:lang w:val="en-GB"/>
                        </w:rPr>
                        <w:id w:val="-77976196"/>
                        <w:citation/>
                      </w:sdtPr>
                      <w:sdtEndPr/>
                      <w:sdtContent>
                        <w:r>
                          <w:rPr>
                            <w:lang w:val="en-GB"/>
                          </w:rPr>
                          <w:fldChar w:fldCharType="begin"/>
                        </w:r>
                        <w:r>
                          <w:instrText xml:space="preserve"> CITATION Mon18 \l 1033 </w:instrText>
                        </w:r>
                        <w:r>
                          <w:rPr>
                            <w:lang w:val="en-GB"/>
                          </w:rPr>
                          <w:fldChar w:fldCharType="separate"/>
                        </w:r>
                        <w:r>
                          <w:rPr>
                            <w:noProof/>
                          </w:rPr>
                          <w:t xml:space="preserve"> </w:t>
                        </w:r>
                        <w:r w:rsidRPr="008B2B84">
                          <w:rPr>
                            <w:noProof/>
                          </w:rPr>
                          <w:t>(Mone, et al., 2018)</w:t>
                        </w:r>
                        <w:r>
                          <w:rPr>
                            <w:lang w:val="en-GB"/>
                          </w:rPr>
                          <w:fldChar w:fldCharType="end"/>
                        </w:r>
                      </w:sdtContent>
                    </w:sdt>
                    <w:r w:rsidRPr="00F46801">
                      <w:rPr>
                        <w:lang w:val="en-GB"/>
                      </w:rPr>
                      <w:t>.</w:t>
                    </w:r>
                  </w:p>
                  <w:p w14:paraId="0B95F71E" w14:textId="77777777" w:rsidR="00097CC6" w:rsidRPr="00F46801" w:rsidRDefault="00097CC6" w:rsidP="00097CC6">
                    <w:pPr>
                      <w:rPr>
                        <w:lang w:val="en-GB"/>
                      </w:rPr>
                    </w:pPr>
                    <w:r w:rsidRPr="00F46801">
                      <w:rPr>
                        <w:lang w:val="en-GB"/>
                      </w:rPr>
                      <w:t>The resourcing strategy includes the setting of the attraction and recruitment policies for hiring the appropriate employees and enhancing their performance as well as facilitating the retention. It includes the development of the positive EVP within which the quality of the organisation offer</w:t>
                    </w:r>
                    <w:r>
                      <w:rPr>
                        <w:lang w:val="en-GB"/>
                      </w:rPr>
                      <w:t>s</w:t>
                    </w:r>
                    <w:r w:rsidRPr="00F46801">
                      <w:rPr>
                        <w:lang w:val="en-GB"/>
                      </w:rPr>
                      <w:t xml:space="preserve"> the foundation for the employees for working and staying within the organisation. The HR managers build the development planning for the staff by the help of training, coaching as well as mentoring. The employees are also provided support by numerous approaches, for instance, communication methods, incentives, leaves, etc</w:t>
                    </w:r>
                    <w:sdt>
                      <w:sdtPr>
                        <w:rPr>
                          <w:lang w:val="en-GB"/>
                        </w:rPr>
                        <w:id w:val="1770590182"/>
                        <w:citation/>
                      </w:sdtPr>
                      <w:sdtEndPr/>
                      <w:sdtContent>
                        <w:r>
                          <w:rPr>
                            <w:lang w:val="en-GB"/>
                          </w:rPr>
                          <w:fldChar w:fldCharType="begin"/>
                        </w:r>
                        <w:r>
                          <w:instrText xml:space="preserve"> CITATION Kar15 \l 1033 </w:instrText>
                        </w:r>
                        <w:r>
                          <w:rPr>
                            <w:lang w:val="en-GB"/>
                          </w:rPr>
                          <w:fldChar w:fldCharType="separate"/>
                        </w:r>
                        <w:r>
                          <w:rPr>
                            <w:noProof/>
                          </w:rPr>
                          <w:t xml:space="preserve"> </w:t>
                        </w:r>
                        <w:r w:rsidRPr="008B2B84">
                          <w:rPr>
                            <w:noProof/>
                          </w:rPr>
                          <w:t>(Kariuki &amp; Makori, 2015)</w:t>
                        </w:r>
                        <w:r>
                          <w:rPr>
                            <w:lang w:val="en-GB"/>
                          </w:rPr>
                          <w:fldChar w:fldCharType="end"/>
                        </w:r>
                      </w:sdtContent>
                    </w:sdt>
                    <w:r w:rsidRPr="00F46801">
                      <w:rPr>
                        <w:lang w:val="en-GB"/>
                      </w:rPr>
                      <w:t>.</w:t>
                    </w:r>
                  </w:p>
                  <w:p w14:paraId="1335E43C" w14:textId="77777777" w:rsidR="00097CC6" w:rsidRPr="00F46801" w:rsidRDefault="00097CC6" w:rsidP="00097CC6">
                    <w:pPr>
                      <w:rPr>
                        <w:lang w:val="en-GB"/>
                      </w:rPr>
                    </w:pPr>
                    <w:r w:rsidRPr="00F46801">
                      <w:rPr>
                        <w:lang w:val="en-GB"/>
                      </w:rPr>
                      <w:t xml:space="preserve">The HR managers conduct surveys for acquiring the feedback of the employees. On the other hand, this method has been frequently criticised due to </w:t>
                    </w:r>
                    <w:r>
                      <w:rPr>
                        <w:lang w:val="en-GB"/>
                      </w:rPr>
                      <w:t>its</w:t>
                    </w:r>
                    <w:r w:rsidRPr="00F46801">
                      <w:rPr>
                        <w:lang w:val="en-GB"/>
                      </w:rPr>
                      <w:t xml:space="preserve"> unpredictable response. Within performance, the employee performance is also managed, the objectives are also clarified to the employees, the concept of line of sight is also integrated within which the ways in which the employees </w:t>
                    </w:r>
                    <w:proofErr w:type="gramStart"/>
                    <w:r w:rsidRPr="00F46801">
                      <w:rPr>
                        <w:lang w:val="en-GB"/>
                      </w:rPr>
                      <w:t xml:space="preserve">make </w:t>
                    </w:r>
                    <w:r>
                      <w:rPr>
                        <w:lang w:val="en-GB"/>
                      </w:rPr>
                      <w:t xml:space="preserve">a </w:t>
                    </w:r>
                    <w:r w:rsidRPr="00F46801">
                      <w:rPr>
                        <w:lang w:val="en-GB"/>
                      </w:rPr>
                      <w:t>contribution</w:t>
                    </w:r>
                    <w:proofErr w:type="gramEnd"/>
                    <w:r w:rsidRPr="00F46801">
                      <w:rPr>
                        <w:lang w:val="en-GB"/>
                      </w:rPr>
                      <w:t xml:space="preserve"> to the strategy of the organisation is analysed. The 360 feedback is also acquired from the supervisors or the employees on the performance. The development strategy includes the increment in the skills of the employees by the help of coaching, training and the opportunities for career progression. It involves the creation and following of the roadmap to development planning, </w:t>
                    </w:r>
                    <w:r w:rsidRPr="00F46801">
                      <w:rPr>
                        <w:lang w:val="en-GB"/>
                      </w:rPr>
                      <w:lastRenderedPageBreak/>
                      <w:t xml:space="preserve">creation of the capability framework on which the development of the employees </w:t>
                    </w:r>
                    <w:proofErr w:type="gramStart"/>
                    <w:r w:rsidRPr="00F46801">
                      <w:rPr>
                        <w:lang w:val="en-GB"/>
                      </w:rPr>
                      <w:t>has to</w:t>
                    </w:r>
                    <w:proofErr w:type="gramEnd"/>
                    <w:r w:rsidRPr="00F46801">
                      <w:rPr>
                        <w:lang w:val="en-GB"/>
                      </w:rPr>
                      <w:t xml:space="preserve"> comply for succession</w:t>
                    </w:r>
                    <w:sdt>
                      <w:sdtPr>
                        <w:rPr>
                          <w:lang w:val="en-GB"/>
                        </w:rPr>
                        <w:id w:val="245772136"/>
                        <w:citation/>
                      </w:sdtPr>
                      <w:sdtEndPr/>
                      <w:sdtContent>
                        <w:r>
                          <w:rPr>
                            <w:lang w:val="en-GB"/>
                          </w:rPr>
                          <w:fldChar w:fldCharType="begin"/>
                        </w:r>
                        <w:r>
                          <w:instrText xml:space="preserve"> CITATION Pam16 \l 1033 </w:instrText>
                        </w:r>
                        <w:r>
                          <w:rPr>
                            <w:lang w:val="en-GB"/>
                          </w:rPr>
                          <w:fldChar w:fldCharType="separate"/>
                        </w:r>
                        <w:r>
                          <w:rPr>
                            <w:noProof/>
                          </w:rPr>
                          <w:t xml:space="preserve"> </w:t>
                        </w:r>
                        <w:r w:rsidRPr="008B2B84">
                          <w:rPr>
                            <w:noProof/>
                          </w:rPr>
                          <w:t>(Pamment, 2016)</w:t>
                        </w:r>
                        <w:r>
                          <w:rPr>
                            <w:lang w:val="en-GB"/>
                          </w:rPr>
                          <w:fldChar w:fldCharType="end"/>
                        </w:r>
                      </w:sdtContent>
                    </w:sdt>
                    <w:r w:rsidRPr="00F46801">
                      <w:rPr>
                        <w:lang w:val="en-GB"/>
                      </w:rPr>
                      <w:t>.</w:t>
                    </w:r>
                  </w:p>
                  <w:p w14:paraId="15819D54" w14:textId="77777777" w:rsidR="00097CC6" w:rsidRPr="00F46801" w:rsidRDefault="00097CC6" w:rsidP="00097CC6">
                    <w:pPr>
                      <w:rPr>
                        <w:lang w:val="en-GB"/>
                      </w:rPr>
                    </w:pPr>
                    <w:r w:rsidRPr="00F46801">
                      <w:rPr>
                        <w:lang w:val="en-GB"/>
                      </w:rPr>
                      <w:t xml:space="preserve">The alignment among these elements is essential for an HR manager in order to attain the increase in the engagement level. The can be attained by the development of the platform of communication. The employee forums must also be encouraged within which the problems have been discussed along with the sharing of opinion. This helps in keeping the employees engaged </w:t>
                    </w:r>
                    <w:proofErr w:type="gramStart"/>
                    <w:r w:rsidRPr="00F46801">
                      <w:rPr>
                        <w:lang w:val="en-GB"/>
                      </w:rPr>
                      <w:t>and also</w:t>
                    </w:r>
                    <w:proofErr w:type="gramEnd"/>
                    <w:r w:rsidRPr="00F46801">
                      <w:rPr>
                        <w:lang w:val="en-GB"/>
                      </w:rPr>
                      <w:t xml:space="preserve"> enhances their trust along with the development of knowledge. The creation of engaged culture is also another method in which </w:t>
                    </w:r>
                    <w:proofErr w:type="gramStart"/>
                    <w:r w:rsidRPr="00F46801">
                      <w:rPr>
                        <w:lang w:val="en-GB"/>
                      </w:rPr>
                      <w:t>all of</w:t>
                    </w:r>
                    <w:proofErr w:type="gramEnd"/>
                    <w:r w:rsidRPr="00F46801">
                      <w:rPr>
                        <w:lang w:val="en-GB"/>
                      </w:rPr>
                      <w:t xml:space="preserve"> the above</w:t>
                    </w:r>
                    <w:r>
                      <w:rPr>
                        <w:lang w:val="en-GB"/>
                      </w:rPr>
                      <w:t>-</w:t>
                    </w:r>
                    <w:r w:rsidRPr="00F46801">
                      <w:rPr>
                        <w:lang w:val="en-GB"/>
                      </w:rPr>
                      <w:t>discussed elements can fit easily</w:t>
                    </w:r>
                    <w:sdt>
                      <w:sdtPr>
                        <w:rPr>
                          <w:lang w:val="en-GB"/>
                        </w:rPr>
                        <w:id w:val="-1170025079"/>
                        <w:citation/>
                      </w:sdtPr>
                      <w:sdtEndPr/>
                      <w:sdtContent>
                        <w:r>
                          <w:rPr>
                            <w:lang w:val="en-GB"/>
                          </w:rPr>
                          <w:fldChar w:fldCharType="begin"/>
                        </w:r>
                        <w:r>
                          <w:instrText xml:space="preserve"> CITATION Ang16 \l 1033 </w:instrText>
                        </w:r>
                        <w:r>
                          <w:rPr>
                            <w:lang w:val="en-GB"/>
                          </w:rPr>
                          <w:fldChar w:fldCharType="separate"/>
                        </w:r>
                        <w:r>
                          <w:rPr>
                            <w:noProof/>
                          </w:rPr>
                          <w:t xml:space="preserve"> </w:t>
                        </w:r>
                        <w:r w:rsidRPr="008B2B84">
                          <w:rPr>
                            <w:noProof/>
                          </w:rPr>
                          <w:t>(Angrave, et al., 2016)</w:t>
                        </w:r>
                        <w:r>
                          <w:rPr>
                            <w:lang w:val="en-GB"/>
                          </w:rPr>
                          <w:fldChar w:fldCharType="end"/>
                        </w:r>
                      </w:sdtContent>
                    </w:sdt>
                    <w:r w:rsidRPr="00F46801">
                      <w:rPr>
                        <w:lang w:val="en-GB"/>
                      </w:rPr>
                      <w:t>.</w:t>
                    </w:r>
                  </w:p>
                  <w:p w14:paraId="287D5697" w14:textId="77777777" w:rsidR="00097CC6" w:rsidRPr="00F46801" w:rsidRDefault="00097CC6" w:rsidP="00097CC6">
                    <w:pPr>
                      <w:pStyle w:val="Heading1"/>
                    </w:pPr>
                    <w:bookmarkStart w:id="18" w:name="_Toc35645841"/>
                    <w:r w:rsidRPr="00F46801">
                      <w:t>Conclusion</w:t>
                    </w:r>
                    <w:bookmarkEnd w:id="18"/>
                  </w:p>
                  <w:p w14:paraId="6B6FA5BC" w14:textId="77777777" w:rsidR="00097CC6" w:rsidRDefault="00097CC6" w:rsidP="00097CC6">
                    <w:pPr>
                      <w:rPr>
                        <w:lang w:val="en-GB"/>
                      </w:rPr>
                    </w:pPr>
                    <w:r w:rsidRPr="00F46801">
                      <w:rPr>
                        <w:lang w:val="en-GB"/>
                      </w:rPr>
                      <w:t xml:space="preserve">It can be concluded that the strategies of HR are required to take different features of human resource into consideration and should also determine different needs that are needed for the engagement of employees. It has also been found that the evaluation of the common trends of the HR practices of the successful organisation is also best for </w:t>
                    </w:r>
                    <w:r>
                      <w:rPr>
                        <w:lang w:val="en-GB"/>
                      </w:rPr>
                      <w:t xml:space="preserve">the </w:t>
                    </w:r>
                    <w:r w:rsidRPr="00F46801">
                      <w:rPr>
                        <w:lang w:val="en-GB"/>
                      </w:rPr>
                      <w:t>engagement of employees.</w:t>
                    </w:r>
                  </w:p>
                  <w:p w14:paraId="3536170E" w14:textId="77777777" w:rsidR="00097CC6" w:rsidRDefault="00097CC6" w:rsidP="00097CC6">
                    <w:pPr>
                      <w:rPr>
                        <w:lang w:val="en-GB"/>
                      </w:rPr>
                    </w:pPr>
                    <w:r>
                      <w:rPr>
                        <w:lang w:val="en-GB"/>
                      </w:rPr>
                      <w:br w:type="page"/>
                    </w:r>
                  </w:p>
                  <w:bookmarkStart w:id="19" w:name="_Toc35645842" w:displacedByCustomXml="next"/>
                  <w:sdt>
                    <w:sdtPr>
                      <w:rPr>
                        <w:rFonts w:asciiTheme="minorHAnsi" w:eastAsiaTheme="minorHAnsi" w:hAnsiTheme="minorHAnsi" w:cstheme="minorBidi"/>
                        <w:b w:val="0"/>
                        <w:color w:val="auto"/>
                        <w:spacing w:val="0"/>
                        <w:sz w:val="22"/>
                        <w:szCs w:val="22"/>
                        <w:lang w:val="en-US"/>
                      </w:rPr>
                      <w:id w:val="960314726"/>
                      <w:docPartObj>
                        <w:docPartGallery w:val="Bibliographies"/>
                        <w:docPartUnique/>
                      </w:docPartObj>
                    </w:sdtPr>
                    <w:sdtEndPr/>
                    <w:sdtContent>
                      <w:p w14:paraId="771F545E" w14:textId="77777777" w:rsidR="00097CC6" w:rsidRPr="002E6029" w:rsidRDefault="00097CC6" w:rsidP="00097CC6">
                        <w:pPr>
                          <w:pStyle w:val="Heading1"/>
                          <w:jc w:val="center"/>
                        </w:pPr>
                        <w:r w:rsidRPr="002E6029">
                          <w:t>References</w:t>
                        </w:r>
                        <w:bookmarkEnd w:id="19"/>
                      </w:p>
                      <w:sdt>
                        <w:sdtPr>
                          <w:rPr>
                            <w:rFonts w:asciiTheme="minorHAnsi" w:eastAsiaTheme="minorHAnsi" w:hAnsiTheme="minorHAnsi" w:cstheme="minorBidi"/>
                            <w:sz w:val="22"/>
                            <w:lang w:val="en-US" w:eastAsia="en-US"/>
                          </w:rPr>
                          <w:id w:val="-573587230"/>
                          <w:bibliography/>
                        </w:sdtPr>
                        <w:sdtEndPr/>
                        <w:sdtContent>
                          <w:p w14:paraId="07F483A7" w14:textId="77777777" w:rsidR="00097CC6" w:rsidRDefault="00097CC6" w:rsidP="00097CC6">
                            <w:pPr>
                              <w:pStyle w:val="Bibliography"/>
                              <w:rPr>
                                <w:noProof/>
                                <w:szCs w:val="24"/>
                              </w:rPr>
                            </w:pPr>
                            <w:r>
                              <w:fldChar w:fldCharType="begin"/>
                            </w:r>
                            <w:r>
                              <w:instrText xml:space="preserve"> BIBLIOGRAPHY </w:instrText>
                            </w:r>
                            <w:r>
                              <w:fldChar w:fldCharType="separate"/>
                            </w:r>
                            <w:r>
                              <w:rPr>
                                <w:noProof/>
                              </w:rPr>
                              <w:t xml:space="preserve">Alagaraja, M. &amp; Shuck, B., 2015. Exploring organizational alignment-employee engagement linkages and impact on individual performance: A conceptual model.. </w:t>
                            </w:r>
                            <w:r>
                              <w:rPr>
                                <w:i/>
                                <w:iCs/>
                                <w:noProof/>
                              </w:rPr>
                              <w:t xml:space="preserve">Human Resource Development Review, , </w:t>
                            </w:r>
                            <w:r>
                              <w:rPr>
                                <w:noProof/>
                              </w:rPr>
                              <w:t>14(1), pp. 17-37..</w:t>
                            </w:r>
                          </w:p>
                          <w:p w14:paraId="4A6B478D" w14:textId="77777777" w:rsidR="00097CC6" w:rsidRDefault="00097CC6" w:rsidP="00097CC6">
                            <w:pPr>
                              <w:pStyle w:val="Bibliography"/>
                              <w:rPr>
                                <w:noProof/>
                              </w:rPr>
                            </w:pPr>
                            <w:r>
                              <w:rPr>
                                <w:noProof/>
                              </w:rPr>
                              <w:t xml:space="preserve">Angrave, D. et al., 2016. HR and analytics: why HR is set to fail the big data challenge.. </w:t>
                            </w:r>
                            <w:r>
                              <w:rPr>
                                <w:i/>
                                <w:iCs/>
                                <w:noProof/>
                              </w:rPr>
                              <w:t xml:space="preserve">Human Resource Management Journal,, </w:t>
                            </w:r>
                            <w:r>
                              <w:rPr>
                                <w:noProof/>
                              </w:rPr>
                              <w:t>26(1), pp. 1-11..</w:t>
                            </w:r>
                          </w:p>
                          <w:p w14:paraId="10A4DAAC" w14:textId="77777777" w:rsidR="00097CC6" w:rsidRDefault="00097CC6" w:rsidP="00097CC6">
                            <w:pPr>
                              <w:pStyle w:val="Bibliography"/>
                              <w:rPr>
                                <w:noProof/>
                              </w:rPr>
                            </w:pPr>
                            <w:r>
                              <w:rPr>
                                <w:noProof/>
                              </w:rPr>
                              <w:t xml:space="preserve">Covington, R., 2018. How Information Technology Line Managers Can Improve Employee Engagement with Statistical Analysis. </w:t>
                            </w:r>
                            <w:r>
                              <w:rPr>
                                <w:i/>
                                <w:iCs/>
                                <w:noProof/>
                              </w:rPr>
                              <w:t>(Doctoral dissertation, The George Washington University)..</w:t>
                            </w:r>
                          </w:p>
                          <w:p w14:paraId="1F65A1EC" w14:textId="77777777" w:rsidR="00097CC6" w:rsidRDefault="00097CC6" w:rsidP="00097CC6">
                            <w:pPr>
                              <w:pStyle w:val="Bibliography"/>
                              <w:rPr>
                                <w:noProof/>
                              </w:rPr>
                            </w:pPr>
                            <w:r>
                              <w:rPr>
                                <w:noProof/>
                              </w:rPr>
                              <w:t xml:space="preserve">Crone, E. &amp; Dahl, R., 2012. Understanding adolescence as a period of social–affective engagement and goal flexibility.. </w:t>
                            </w:r>
                            <w:r>
                              <w:rPr>
                                <w:i/>
                                <w:iCs/>
                                <w:noProof/>
                              </w:rPr>
                              <w:t xml:space="preserve">Nature Reviews Neuroscience, , </w:t>
                            </w:r>
                            <w:r>
                              <w:rPr>
                                <w:noProof/>
                              </w:rPr>
                              <w:t>13(9), pp. 636-650..</w:t>
                            </w:r>
                          </w:p>
                          <w:p w14:paraId="19019F5F" w14:textId="77777777" w:rsidR="00097CC6" w:rsidRDefault="00097CC6" w:rsidP="00097CC6">
                            <w:pPr>
                              <w:pStyle w:val="Bibliography"/>
                              <w:rPr>
                                <w:noProof/>
                              </w:rPr>
                            </w:pPr>
                            <w:r>
                              <w:rPr>
                                <w:noProof/>
                              </w:rPr>
                              <w:lastRenderedPageBreak/>
                              <w:t xml:space="preserve">Downey, S., van der Werff, L., Thomas, K. &amp; Plaut, V., 2015. The role of diversity practices and inclusion in promoting trust and employee engagement.. </w:t>
                            </w:r>
                            <w:r>
                              <w:rPr>
                                <w:i/>
                                <w:iCs/>
                                <w:noProof/>
                              </w:rPr>
                              <w:t xml:space="preserve">Journal of Applied Social Psychology, </w:t>
                            </w:r>
                            <w:r>
                              <w:rPr>
                                <w:noProof/>
                              </w:rPr>
                              <w:t>45(1), pp. 35-44. .</w:t>
                            </w:r>
                          </w:p>
                          <w:p w14:paraId="6E4BC1AC" w14:textId="77777777" w:rsidR="00097CC6" w:rsidRDefault="00097CC6" w:rsidP="00097CC6">
                            <w:pPr>
                              <w:pStyle w:val="Bibliography"/>
                              <w:rPr>
                                <w:noProof/>
                              </w:rPr>
                            </w:pPr>
                            <w:r>
                              <w:rPr>
                                <w:noProof/>
                              </w:rPr>
                              <w:t xml:space="preserve">Eldor, L. &amp; Vigoda-Gadot, E., 2017. The nature of employee engagement: Rethinking the employee–organization relationship.. </w:t>
                            </w:r>
                            <w:r>
                              <w:rPr>
                                <w:i/>
                                <w:iCs/>
                                <w:noProof/>
                              </w:rPr>
                              <w:t xml:space="preserve">The International Journal of Human Resource Management,, </w:t>
                            </w:r>
                            <w:r>
                              <w:rPr>
                                <w:noProof/>
                              </w:rPr>
                              <w:t>28(3), pp. 526-552..</w:t>
                            </w:r>
                          </w:p>
                          <w:p w14:paraId="6B51CC3B" w14:textId="77777777" w:rsidR="00097CC6" w:rsidRDefault="00097CC6" w:rsidP="00097CC6">
                            <w:pPr>
                              <w:pStyle w:val="Bibliography"/>
                              <w:rPr>
                                <w:noProof/>
                              </w:rPr>
                            </w:pPr>
                            <w:r>
                              <w:rPr>
                                <w:noProof/>
                              </w:rPr>
                              <w:t xml:space="preserve">Elliott, G. &amp; Corey, D., 2018. </w:t>
                            </w:r>
                            <w:r>
                              <w:rPr>
                                <w:i/>
                                <w:iCs/>
                                <w:noProof/>
                              </w:rPr>
                              <w:t xml:space="preserve">Build It: The Rebel Playbook for World-Class Employee Engagement.. </w:t>
                            </w:r>
                            <w:r>
                              <w:rPr>
                                <w:noProof/>
                              </w:rPr>
                              <w:t>s.l.:John Wiley &amp; Sons..</w:t>
                            </w:r>
                          </w:p>
                          <w:p w14:paraId="3C14F13D" w14:textId="77777777" w:rsidR="00097CC6" w:rsidRDefault="00097CC6" w:rsidP="00097CC6">
                            <w:pPr>
                              <w:pStyle w:val="Bibliography"/>
                              <w:rPr>
                                <w:noProof/>
                              </w:rPr>
                            </w:pPr>
                            <w:r>
                              <w:rPr>
                                <w:noProof/>
                              </w:rPr>
                              <w:t xml:space="preserve">Elorza, U., Harris, C., Aritzeta, A. &amp; Balluerka, N., 2016. The effect of management and employee perspectives of high-performance work systems on employees’ discretionary behaviour.. </w:t>
                            </w:r>
                            <w:r>
                              <w:rPr>
                                <w:i/>
                                <w:iCs/>
                                <w:noProof/>
                              </w:rPr>
                              <w:t>Personnel Review..</w:t>
                            </w:r>
                          </w:p>
                          <w:p w14:paraId="0A778A1B" w14:textId="77777777" w:rsidR="00097CC6" w:rsidRDefault="00097CC6" w:rsidP="00097CC6">
                            <w:pPr>
                              <w:pStyle w:val="Bibliography"/>
                              <w:rPr>
                                <w:noProof/>
                              </w:rPr>
                            </w:pPr>
                            <w:r>
                              <w:rPr>
                                <w:noProof/>
                              </w:rPr>
                              <w:t xml:space="preserve">Fitzgerald, H. et al., 2016. The centrality of engagement in higher education.. </w:t>
                            </w:r>
                            <w:r>
                              <w:rPr>
                                <w:i/>
                                <w:iCs/>
                                <w:noProof/>
                              </w:rPr>
                              <w:t xml:space="preserve">Journal of Higher Education outreach and engagement,, </w:t>
                            </w:r>
                            <w:r>
                              <w:rPr>
                                <w:noProof/>
                              </w:rPr>
                              <w:t>20(1), pp. 223-244..</w:t>
                            </w:r>
                          </w:p>
                          <w:p w14:paraId="26F9D23A" w14:textId="77777777" w:rsidR="00097CC6" w:rsidRDefault="00097CC6" w:rsidP="00097CC6">
                            <w:pPr>
                              <w:pStyle w:val="Bibliography"/>
                              <w:rPr>
                                <w:noProof/>
                              </w:rPr>
                            </w:pPr>
                            <w:r>
                              <w:rPr>
                                <w:noProof/>
                              </w:rPr>
                              <w:t xml:space="preserve">Gupta, N. &amp; Sharma, V., 2016. . Exploring employee engagement—A way to better business performance.. </w:t>
                            </w:r>
                            <w:r>
                              <w:rPr>
                                <w:i/>
                                <w:iCs/>
                                <w:noProof/>
                              </w:rPr>
                              <w:t xml:space="preserve">Global Business Review, , </w:t>
                            </w:r>
                            <w:r>
                              <w:rPr>
                                <w:noProof/>
                              </w:rPr>
                              <w:t>17(3), pp. 45S-63S. .</w:t>
                            </w:r>
                          </w:p>
                          <w:p w14:paraId="5902B92F" w14:textId="77777777" w:rsidR="00097CC6" w:rsidRDefault="00097CC6" w:rsidP="00097CC6">
                            <w:pPr>
                              <w:pStyle w:val="Bibliography"/>
                              <w:rPr>
                                <w:noProof/>
                              </w:rPr>
                            </w:pPr>
                            <w:r>
                              <w:rPr>
                                <w:noProof/>
                              </w:rPr>
                              <w:t xml:space="preserve">Kang, M. &amp; Sung, M., 2017. How symmetrical employee communication leads to employee engagement and positive employee communication behaviors.. </w:t>
                            </w:r>
                            <w:r>
                              <w:rPr>
                                <w:i/>
                                <w:iCs/>
                                <w:noProof/>
                              </w:rPr>
                              <w:t>Journal of Communication Management..</w:t>
                            </w:r>
                          </w:p>
                          <w:p w14:paraId="5887302A" w14:textId="77777777" w:rsidR="00097CC6" w:rsidRDefault="00097CC6" w:rsidP="00097CC6">
                            <w:pPr>
                              <w:pStyle w:val="Bibliography"/>
                              <w:rPr>
                                <w:noProof/>
                              </w:rPr>
                            </w:pPr>
                            <w:r>
                              <w:rPr>
                                <w:noProof/>
                              </w:rPr>
                              <w:t xml:space="preserve">Kariuki, N. &amp; Makori, M., 2015. Role of job design on employee engagement in private universities in Kenya: A case of Presbyterian University of East Africa.. </w:t>
                            </w:r>
                            <w:r>
                              <w:rPr>
                                <w:i/>
                                <w:iCs/>
                                <w:noProof/>
                              </w:rPr>
                              <w:t xml:space="preserve">The Strategic Journal of Business and Change Management, , </w:t>
                            </w:r>
                            <w:r>
                              <w:rPr>
                                <w:noProof/>
                              </w:rPr>
                              <w:t>2(60), pp. 365-385..</w:t>
                            </w:r>
                          </w:p>
                          <w:p w14:paraId="554FB145" w14:textId="77777777" w:rsidR="00097CC6" w:rsidRDefault="00097CC6" w:rsidP="00097CC6">
                            <w:pPr>
                              <w:pStyle w:val="Bibliography"/>
                              <w:rPr>
                                <w:noProof/>
                              </w:rPr>
                            </w:pPr>
                            <w:r>
                              <w:rPr>
                                <w:noProof/>
                              </w:rPr>
                              <w:lastRenderedPageBreak/>
                              <w:t xml:space="preserve">Kiron, D. et al., 2016. Aligning the organization for its digital future.. </w:t>
                            </w:r>
                            <w:r>
                              <w:rPr>
                                <w:i/>
                                <w:iCs/>
                                <w:noProof/>
                              </w:rPr>
                              <w:t xml:space="preserve">MIT Sloan Management Review, , </w:t>
                            </w:r>
                            <w:r>
                              <w:rPr>
                                <w:noProof/>
                              </w:rPr>
                              <w:t>58(1).</w:t>
                            </w:r>
                          </w:p>
                          <w:p w14:paraId="6D508120" w14:textId="77777777" w:rsidR="00097CC6" w:rsidRDefault="00097CC6" w:rsidP="00097CC6">
                            <w:pPr>
                              <w:pStyle w:val="Bibliography"/>
                              <w:rPr>
                                <w:noProof/>
                              </w:rPr>
                            </w:pPr>
                            <w:r>
                              <w:rPr>
                                <w:noProof/>
                              </w:rPr>
                              <w:t xml:space="preserve">Mishra, S., Lama, D. &amp; Pal, Y., 2016. Human Resource Predictive Analytics (HRPA) for HR management in organizations.. </w:t>
                            </w:r>
                            <w:r>
                              <w:rPr>
                                <w:i/>
                                <w:iCs/>
                                <w:noProof/>
                              </w:rPr>
                              <w:t xml:space="preserve">International Journal of Scientific &amp; Technology Research,, </w:t>
                            </w:r>
                            <w:r>
                              <w:rPr>
                                <w:noProof/>
                              </w:rPr>
                              <w:t>5(5), pp. 33-35.</w:t>
                            </w:r>
                          </w:p>
                          <w:p w14:paraId="44769964" w14:textId="77777777" w:rsidR="00097CC6" w:rsidRDefault="00097CC6" w:rsidP="00097CC6">
                            <w:pPr>
                              <w:pStyle w:val="Bibliography"/>
                              <w:rPr>
                                <w:noProof/>
                              </w:rPr>
                            </w:pPr>
                            <w:r>
                              <w:rPr>
                                <w:noProof/>
                              </w:rPr>
                              <w:t xml:space="preserve">Mone, E., London, M. &amp; Mone, E., 2018. </w:t>
                            </w:r>
                            <w:r>
                              <w:rPr>
                                <w:i/>
                                <w:iCs/>
                                <w:noProof/>
                              </w:rPr>
                              <w:t xml:space="preserve">Employee engagement through effective performance management: A practical guide for managers.. </w:t>
                            </w:r>
                            <w:r>
                              <w:rPr>
                                <w:noProof/>
                              </w:rPr>
                              <w:t>s.l.:Routledge..</w:t>
                            </w:r>
                          </w:p>
                          <w:p w14:paraId="14E77968" w14:textId="77777777" w:rsidR="00097CC6" w:rsidRDefault="00097CC6" w:rsidP="00097CC6">
                            <w:pPr>
                              <w:pStyle w:val="Bibliography"/>
                              <w:rPr>
                                <w:noProof/>
                              </w:rPr>
                            </w:pPr>
                            <w:r>
                              <w:rPr>
                                <w:noProof/>
                              </w:rPr>
                              <w:t xml:space="preserve">Pamment, J., 2016. Digital diplomacy as transmedia engagement: Aligning theories of participatory culture with international advocacy campaigns.. </w:t>
                            </w:r>
                            <w:r>
                              <w:rPr>
                                <w:i/>
                                <w:iCs/>
                                <w:noProof/>
                              </w:rPr>
                              <w:t xml:space="preserve">New Media &amp; Society, , </w:t>
                            </w:r>
                            <w:r>
                              <w:rPr>
                                <w:noProof/>
                              </w:rPr>
                              <w:t>18(9), pp. 2046-2062..</w:t>
                            </w:r>
                          </w:p>
                          <w:p w14:paraId="0F2949B9" w14:textId="77777777" w:rsidR="00097CC6" w:rsidRDefault="00097CC6" w:rsidP="00097CC6">
                            <w:pPr>
                              <w:pStyle w:val="Bibliography"/>
                              <w:rPr>
                                <w:noProof/>
                              </w:rPr>
                            </w:pPr>
                            <w:r>
                              <w:rPr>
                                <w:noProof/>
                              </w:rPr>
                              <w:t xml:space="preserve">Pavar, A. &amp; Charak, K., 2015. Efficacy of Employee Value Proposition on Enactment of Organizations.. </w:t>
                            </w:r>
                            <w:r>
                              <w:rPr>
                                <w:i/>
                                <w:iCs/>
                                <w:noProof/>
                              </w:rPr>
                              <w:t xml:space="preserve">International Journal of Advance Research and Innovative Ideas in Education», </w:t>
                            </w:r>
                            <w:r>
                              <w:rPr>
                                <w:noProof/>
                              </w:rPr>
                              <w:t>1(5), pp. .890-896..</w:t>
                            </w:r>
                          </w:p>
                          <w:p w14:paraId="3DFE07DD" w14:textId="77777777" w:rsidR="00097CC6" w:rsidRDefault="00097CC6" w:rsidP="00097CC6">
                            <w:pPr>
                              <w:pStyle w:val="Bibliography"/>
                              <w:rPr>
                                <w:noProof/>
                              </w:rPr>
                            </w:pPr>
                            <w:r>
                              <w:rPr>
                                <w:noProof/>
                              </w:rPr>
                              <w:t xml:space="preserve">Pawar, A. &amp; Charak, K., 2015. Employee value proposition leading to employer brand: The indian organizations outlook.. </w:t>
                            </w:r>
                            <w:r>
                              <w:rPr>
                                <w:i/>
                                <w:iCs/>
                                <w:noProof/>
                              </w:rPr>
                              <w:t xml:space="preserve">International Journal of Management Research and Reviews, , </w:t>
                            </w:r>
                            <w:r>
                              <w:rPr>
                                <w:noProof/>
                              </w:rPr>
                              <w:t>5(12), p. 1195..</w:t>
                            </w:r>
                          </w:p>
                          <w:p w14:paraId="558071F7" w14:textId="77777777" w:rsidR="00097CC6" w:rsidRDefault="00097CC6" w:rsidP="00097CC6">
                            <w:pPr>
                              <w:pStyle w:val="Bibliography"/>
                              <w:rPr>
                                <w:noProof/>
                              </w:rPr>
                            </w:pPr>
                            <w:r>
                              <w:rPr>
                                <w:noProof/>
                              </w:rPr>
                              <w:t xml:space="preserve">Radda, A., Majidadi, M. &amp; Akanno, S., 2015.. Employee engagement: The new model of leadership.. </w:t>
                            </w:r>
                            <w:r>
                              <w:rPr>
                                <w:i/>
                                <w:iCs/>
                                <w:noProof/>
                              </w:rPr>
                              <w:t xml:space="preserve">Indian Journal of Management Science, , </w:t>
                            </w:r>
                            <w:r>
                              <w:rPr>
                                <w:noProof/>
                              </w:rPr>
                              <w:t>5(2), p. .17..</w:t>
                            </w:r>
                          </w:p>
                          <w:p w14:paraId="3BA0F1EA" w14:textId="77777777" w:rsidR="00097CC6" w:rsidRDefault="00097CC6" w:rsidP="00097CC6">
                            <w:pPr>
                              <w:pStyle w:val="Bibliography"/>
                              <w:rPr>
                                <w:noProof/>
                              </w:rPr>
                            </w:pPr>
                            <w:r>
                              <w:rPr>
                                <w:noProof/>
                              </w:rPr>
                              <w:t xml:space="preserve">Rupp, D. et al., 2018. Corporate social responsibility and employee engagement: The moderating role of CSR‐specific relative autonomy and individualism.. </w:t>
                            </w:r>
                            <w:r>
                              <w:rPr>
                                <w:i/>
                                <w:iCs/>
                                <w:noProof/>
                              </w:rPr>
                              <w:t xml:space="preserve">Journal of Organizational Behavior, , </w:t>
                            </w:r>
                            <w:r>
                              <w:rPr>
                                <w:noProof/>
                              </w:rPr>
                              <w:t>Volume 39.</w:t>
                            </w:r>
                          </w:p>
                          <w:p w14:paraId="286D680A" w14:textId="77777777" w:rsidR="00097CC6" w:rsidRDefault="00097CC6" w:rsidP="00097CC6">
                            <w:pPr>
                              <w:pStyle w:val="Bibliography"/>
                              <w:rPr>
                                <w:noProof/>
                              </w:rPr>
                            </w:pPr>
                            <w:r>
                              <w:rPr>
                                <w:noProof/>
                              </w:rPr>
                              <w:lastRenderedPageBreak/>
                              <w:t xml:space="preserve">Salau, O. et al., 2018. datasets on employee value proposition (evp) and performance of selected fast moving consumer goods (FMCGs) firms in Nigeria.. </w:t>
                            </w:r>
                            <w:r>
                              <w:rPr>
                                <w:i/>
                                <w:iCs/>
                                <w:noProof/>
                              </w:rPr>
                              <w:t xml:space="preserve">Data in brief, , </w:t>
                            </w:r>
                            <w:r>
                              <w:rPr>
                                <w:noProof/>
                              </w:rPr>
                              <w:t>Volume 19, pp. 1907-191.</w:t>
                            </w:r>
                          </w:p>
                          <w:p w14:paraId="083D0CCC" w14:textId="77777777" w:rsidR="00097CC6" w:rsidRDefault="00097CC6" w:rsidP="00097CC6">
                            <w:pPr>
                              <w:pStyle w:val="Bibliography"/>
                              <w:rPr>
                                <w:noProof/>
                              </w:rPr>
                            </w:pPr>
                            <w:r>
                              <w:rPr>
                                <w:noProof/>
                              </w:rPr>
                              <w:t xml:space="preserve">Shields, J. et al., 2015. </w:t>
                            </w:r>
                            <w:r>
                              <w:rPr>
                                <w:i/>
                                <w:iCs/>
                                <w:noProof/>
                              </w:rPr>
                              <w:t xml:space="preserve">Managing employee performance &amp; reward: Concepts, practices, strategies.. </w:t>
                            </w:r>
                            <w:r>
                              <w:rPr>
                                <w:noProof/>
                              </w:rPr>
                              <w:t>s.l.: Cambridge University Press..</w:t>
                            </w:r>
                          </w:p>
                          <w:p w14:paraId="29209453" w14:textId="77777777" w:rsidR="00097CC6" w:rsidRDefault="00097CC6" w:rsidP="00097CC6">
                            <w:pPr>
                              <w:pStyle w:val="Bibliography"/>
                              <w:rPr>
                                <w:noProof/>
                              </w:rPr>
                            </w:pPr>
                            <w:r>
                              <w:rPr>
                                <w:noProof/>
                              </w:rPr>
                              <w:t xml:space="preserve">Shimazu, A., Schaufeli, W., Kamiyama, K. &amp; Kawakami, N., 2015. Workaholism vs. work engagement: The two different predictors of future well-being and performance.. </w:t>
                            </w:r>
                            <w:r>
                              <w:rPr>
                                <w:i/>
                                <w:iCs/>
                                <w:noProof/>
                              </w:rPr>
                              <w:t xml:space="preserve">International journal of behavioral medicine,, </w:t>
                            </w:r>
                            <w:r>
                              <w:rPr>
                                <w:noProof/>
                              </w:rPr>
                              <w:t>22(1), pp. 18-23..</w:t>
                            </w:r>
                          </w:p>
                          <w:p w14:paraId="61E7000E" w14:textId="77777777" w:rsidR="00097CC6" w:rsidRDefault="00097CC6" w:rsidP="00097CC6">
                            <w:pPr>
                              <w:pStyle w:val="Bibliography"/>
                              <w:rPr>
                                <w:noProof/>
                              </w:rPr>
                            </w:pPr>
                            <w:r>
                              <w:rPr>
                                <w:noProof/>
                              </w:rPr>
                              <w:t xml:space="preserve">Taneja, S., Sewell, S. &amp; Odom, R., 2015. A culture of employee engagement: A strategic perspective for global managers.. </w:t>
                            </w:r>
                            <w:r>
                              <w:rPr>
                                <w:i/>
                                <w:iCs/>
                                <w:noProof/>
                              </w:rPr>
                              <w:t>Journal of Business Strategy..</w:t>
                            </w:r>
                          </w:p>
                          <w:p w14:paraId="75F9F2FF" w14:textId="77777777" w:rsidR="00097CC6" w:rsidRDefault="00097CC6" w:rsidP="00097CC6">
                            <w:pPr>
                              <w:pStyle w:val="Bibliography"/>
                              <w:rPr>
                                <w:noProof/>
                              </w:rPr>
                            </w:pPr>
                            <w:r>
                              <w:rPr>
                                <w:noProof/>
                              </w:rPr>
                              <w:t xml:space="preserve">Teo, T., 2015. Critical psychology: A geography of intellectual engagement and resistance.. </w:t>
                            </w:r>
                            <w:r>
                              <w:rPr>
                                <w:i/>
                                <w:iCs/>
                                <w:noProof/>
                              </w:rPr>
                              <w:t xml:space="preserve">American Psychologist,, </w:t>
                            </w:r>
                            <w:r>
                              <w:rPr>
                                <w:noProof/>
                              </w:rPr>
                              <w:t>70(3), p. 243..</w:t>
                            </w:r>
                          </w:p>
                          <w:p w14:paraId="10EC1FA5" w14:textId="77777777" w:rsidR="00097CC6" w:rsidRDefault="00097CC6" w:rsidP="00097CC6">
                            <w:pPr>
                              <w:pStyle w:val="Bibliography"/>
                              <w:rPr>
                                <w:noProof/>
                              </w:rPr>
                            </w:pPr>
                            <w:r>
                              <w:rPr>
                                <w:noProof/>
                              </w:rPr>
                              <w:t xml:space="preserve">Totterdill, P., 2015. Closing the gap: The fifth element and workplace innovation.. </w:t>
                            </w:r>
                            <w:r>
                              <w:rPr>
                                <w:i/>
                                <w:iCs/>
                                <w:noProof/>
                              </w:rPr>
                              <w:t xml:space="preserve">European Journal of Workplace Innovation, , </w:t>
                            </w:r>
                            <w:r>
                              <w:rPr>
                                <w:noProof/>
                              </w:rPr>
                              <w:t>1(1).</w:t>
                            </w:r>
                          </w:p>
                          <w:p w14:paraId="4D86ABEC" w14:textId="77777777" w:rsidR="00097CC6" w:rsidRDefault="00097CC6" w:rsidP="00097CC6">
                            <w:pPr>
                              <w:pStyle w:val="Bibliography"/>
                              <w:rPr>
                                <w:noProof/>
                              </w:rPr>
                            </w:pPr>
                            <w:r>
                              <w:rPr>
                                <w:noProof/>
                              </w:rPr>
                              <w:t xml:space="preserve">Totterdill, P., Dhondt, S. &amp; Boermans, S., 2016. </w:t>
                            </w:r>
                            <w:r>
                              <w:rPr>
                                <w:i/>
                                <w:iCs/>
                                <w:noProof/>
                              </w:rPr>
                              <w:t xml:space="preserve">Your guide to workplace innovation.. </w:t>
                            </w:r>
                            <w:r>
                              <w:rPr>
                                <w:noProof/>
                              </w:rPr>
                              <w:t>s.l.:Brussels: European Workplace Innovation Network (Euwin)..</w:t>
                            </w:r>
                          </w:p>
                          <w:p w14:paraId="427E524D" w14:textId="77777777" w:rsidR="00097CC6" w:rsidRDefault="00097CC6" w:rsidP="00097CC6">
                            <w:r>
                              <w:rPr>
                                <w:b/>
                                <w:bCs/>
                                <w:noProof/>
                              </w:rPr>
                              <w:fldChar w:fldCharType="end"/>
                            </w:r>
                          </w:p>
                        </w:sdtContent>
                      </w:sdt>
                    </w:sdtContent>
                  </w:sdt>
                  <w:p w14:paraId="03283E73" w14:textId="77777777" w:rsidR="00097CC6" w:rsidRDefault="00097CC6" w:rsidP="00097CC6">
                    <w:pPr>
                      <w:rPr>
                        <w:lang w:val="en-GB"/>
                      </w:rPr>
                    </w:pPr>
                    <w:r>
                      <w:rPr>
                        <w:lang w:val="en-GB"/>
                      </w:rPr>
                      <w:br w:type="page"/>
                    </w:r>
                  </w:p>
                  <w:p w14:paraId="39F07986" w14:textId="77777777" w:rsidR="00097CC6" w:rsidRDefault="00097CC6" w:rsidP="00097CC6">
                    <w:pPr>
                      <w:pStyle w:val="Heading1"/>
                      <w:jc w:val="center"/>
                    </w:pPr>
                    <w:bookmarkStart w:id="20" w:name="_Toc35645843"/>
                    <w:r>
                      <w:t>Appendix</w:t>
                    </w:r>
                    <w:bookmarkEnd w:id="20"/>
                  </w:p>
                  <w:p w14:paraId="5972E8EA" w14:textId="77777777" w:rsidR="00097CC6" w:rsidRDefault="00097CC6" w:rsidP="00097CC6">
                    <w:pPr>
                      <w:rPr>
                        <w:lang w:val="en-GB"/>
                      </w:rPr>
                    </w:pPr>
                    <w:r w:rsidRPr="00873298">
                      <w:rPr>
                        <w:noProof/>
                      </w:rPr>
                      <w:lastRenderedPageBreak/>
                      <w:drawing>
                        <wp:inline distT="0" distB="0" distL="0" distR="0" wp14:anchorId="0AC2A2F6" wp14:editId="67F272A2">
                          <wp:extent cx="5943282" cy="2981325"/>
                          <wp:effectExtent l="0" t="0" r="635" b="0"/>
                          <wp:docPr id="16" name="Picture 16" descr="C:\Users\hamza\Desktop\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amza\Desktop\1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6136" cy="2982757"/>
                                  </a:xfrm>
                                  <a:prstGeom prst="rect">
                                    <a:avLst/>
                                  </a:prstGeom>
                                  <a:noFill/>
                                  <a:ln>
                                    <a:noFill/>
                                  </a:ln>
                                </pic:spPr>
                              </pic:pic>
                            </a:graphicData>
                          </a:graphic>
                        </wp:inline>
                      </w:drawing>
                    </w:r>
                  </w:p>
                  <w:p w14:paraId="285E44AE" w14:textId="77777777" w:rsidR="00097CC6" w:rsidRDefault="00097CC6" w:rsidP="00097CC6">
                    <w:pPr>
                      <w:rPr>
                        <w:lang w:val="en-GB"/>
                      </w:rPr>
                    </w:pPr>
                    <w:r w:rsidRPr="00873298">
                      <w:rPr>
                        <w:noProof/>
                      </w:rPr>
                      <w:drawing>
                        <wp:inline distT="0" distB="0" distL="0" distR="0" wp14:anchorId="5B24A4B0" wp14:editId="27CEED19">
                          <wp:extent cx="5943600" cy="3365955"/>
                          <wp:effectExtent l="0" t="0" r="0" b="6350"/>
                          <wp:docPr id="17" name="Picture 17" descr="C:\Users\hamza\Desktop\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amza\Desktop\1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365955"/>
                                  </a:xfrm>
                                  <a:prstGeom prst="rect">
                                    <a:avLst/>
                                  </a:prstGeom>
                                  <a:noFill/>
                                  <a:ln>
                                    <a:noFill/>
                                  </a:ln>
                                </pic:spPr>
                              </pic:pic>
                            </a:graphicData>
                          </a:graphic>
                        </wp:inline>
                      </w:drawing>
                    </w:r>
                  </w:p>
                  <w:p w14:paraId="437DA1B9" w14:textId="77777777" w:rsidR="00097CC6" w:rsidRDefault="00097CC6" w:rsidP="00097CC6">
                    <w:pPr>
                      <w:rPr>
                        <w:lang w:val="en-GB"/>
                      </w:rPr>
                    </w:pPr>
                  </w:p>
                  <w:p w14:paraId="45B2203B" w14:textId="77777777" w:rsidR="00097CC6" w:rsidRDefault="00097CC6" w:rsidP="00097CC6">
                    <w:pPr>
                      <w:rPr>
                        <w:lang w:val="en-GB"/>
                      </w:rPr>
                    </w:pPr>
                    <w:r w:rsidRPr="00873298">
                      <w:rPr>
                        <w:noProof/>
                      </w:rPr>
                      <w:lastRenderedPageBreak/>
                      <w:drawing>
                        <wp:inline distT="0" distB="0" distL="0" distR="0" wp14:anchorId="486AA6E8" wp14:editId="3E91EF6B">
                          <wp:extent cx="5943600" cy="3348773"/>
                          <wp:effectExtent l="0" t="0" r="0" b="4445"/>
                          <wp:docPr id="19" name="Picture 19" descr="C:\Users\hamza\Desktop\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hamza\Desktop\1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348773"/>
                                  </a:xfrm>
                                  <a:prstGeom prst="rect">
                                    <a:avLst/>
                                  </a:prstGeom>
                                  <a:noFill/>
                                  <a:ln>
                                    <a:noFill/>
                                  </a:ln>
                                </pic:spPr>
                              </pic:pic>
                            </a:graphicData>
                          </a:graphic>
                        </wp:inline>
                      </w:drawing>
                    </w:r>
                  </w:p>
                  <w:p w14:paraId="5D8B5218" w14:textId="77777777" w:rsidR="00097CC6" w:rsidRDefault="00097CC6" w:rsidP="00097CC6">
                    <w:pPr>
                      <w:rPr>
                        <w:lang w:val="en-GB"/>
                      </w:rPr>
                    </w:pPr>
                    <w:r w:rsidRPr="00873298">
                      <w:rPr>
                        <w:noProof/>
                      </w:rPr>
                      <w:drawing>
                        <wp:inline distT="0" distB="0" distL="0" distR="0" wp14:anchorId="7F9AAD3D" wp14:editId="6BF50767">
                          <wp:extent cx="5943600" cy="3525433"/>
                          <wp:effectExtent l="0" t="0" r="0" b="0"/>
                          <wp:docPr id="21" name="Picture 21" descr="C:\Users\hamza\Desktop\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hamza\Desktop\15.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525433"/>
                                  </a:xfrm>
                                  <a:prstGeom prst="rect">
                                    <a:avLst/>
                                  </a:prstGeom>
                                  <a:noFill/>
                                  <a:ln>
                                    <a:noFill/>
                                  </a:ln>
                                </pic:spPr>
                              </pic:pic>
                            </a:graphicData>
                          </a:graphic>
                        </wp:inline>
                      </w:drawing>
                    </w:r>
                  </w:p>
                  <w:p w14:paraId="44D95AAE" w14:textId="77777777" w:rsidR="00097CC6" w:rsidRDefault="00097CC6" w:rsidP="00097CC6">
                    <w:pPr>
                      <w:rPr>
                        <w:rFonts w:eastAsia="Times New Roman" w:cs="Times New Roman"/>
                        <w:snapToGrid w:val="0"/>
                        <w:color w:val="000000"/>
                        <w:w w:val="0"/>
                        <w:sz w:val="0"/>
                        <w:szCs w:val="0"/>
                        <w:u w:color="000000"/>
                        <w:bdr w:val="none" w:sz="0" w:space="0" w:color="000000"/>
                        <w:shd w:val="clear" w:color="000000" w:fill="000000"/>
                        <w:lang w:val="x-none" w:eastAsia="x-none" w:bidi="x-none"/>
                      </w:rPr>
                    </w:pPr>
                    <w:r w:rsidRPr="00873298">
                      <w:rPr>
                        <w:noProof/>
                      </w:rPr>
                      <w:lastRenderedPageBreak/>
                      <w:drawing>
                        <wp:inline distT="0" distB="0" distL="0" distR="0" wp14:anchorId="3229D934" wp14:editId="0A7E7131">
                          <wp:extent cx="5943600" cy="3356975"/>
                          <wp:effectExtent l="0" t="0" r="0" b="0"/>
                          <wp:docPr id="22" name="Picture 22" descr="C:\Users\hamza\Desktop\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hamza\Desktop\16.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356975"/>
                                  </a:xfrm>
                                  <a:prstGeom prst="rect">
                                    <a:avLst/>
                                  </a:prstGeom>
                                  <a:noFill/>
                                  <a:ln>
                                    <a:noFill/>
                                  </a:ln>
                                </pic:spPr>
                              </pic:pic>
                            </a:graphicData>
                          </a:graphic>
                        </wp:inline>
                      </w:drawing>
                    </w:r>
                    <w:r w:rsidRPr="00873298">
                      <w:rPr>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873298">
                      <w:rPr>
                        <w:noProof/>
                      </w:rPr>
                      <w:drawing>
                        <wp:inline distT="0" distB="0" distL="0" distR="0" wp14:anchorId="2FC91B5A" wp14:editId="512B0829">
                          <wp:extent cx="5943600" cy="3362415"/>
                          <wp:effectExtent l="0" t="0" r="0" b="9525"/>
                          <wp:docPr id="23" name="Picture 23" descr="C:\Users\hamza\Desktop\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hamza\Desktop\17.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362415"/>
                                  </a:xfrm>
                                  <a:prstGeom prst="rect">
                                    <a:avLst/>
                                  </a:prstGeom>
                                  <a:noFill/>
                                  <a:ln>
                                    <a:noFill/>
                                  </a:ln>
                                </pic:spPr>
                              </pic:pic>
                            </a:graphicData>
                          </a:graphic>
                        </wp:inline>
                      </w:drawing>
                    </w:r>
                  </w:p>
                  <w:p w14:paraId="617897A1" w14:textId="77777777" w:rsidR="00097CC6" w:rsidRDefault="00097CC6" w:rsidP="00097CC6">
                    <w:pPr>
                      <w:rPr>
                        <w:lang w:val="en-GB"/>
                      </w:rPr>
                    </w:pPr>
                    <w:r w:rsidRPr="00873298">
                      <w:rPr>
                        <w:noProof/>
                      </w:rPr>
                      <w:lastRenderedPageBreak/>
                      <w:drawing>
                        <wp:inline distT="0" distB="0" distL="0" distR="0" wp14:anchorId="7AE4FD22" wp14:editId="3DD0054D">
                          <wp:extent cx="5943600" cy="3359698"/>
                          <wp:effectExtent l="0" t="0" r="0" b="0"/>
                          <wp:docPr id="24" name="Picture 24" descr="C:\Users\hamza\Desktop\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hamza\Desktop\18.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359698"/>
                                  </a:xfrm>
                                  <a:prstGeom prst="rect">
                                    <a:avLst/>
                                  </a:prstGeom>
                                  <a:noFill/>
                                  <a:ln>
                                    <a:noFill/>
                                  </a:ln>
                                </pic:spPr>
                              </pic:pic>
                            </a:graphicData>
                          </a:graphic>
                        </wp:inline>
                      </w:drawing>
                    </w:r>
                  </w:p>
                  <w:p w14:paraId="6A5DF432" w14:textId="77777777" w:rsidR="00097CC6" w:rsidRDefault="00097CC6" w:rsidP="00097CC6">
                    <w:pPr>
                      <w:rPr>
                        <w:lang w:val="en-GB"/>
                      </w:rPr>
                    </w:pPr>
                    <w:r w:rsidRPr="00873298">
                      <w:rPr>
                        <w:noProof/>
                      </w:rPr>
                      <w:drawing>
                        <wp:inline distT="0" distB="0" distL="0" distR="0" wp14:anchorId="70682FDD" wp14:editId="680129C5">
                          <wp:extent cx="5943600" cy="3321424"/>
                          <wp:effectExtent l="0" t="0" r="0" b="0"/>
                          <wp:docPr id="25" name="Picture 25" descr="C:\Users\hamza\Desktop\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hamza\Desktop\19.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321424"/>
                                  </a:xfrm>
                                  <a:prstGeom prst="rect">
                                    <a:avLst/>
                                  </a:prstGeom>
                                  <a:noFill/>
                                  <a:ln>
                                    <a:noFill/>
                                  </a:ln>
                                </pic:spPr>
                              </pic:pic>
                            </a:graphicData>
                          </a:graphic>
                        </wp:inline>
                      </w:drawing>
                    </w:r>
                  </w:p>
                  <w:p w14:paraId="316E13E8" w14:textId="77777777" w:rsidR="00097CC6" w:rsidRDefault="00097CC6" w:rsidP="00097CC6">
                    <w:pPr>
                      <w:rPr>
                        <w:lang w:val="en-GB"/>
                      </w:rPr>
                    </w:pPr>
                    <w:r w:rsidRPr="00873298">
                      <w:rPr>
                        <w:noProof/>
                      </w:rPr>
                      <w:lastRenderedPageBreak/>
                      <w:drawing>
                        <wp:inline distT="0" distB="0" distL="0" distR="0" wp14:anchorId="0FAC4768" wp14:editId="5F3C1647">
                          <wp:extent cx="5943600" cy="3321424"/>
                          <wp:effectExtent l="0" t="0" r="0" b="0"/>
                          <wp:docPr id="26" name="Picture 26" descr="C:\Users\hamza\Desktop\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hamza\Desktop\20.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321424"/>
                                  </a:xfrm>
                                  <a:prstGeom prst="rect">
                                    <a:avLst/>
                                  </a:prstGeom>
                                  <a:noFill/>
                                  <a:ln>
                                    <a:noFill/>
                                  </a:ln>
                                </pic:spPr>
                              </pic:pic>
                            </a:graphicData>
                          </a:graphic>
                        </wp:inline>
                      </w:drawing>
                    </w:r>
                  </w:p>
                  <w:p w14:paraId="66FE7AC7" w14:textId="77777777" w:rsidR="00097CC6" w:rsidRDefault="00097CC6" w:rsidP="00097CC6">
                    <w:pPr>
                      <w:rPr>
                        <w:lang w:val="en-GB"/>
                      </w:rPr>
                    </w:pPr>
                    <w:r w:rsidRPr="00873298">
                      <w:rPr>
                        <w:noProof/>
                      </w:rPr>
                      <w:drawing>
                        <wp:inline distT="0" distB="0" distL="0" distR="0" wp14:anchorId="1F2F9629" wp14:editId="7FA059BD">
                          <wp:extent cx="5943600" cy="3352640"/>
                          <wp:effectExtent l="0" t="0" r="0" b="635"/>
                          <wp:docPr id="27" name="Picture 27" descr="C:\Users\hamza\Desktop\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hamza\Desktop\2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352640"/>
                                  </a:xfrm>
                                  <a:prstGeom prst="rect">
                                    <a:avLst/>
                                  </a:prstGeom>
                                  <a:noFill/>
                                  <a:ln>
                                    <a:noFill/>
                                  </a:ln>
                                </pic:spPr>
                              </pic:pic>
                            </a:graphicData>
                          </a:graphic>
                        </wp:inline>
                      </w:drawing>
                    </w:r>
                  </w:p>
                  <w:p w14:paraId="4BB919C8" w14:textId="77777777" w:rsidR="00097CC6" w:rsidRDefault="00097CC6" w:rsidP="00097CC6">
                    <w:pPr>
                      <w:rPr>
                        <w:lang w:val="en-GB"/>
                      </w:rPr>
                    </w:pPr>
                    <w:r w:rsidRPr="00873298">
                      <w:rPr>
                        <w:noProof/>
                      </w:rPr>
                      <w:lastRenderedPageBreak/>
                      <w:drawing>
                        <wp:inline distT="0" distB="0" distL="0" distR="0" wp14:anchorId="459FA65D" wp14:editId="18BE1D9F">
                          <wp:extent cx="5943600" cy="3343666"/>
                          <wp:effectExtent l="0" t="0" r="0" b="9525"/>
                          <wp:docPr id="28" name="Picture 28" descr="C:\Users\hamza\Desktop\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hamza\Desktop\2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3343666"/>
                                  </a:xfrm>
                                  <a:prstGeom prst="rect">
                                    <a:avLst/>
                                  </a:prstGeom>
                                  <a:noFill/>
                                  <a:ln>
                                    <a:noFill/>
                                  </a:ln>
                                </pic:spPr>
                              </pic:pic>
                            </a:graphicData>
                          </a:graphic>
                        </wp:inline>
                      </w:drawing>
                    </w:r>
                  </w:p>
                  <w:p w14:paraId="171EE04E" w14:textId="77777777" w:rsidR="00097CC6" w:rsidRDefault="00097CC6" w:rsidP="00097CC6">
                    <w:pPr>
                      <w:rPr>
                        <w:lang w:val="en-GB"/>
                      </w:rPr>
                    </w:pPr>
                    <w:r w:rsidRPr="00873298">
                      <w:rPr>
                        <w:noProof/>
                      </w:rPr>
                      <w:drawing>
                        <wp:inline distT="0" distB="0" distL="0" distR="0" wp14:anchorId="50831C73" wp14:editId="50E750C0">
                          <wp:extent cx="5943600" cy="3344051"/>
                          <wp:effectExtent l="0" t="0" r="0" b="8890"/>
                          <wp:docPr id="29" name="Picture 29" descr="C:\Users\hamza\Desktop\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hamza\Desktop\2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3344051"/>
                                  </a:xfrm>
                                  <a:prstGeom prst="rect">
                                    <a:avLst/>
                                  </a:prstGeom>
                                  <a:noFill/>
                                  <a:ln>
                                    <a:noFill/>
                                  </a:ln>
                                </pic:spPr>
                              </pic:pic>
                            </a:graphicData>
                          </a:graphic>
                        </wp:inline>
                      </w:drawing>
                    </w:r>
                  </w:p>
                  <w:p w14:paraId="59D56CAC" w14:textId="7970150D" w:rsidR="006D1D27" w:rsidRPr="00FF4712" w:rsidRDefault="00097CC6" w:rsidP="00FF4712">
                    <w:pPr>
                      <w:rPr>
                        <w:lang w:val="en-GB"/>
                      </w:rPr>
                    </w:pPr>
                    <w:r w:rsidRPr="00873298">
                      <w:rPr>
                        <w:noProof/>
                      </w:rPr>
                      <w:lastRenderedPageBreak/>
                      <w:drawing>
                        <wp:inline distT="0" distB="0" distL="0" distR="0" wp14:anchorId="5511C1F2" wp14:editId="254A45D8">
                          <wp:extent cx="5943600" cy="3394579"/>
                          <wp:effectExtent l="0" t="0" r="0" b="0"/>
                          <wp:docPr id="30" name="Picture 30" descr="C:\Users\hamza\Desktop\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hamza\Desktop\24.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3394579"/>
                                  </a:xfrm>
                                  <a:prstGeom prst="rect">
                                    <a:avLst/>
                                  </a:prstGeom>
                                  <a:noFill/>
                                  <a:ln>
                                    <a:noFill/>
                                  </a:ln>
                                </pic:spPr>
                              </pic:pic>
                            </a:graphicData>
                          </a:graphic>
                        </wp:inline>
                      </w:drawing>
                    </w:r>
                    <w:r w:rsidRPr="00873298">
                      <w:rPr>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873298">
                      <w:rPr>
                        <w:noProof/>
                      </w:rPr>
                      <w:drawing>
                        <wp:inline distT="0" distB="0" distL="0" distR="0" wp14:anchorId="2D663CA5" wp14:editId="4631633A">
                          <wp:extent cx="5943600" cy="3347977"/>
                          <wp:effectExtent l="0" t="0" r="0" b="5080"/>
                          <wp:docPr id="31" name="Picture 31" descr="C:\Users\hamza\Desktop\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hamza\Desktop\25.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3347977"/>
                                  </a:xfrm>
                                  <a:prstGeom prst="rect">
                                    <a:avLst/>
                                  </a:prstGeom>
                                  <a:noFill/>
                                  <a:ln>
                                    <a:noFill/>
                                  </a:ln>
                                </pic:spPr>
                              </pic:pic>
                            </a:graphicData>
                          </a:graphic>
                        </wp:inline>
                      </w:drawing>
                    </w:r>
                  </w:p>
                </w:sdtContent>
              </w:sdt>
            </w:tc>
          </w:tr>
        </w:tbl>
        <w:p w14:paraId="14CBCCE4" w14:textId="6BB7ED8E" w:rsidR="007C29CD" w:rsidRPr="003C19F8" w:rsidRDefault="00ED58C3" w:rsidP="003C19F8">
          <w:pPr>
            <w:spacing w:line="480" w:lineRule="auto"/>
            <w:rPr>
              <w:rFonts w:asciiTheme="minorBidi" w:hAnsiTheme="minorBidi"/>
            </w:rPr>
          </w:pPr>
        </w:p>
      </w:sdtContent>
    </w:sdt>
    <w:sectPr w:rsidR="007C29CD" w:rsidRPr="003C19F8" w:rsidSect="00C512F9">
      <w:headerReference w:type="default" r:id="rId22"/>
      <w:footerReference w:type="default" r:id="rId23"/>
      <w:headerReference w:type="first" r:id="rId24"/>
      <w:pgSz w:w="12240" w:h="15840"/>
      <w:pgMar w:top="1440" w:right="1440" w:bottom="1440" w:left="1440" w:header="28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4223FA" w14:textId="77777777" w:rsidR="000A32E8" w:rsidRDefault="000A32E8" w:rsidP="00C512F9">
      <w:pPr>
        <w:spacing w:after="0" w:line="240" w:lineRule="auto"/>
      </w:pPr>
      <w:r>
        <w:separator/>
      </w:r>
    </w:p>
  </w:endnote>
  <w:endnote w:type="continuationSeparator" w:id="0">
    <w:p w14:paraId="0BF18F0A" w14:textId="77777777" w:rsidR="000A32E8" w:rsidRDefault="000A32E8" w:rsidP="00C51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7936939"/>
      <w:docPartObj>
        <w:docPartGallery w:val="Page Numbers (Bottom of Page)"/>
        <w:docPartUnique/>
      </w:docPartObj>
    </w:sdtPr>
    <w:sdtEndPr>
      <w:rPr>
        <w:color w:val="7F7F7F" w:themeColor="background1" w:themeShade="7F"/>
        <w:spacing w:val="60"/>
      </w:rPr>
    </w:sdtEndPr>
    <w:sdtContent>
      <w:p w14:paraId="0E8534E6" w14:textId="06474F2D" w:rsidR="000A32E8" w:rsidRDefault="000A32E8">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73799A74" w14:textId="77777777" w:rsidR="000A32E8" w:rsidRDefault="000A32E8" w:rsidP="000A18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35A506" w14:textId="77777777" w:rsidR="000A32E8" w:rsidRDefault="000A32E8" w:rsidP="00C512F9">
      <w:pPr>
        <w:spacing w:after="0" w:line="240" w:lineRule="auto"/>
      </w:pPr>
      <w:r>
        <w:separator/>
      </w:r>
    </w:p>
  </w:footnote>
  <w:footnote w:type="continuationSeparator" w:id="0">
    <w:p w14:paraId="3B90801D" w14:textId="77777777" w:rsidR="000A32E8" w:rsidRDefault="000A32E8" w:rsidP="00C512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C14D1" w14:textId="0C698A8B" w:rsidR="000A32E8" w:rsidRDefault="000A32E8" w:rsidP="00A13C81">
    <w:pPr>
      <w:autoSpaceDE w:val="0"/>
      <w:autoSpaceDN w:val="0"/>
      <w:adjustRightInd w:val="0"/>
      <w:spacing w:after="0" w:line="240" w:lineRule="auto"/>
      <w:rPr>
        <w:sz w:val="20"/>
        <w:szCs w:val="20"/>
      </w:rPr>
    </w:pPr>
    <w:r w:rsidRPr="00914F89">
      <w:rPr>
        <w:sz w:val="20"/>
        <w:szCs w:val="20"/>
      </w:rPr>
      <w:t>Faraj AL-ANSARI</w:t>
    </w:r>
  </w:p>
  <w:p w14:paraId="12F02752" w14:textId="77777777" w:rsidR="000A32E8" w:rsidRDefault="000A32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B2F52" w14:textId="14B56438" w:rsidR="000A32E8" w:rsidRPr="00293B99" w:rsidRDefault="000A32E8" w:rsidP="00C512F9">
    <w:pPr>
      <w:pStyle w:val="Heading1"/>
      <w:rPr>
        <w:color w:val="005B7F"/>
      </w:rPr>
    </w:pPr>
    <w:r>
      <w:rPr>
        <w:b w:val="0"/>
        <w:noProof/>
        <w:color w:val="005B7F"/>
      </w:rPr>
      <mc:AlternateContent>
        <mc:Choice Requires="wps">
          <w:drawing>
            <wp:anchor distT="0" distB="0" distL="114300" distR="114300" simplePos="0" relativeHeight="251658240" behindDoc="0" locked="0" layoutInCell="0" allowOverlap="1" wp14:anchorId="37D44B16" wp14:editId="04B4B91D">
              <wp:simplePos x="0" y="0"/>
              <wp:positionH relativeFrom="page">
                <wp:posOffset>314325</wp:posOffset>
              </wp:positionH>
              <wp:positionV relativeFrom="page">
                <wp:posOffset>161925</wp:posOffset>
              </wp:positionV>
              <wp:extent cx="7138035" cy="9585325"/>
              <wp:effectExtent l="0" t="0" r="12065" b="15875"/>
              <wp:wrapNone/>
              <wp:docPr id="7" name="Rectangle: Rounded Corner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8035" cy="958532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txbx>
                      <w:txbxContent>
                        <w:p w14:paraId="7939064F" w14:textId="77777777" w:rsidR="000A32E8" w:rsidRDefault="000A32E8" w:rsidP="00C512F9"/>
                      </w:txbxContent>
                    </wps:txbx>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w:pict>
            <v:roundrect w14:anchorId="37D44B16" id="Rectangle: Rounded Corners 7" o:spid="_x0000_s1027" style="position:absolute;margin-left:24.75pt;margin-top:12.75pt;width:562.05pt;height:754.75pt;z-index:251658240;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" o:allowincell="f" filled="f" fillcolor="black" strokeweight="1pt">
              <v:textbox>
                <w:txbxContent>
                  <w:p w14:paraId="7939064F" w14:textId="77777777" w:rsidR="000A32E8" w:rsidRDefault="000A32E8" w:rsidP="00C512F9"/>
                </w:txbxContent>
              </v:textbox>
              <w10:wrap anchorx="page" anchory="page"/>
            </v:roundrect>
          </w:pict>
        </mc:Fallback>
      </mc:AlternateContent>
    </w:r>
    <w:r w:rsidRPr="00293B99">
      <w:rPr>
        <w:b w:val="0"/>
        <w:noProof/>
        <w:color w:val="005B7F"/>
      </w:rPr>
      <w:t>ASSIGNMENT COVERSHEET</w:t>
    </w:r>
    <w:r>
      <w:rPr>
        <w:b w:val="0"/>
        <w:noProof/>
        <w:color w:val="005B7F"/>
      </w:rPr>
      <w:t xml:space="preserve">         </w:t>
    </w:r>
    <w:r>
      <w:rPr>
        <w:b w:val="0"/>
        <w:noProof/>
        <w:color w:val="005B7F"/>
      </w:rPr>
      <w:drawing>
        <wp:inline distT="0" distB="0" distL="0" distR="0" wp14:anchorId="426B3A5F" wp14:editId="1FFAB391">
          <wp:extent cx="2971800" cy="485775"/>
          <wp:effectExtent l="0" t="0" r="0" b="9525"/>
          <wp:docPr id="6" name="Picture 6" descr="Bradfield Group Logo_RGB l&amp;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dfield Group Logo_RGB l&amp;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1800" cy="485775"/>
                  </a:xfrm>
                  <a:prstGeom prst="rect">
                    <a:avLst/>
                  </a:prstGeom>
                  <a:noFill/>
                  <a:ln>
                    <a:noFill/>
                  </a:ln>
                </pic:spPr>
              </pic:pic>
            </a:graphicData>
          </a:graphic>
        </wp:inline>
      </w:drawing>
    </w:r>
  </w:p>
  <w:p w14:paraId="74742775" w14:textId="77777777" w:rsidR="000A32E8" w:rsidRDefault="000A32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5521F"/>
    <w:multiLevelType w:val="hybridMultilevel"/>
    <w:tmpl w:val="4B5A0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174E0"/>
    <w:multiLevelType w:val="hybridMultilevel"/>
    <w:tmpl w:val="8F82D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F95127"/>
    <w:multiLevelType w:val="hybridMultilevel"/>
    <w:tmpl w:val="0D861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134160"/>
    <w:multiLevelType w:val="multilevel"/>
    <w:tmpl w:val="88721E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CD75E7"/>
    <w:multiLevelType w:val="hybridMultilevel"/>
    <w:tmpl w:val="E6A4C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4021A8"/>
    <w:multiLevelType w:val="hybridMultilevel"/>
    <w:tmpl w:val="BD26E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905356"/>
    <w:multiLevelType w:val="hybridMultilevel"/>
    <w:tmpl w:val="8A4AB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31403B"/>
    <w:multiLevelType w:val="hybridMultilevel"/>
    <w:tmpl w:val="CDF6F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DF03FD"/>
    <w:multiLevelType w:val="hybridMultilevel"/>
    <w:tmpl w:val="1E782CCC"/>
    <w:lvl w:ilvl="0" w:tplc="91EA5A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232E5E"/>
    <w:multiLevelType w:val="hybridMultilevel"/>
    <w:tmpl w:val="345C1CD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32424A6C"/>
    <w:multiLevelType w:val="hybridMultilevel"/>
    <w:tmpl w:val="85E41D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042A9C"/>
    <w:multiLevelType w:val="hybridMultilevel"/>
    <w:tmpl w:val="0EB470B6"/>
    <w:lvl w:ilvl="0" w:tplc="B544A15E">
      <w:start w:val="1"/>
      <w:numFmt w:val="upperRoman"/>
      <w:lvlText w:val="%1)"/>
      <w:lvlJc w:val="left"/>
      <w:pPr>
        <w:ind w:left="630" w:hanging="72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2" w15:restartNumberingAfterBreak="0">
    <w:nsid w:val="3F6D6C48"/>
    <w:multiLevelType w:val="hybridMultilevel"/>
    <w:tmpl w:val="8998F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390891"/>
    <w:multiLevelType w:val="hybridMultilevel"/>
    <w:tmpl w:val="9F4CBB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AF725A"/>
    <w:multiLevelType w:val="hybridMultilevel"/>
    <w:tmpl w:val="94BA0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EE2429"/>
    <w:multiLevelType w:val="hybridMultilevel"/>
    <w:tmpl w:val="E6ACF7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D071D5A"/>
    <w:multiLevelType w:val="hybridMultilevel"/>
    <w:tmpl w:val="9932B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E2267B"/>
    <w:multiLevelType w:val="hybridMultilevel"/>
    <w:tmpl w:val="F72CD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A550E9"/>
    <w:multiLevelType w:val="hybridMultilevel"/>
    <w:tmpl w:val="03761D08"/>
    <w:lvl w:ilvl="0" w:tplc="7592C7A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BB37F2F"/>
    <w:multiLevelType w:val="hybridMultilevel"/>
    <w:tmpl w:val="27AC6D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4581C0D"/>
    <w:multiLevelType w:val="hybridMultilevel"/>
    <w:tmpl w:val="99084E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576651"/>
    <w:multiLevelType w:val="hybridMultilevel"/>
    <w:tmpl w:val="DC566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9"/>
  </w:num>
  <w:num w:numId="3">
    <w:abstractNumId w:val="18"/>
  </w:num>
  <w:num w:numId="4">
    <w:abstractNumId w:val="11"/>
  </w:num>
  <w:num w:numId="5">
    <w:abstractNumId w:val="8"/>
  </w:num>
  <w:num w:numId="6">
    <w:abstractNumId w:val="1"/>
  </w:num>
  <w:num w:numId="7">
    <w:abstractNumId w:val="9"/>
  </w:num>
  <w:num w:numId="8">
    <w:abstractNumId w:val="2"/>
  </w:num>
  <w:num w:numId="9">
    <w:abstractNumId w:val="3"/>
  </w:num>
  <w:num w:numId="10">
    <w:abstractNumId w:val="5"/>
  </w:num>
  <w:num w:numId="11">
    <w:abstractNumId w:val="10"/>
  </w:num>
  <w:num w:numId="12">
    <w:abstractNumId w:val="20"/>
  </w:num>
  <w:num w:numId="13">
    <w:abstractNumId w:val="13"/>
  </w:num>
  <w:num w:numId="14">
    <w:abstractNumId w:val="16"/>
  </w:num>
  <w:num w:numId="15">
    <w:abstractNumId w:val="6"/>
  </w:num>
  <w:num w:numId="16">
    <w:abstractNumId w:val="21"/>
  </w:num>
  <w:num w:numId="17">
    <w:abstractNumId w:val="14"/>
  </w:num>
  <w:num w:numId="18">
    <w:abstractNumId w:val="4"/>
  </w:num>
  <w:num w:numId="19">
    <w:abstractNumId w:val="12"/>
  </w:num>
  <w:num w:numId="20">
    <w:abstractNumId w:val="0"/>
  </w:num>
  <w:num w:numId="21">
    <w:abstractNumId w:val="17"/>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102"/>
    <w:rsid w:val="0004062E"/>
    <w:rsid w:val="00090B12"/>
    <w:rsid w:val="00093BC3"/>
    <w:rsid w:val="00097CC6"/>
    <w:rsid w:val="000A182D"/>
    <w:rsid w:val="000A32E8"/>
    <w:rsid w:val="000F7228"/>
    <w:rsid w:val="00116664"/>
    <w:rsid w:val="00186CEA"/>
    <w:rsid w:val="001A2163"/>
    <w:rsid w:val="001C5741"/>
    <w:rsid w:val="001D43E3"/>
    <w:rsid w:val="001E42D6"/>
    <w:rsid w:val="00211E81"/>
    <w:rsid w:val="00213AD4"/>
    <w:rsid w:val="00225292"/>
    <w:rsid w:val="0024036F"/>
    <w:rsid w:val="002C5D2E"/>
    <w:rsid w:val="002D7C02"/>
    <w:rsid w:val="002F72C5"/>
    <w:rsid w:val="0033169C"/>
    <w:rsid w:val="0037555C"/>
    <w:rsid w:val="003877C7"/>
    <w:rsid w:val="003B6B7C"/>
    <w:rsid w:val="003C19F8"/>
    <w:rsid w:val="003E3596"/>
    <w:rsid w:val="003F215B"/>
    <w:rsid w:val="00425B13"/>
    <w:rsid w:val="004750DF"/>
    <w:rsid w:val="004800C0"/>
    <w:rsid w:val="004A4631"/>
    <w:rsid w:val="004B1ADC"/>
    <w:rsid w:val="00530173"/>
    <w:rsid w:val="0056764D"/>
    <w:rsid w:val="005A56B9"/>
    <w:rsid w:val="005B65A9"/>
    <w:rsid w:val="006259C7"/>
    <w:rsid w:val="00626C90"/>
    <w:rsid w:val="00680F19"/>
    <w:rsid w:val="006D1D27"/>
    <w:rsid w:val="006D564B"/>
    <w:rsid w:val="00705A6F"/>
    <w:rsid w:val="00762A1F"/>
    <w:rsid w:val="007B774E"/>
    <w:rsid w:val="007C29CD"/>
    <w:rsid w:val="008138EA"/>
    <w:rsid w:val="00842BBB"/>
    <w:rsid w:val="008536C6"/>
    <w:rsid w:val="00854351"/>
    <w:rsid w:val="00882ACF"/>
    <w:rsid w:val="008B5D1F"/>
    <w:rsid w:val="009071B0"/>
    <w:rsid w:val="00914F89"/>
    <w:rsid w:val="009218D9"/>
    <w:rsid w:val="00950468"/>
    <w:rsid w:val="00953274"/>
    <w:rsid w:val="00953551"/>
    <w:rsid w:val="009A03E7"/>
    <w:rsid w:val="009A279E"/>
    <w:rsid w:val="009A6C15"/>
    <w:rsid w:val="00A105BF"/>
    <w:rsid w:val="00A13C81"/>
    <w:rsid w:val="00A37114"/>
    <w:rsid w:val="00A556B0"/>
    <w:rsid w:val="00A73C77"/>
    <w:rsid w:val="00AB6102"/>
    <w:rsid w:val="00AC2201"/>
    <w:rsid w:val="00AD1B84"/>
    <w:rsid w:val="00AD5486"/>
    <w:rsid w:val="00B30066"/>
    <w:rsid w:val="00B848A8"/>
    <w:rsid w:val="00BA3E70"/>
    <w:rsid w:val="00C03284"/>
    <w:rsid w:val="00C30C7F"/>
    <w:rsid w:val="00C512F9"/>
    <w:rsid w:val="00CA52F3"/>
    <w:rsid w:val="00CD79AC"/>
    <w:rsid w:val="00CF6BC8"/>
    <w:rsid w:val="00D80851"/>
    <w:rsid w:val="00DB0953"/>
    <w:rsid w:val="00E11191"/>
    <w:rsid w:val="00E2184D"/>
    <w:rsid w:val="00E26DD1"/>
    <w:rsid w:val="00E40636"/>
    <w:rsid w:val="00E508DF"/>
    <w:rsid w:val="00E64D07"/>
    <w:rsid w:val="00E6685C"/>
    <w:rsid w:val="00EC0416"/>
    <w:rsid w:val="00ED58C3"/>
    <w:rsid w:val="00EE557F"/>
    <w:rsid w:val="00FC16C7"/>
    <w:rsid w:val="00FC73A5"/>
    <w:rsid w:val="00FF47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010FD16"/>
  <w15:chartTrackingRefBased/>
  <w15:docId w15:val="{F8AC3EE3-0D3B-47CE-8E4F-B28B74C9C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12F9"/>
    <w:pPr>
      <w:spacing w:before="300" w:after="40" w:line="240" w:lineRule="auto"/>
      <w:outlineLvl w:val="0"/>
    </w:pPr>
    <w:rPr>
      <w:rFonts w:ascii="Trebuchet MS" w:eastAsia="Times New Roman" w:hAnsi="Trebuchet MS" w:cs="Arial"/>
      <w:b/>
      <w:color w:val="325F64"/>
      <w:spacing w:val="20"/>
      <w:sz w:val="28"/>
      <w:szCs w:val="32"/>
      <w:lang w:val="en-GB"/>
    </w:rPr>
  </w:style>
  <w:style w:type="paragraph" w:styleId="Heading2">
    <w:name w:val="heading 2"/>
    <w:basedOn w:val="Normal"/>
    <w:next w:val="Normal"/>
    <w:link w:val="Heading2Char"/>
    <w:uiPriority w:val="9"/>
    <w:unhideWhenUsed/>
    <w:qFormat/>
    <w:rsid w:val="007C29C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D1D2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12F9"/>
    <w:rPr>
      <w:rFonts w:ascii="Trebuchet MS" w:eastAsia="Times New Roman" w:hAnsi="Trebuchet MS" w:cs="Arial"/>
      <w:b/>
      <w:color w:val="325F64"/>
      <w:spacing w:val="20"/>
      <w:sz w:val="28"/>
      <w:szCs w:val="32"/>
      <w:lang w:val="en-GB"/>
    </w:rPr>
  </w:style>
  <w:style w:type="character" w:customStyle="1" w:styleId="Heading2Char">
    <w:name w:val="Heading 2 Char"/>
    <w:basedOn w:val="DefaultParagraphFont"/>
    <w:link w:val="Heading2"/>
    <w:uiPriority w:val="9"/>
    <w:rsid w:val="007C29C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6D1D27"/>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3B6B7C"/>
    <w:pPr>
      <w:ind w:left="720"/>
      <w:contextualSpacing/>
    </w:pPr>
  </w:style>
  <w:style w:type="table" w:styleId="TableGrid">
    <w:name w:val="Table Grid"/>
    <w:basedOn w:val="TableNormal"/>
    <w:uiPriority w:val="59"/>
    <w:rsid w:val="00D80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80851"/>
    <w:rPr>
      <w:color w:val="0563C1" w:themeColor="hyperlink"/>
      <w:u w:val="single"/>
    </w:rPr>
  </w:style>
  <w:style w:type="paragraph" w:styleId="Header">
    <w:name w:val="header"/>
    <w:basedOn w:val="Normal"/>
    <w:link w:val="HeaderChar"/>
    <w:uiPriority w:val="99"/>
    <w:unhideWhenUsed/>
    <w:rsid w:val="00C51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2F9"/>
  </w:style>
  <w:style w:type="paragraph" w:styleId="Footer">
    <w:name w:val="footer"/>
    <w:basedOn w:val="Normal"/>
    <w:link w:val="FooterChar"/>
    <w:uiPriority w:val="99"/>
    <w:unhideWhenUsed/>
    <w:rsid w:val="00C51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2F9"/>
  </w:style>
  <w:style w:type="paragraph" w:styleId="TOCHeading">
    <w:name w:val="TOC Heading"/>
    <w:basedOn w:val="Heading1"/>
    <w:next w:val="Normal"/>
    <w:uiPriority w:val="39"/>
    <w:unhideWhenUsed/>
    <w:qFormat/>
    <w:rsid w:val="007C29CD"/>
    <w:pPr>
      <w:keepNext/>
      <w:keepLines/>
      <w:spacing w:before="240" w:after="0" w:line="480" w:lineRule="auto"/>
      <w:jc w:val="both"/>
      <w:outlineLvl w:val="9"/>
    </w:pPr>
    <w:rPr>
      <w:rFonts w:ascii="Times New Roman" w:eastAsiaTheme="majorEastAsia" w:hAnsi="Times New Roman" w:cs="Times New Roman"/>
      <w:color w:val="auto"/>
      <w:spacing w:val="0"/>
      <w:sz w:val="32"/>
    </w:rPr>
  </w:style>
  <w:style w:type="paragraph" w:styleId="TOC1">
    <w:name w:val="toc 1"/>
    <w:basedOn w:val="Normal"/>
    <w:next w:val="Normal"/>
    <w:autoRedefine/>
    <w:uiPriority w:val="39"/>
    <w:unhideWhenUsed/>
    <w:rsid w:val="007C29CD"/>
    <w:pPr>
      <w:spacing w:after="100" w:line="480" w:lineRule="auto"/>
      <w:jc w:val="both"/>
    </w:pPr>
    <w:rPr>
      <w:rFonts w:ascii="Times New Roman" w:eastAsiaTheme="minorEastAsia" w:hAnsi="Times New Roman" w:cs="Times New Roman"/>
      <w:sz w:val="24"/>
      <w:lang w:val="en-GB" w:eastAsia="zh-CN"/>
    </w:rPr>
  </w:style>
  <w:style w:type="paragraph" w:styleId="TOC2">
    <w:name w:val="toc 2"/>
    <w:basedOn w:val="Normal"/>
    <w:next w:val="Normal"/>
    <w:autoRedefine/>
    <w:uiPriority w:val="39"/>
    <w:unhideWhenUsed/>
    <w:rsid w:val="007C29CD"/>
    <w:pPr>
      <w:spacing w:after="100" w:line="480" w:lineRule="auto"/>
      <w:ind w:left="220"/>
      <w:jc w:val="both"/>
    </w:pPr>
    <w:rPr>
      <w:rFonts w:ascii="Times New Roman" w:eastAsiaTheme="minorEastAsia" w:hAnsi="Times New Roman" w:cs="Times New Roman"/>
      <w:sz w:val="24"/>
      <w:lang w:val="en-GB" w:eastAsia="zh-CN"/>
    </w:rPr>
  </w:style>
  <w:style w:type="paragraph" w:styleId="NoSpacing">
    <w:name w:val="No Spacing"/>
    <w:link w:val="NoSpacingChar"/>
    <w:uiPriority w:val="1"/>
    <w:qFormat/>
    <w:rsid w:val="007C29CD"/>
    <w:pPr>
      <w:spacing w:after="0" w:line="240" w:lineRule="auto"/>
    </w:pPr>
    <w:rPr>
      <w:rFonts w:eastAsiaTheme="minorEastAsia"/>
      <w:lang w:eastAsia="zh-CN"/>
    </w:rPr>
  </w:style>
  <w:style w:type="character" w:customStyle="1" w:styleId="NoSpacingChar">
    <w:name w:val="No Spacing Char"/>
    <w:basedOn w:val="DefaultParagraphFont"/>
    <w:link w:val="NoSpacing"/>
    <w:uiPriority w:val="1"/>
    <w:rsid w:val="007C29CD"/>
    <w:rPr>
      <w:rFonts w:eastAsiaTheme="minorEastAsia"/>
      <w:lang w:eastAsia="zh-CN"/>
    </w:rPr>
  </w:style>
  <w:style w:type="paragraph" w:styleId="Bibliography">
    <w:name w:val="Bibliography"/>
    <w:basedOn w:val="Normal"/>
    <w:next w:val="Normal"/>
    <w:uiPriority w:val="37"/>
    <w:unhideWhenUsed/>
    <w:rsid w:val="007C29CD"/>
    <w:pPr>
      <w:spacing w:line="480" w:lineRule="auto"/>
      <w:jc w:val="both"/>
    </w:pPr>
    <w:rPr>
      <w:rFonts w:ascii="Times New Roman" w:eastAsiaTheme="minorEastAsia" w:hAnsi="Times New Roman" w:cs="Times New Roman"/>
      <w:sz w:val="24"/>
      <w:lang w:val="en-GB" w:eastAsia="zh-CN"/>
    </w:rPr>
  </w:style>
  <w:style w:type="paragraph" w:styleId="BalloonText">
    <w:name w:val="Balloon Text"/>
    <w:basedOn w:val="Normal"/>
    <w:link w:val="BalloonTextChar"/>
    <w:uiPriority w:val="99"/>
    <w:semiHidden/>
    <w:unhideWhenUsed/>
    <w:rsid w:val="00C30C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0C7F"/>
    <w:rPr>
      <w:rFonts w:ascii="Segoe UI" w:hAnsi="Segoe UI" w:cs="Segoe UI"/>
      <w:sz w:val="18"/>
      <w:szCs w:val="18"/>
    </w:rPr>
  </w:style>
  <w:style w:type="paragraph" w:styleId="TOC3">
    <w:name w:val="toc 3"/>
    <w:basedOn w:val="Normal"/>
    <w:next w:val="Normal"/>
    <w:autoRedefine/>
    <w:uiPriority w:val="39"/>
    <w:unhideWhenUsed/>
    <w:rsid w:val="00AD1B84"/>
    <w:pPr>
      <w:spacing w:after="100" w:line="480" w:lineRule="auto"/>
      <w:ind w:left="480"/>
      <w:jc w:val="both"/>
    </w:pPr>
    <w:rPr>
      <w:rFonts w:ascii="Times New Roman" w:hAnsi="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3236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radfield.co.uk"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XSL" StyleName="Harvard - Anglia*" Version="6">
  <b:Source>
    <b:Tag>Wan151</b:Tag>
    <b:SourceType>JournalArticle</b:SourceType>
    <b:Guid>{B6F46095-E008-4731-9850-CE2B6CFBED5C}</b:Guid>
    <b:Author>
      <b:Author>
        <b:NameList>
          <b:Person>
            <b:Last>Wang</b:Last>
            <b:First>J.</b:First>
          </b:Person>
          <b:Person>
            <b:Last>Reid</b:Last>
            <b:First>F.,</b:First>
          </b:Person>
        </b:NameList>
      </b:Author>
    </b:Author>
    <b:Title>The impact of work hours discrepancy on employee absence.</b:Title>
    <b:JournalName>International Journal of Manpower,</b:JournalName>
    <b:Year>2015</b:Year>
    <b:Pages>668-693.</b:Pages>
    <b:RefOrder>1</b:RefOrder>
  </b:Source>
  <b:Source>
    <b:Tag>Dee14</b:Tag>
    <b:SourceType>JournalArticle</b:SourceType>
    <b:Guid>{EC583AAA-435B-40BE-A02E-C706A0718A08}</b:Guid>
    <b:Author>
      <b:Author>
        <b:NameList>
          <b:Person>
            <b:Last>Deery</b:Last>
            <b:First>S.J.,</b:First>
          </b:Person>
          <b:Person>
            <b:Last>Iverson</b:Last>
            <b:First>R.D.</b:First>
          </b:Person>
          <b:Person>
            <b:First>Buttigieg,</b:First>
            <b:Middle>D.M.</b:Middle>
          </b:Person>
          <b:Person>
            <b:Last>Zatzick</b:Last>
            <b:First>C.D</b:First>
          </b:Person>
        </b:NameList>
      </b:Author>
    </b:Author>
    <b:Title>Can union voice make a difference? The effect of union citizenship behavior on employee absence.</b:Title>
    <b:JournalName>Human Resource Management</b:JournalName>
    <b:Year>2014</b:Year>
    <b:Pages>211-228</b:Pages>
    <b:RefOrder>2</b:RefOrder>
  </b:Source>
  <b:Source>
    <b:Tag>Fel15</b:Tag>
    <b:SourceType>JournalArticle</b:SourceType>
    <b:Guid>{0352BD4B-DAB4-4271-BB9A-98D2C40DD22E}</b:Guid>
    <b:Author>
      <b:Author>
        <b:NameList>
          <b:Person>
            <b:Last>Felgate</b:Last>
            <b:First>M.</b:First>
          </b:Person>
          <b:Person>
            <b:Last>Fearne</b:Last>
            <b:First>A.,</b:First>
          </b:Person>
        </b:NameList>
      </b:Author>
    </b:Author>
    <b:Title>Analyzing the impact of supermarket promotions: a case study using Tesco Clubcard data in the UK.</b:Title>
    <b:JournalName>In The Sustainable Global Marketplace</b:JournalName>
    <b:Year>2015</b:Year>
    <b:RefOrder>3</b:RefOrder>
  </b:Source>
  <b:Source>
    <b:Tag>lal12</b:Tag>
    <b:SourceType>JournalArticle</b:SourceType>
    <b:Guid>{49E22CCA-BB8D-4325-91ED-FF03B6A08049}</b:Guid>
    <b:Author>
      <b:Author>
        <b:NameList>
          <b:Person>
            <b:Last>lal Bhardwaj</b:Last>
            <b:First>N.,</b:First>
          </b:Person>
        </b:NameList>
      </b:Author>
    </b:Author>
    <b:Title>Consumer buying behaviour toward carbon labelling (FMCG) in Tesco supermarket.</b:Title>
    <b:JournalName>International Journal of Data and Network Security,</b:JournalName>
    <b:Year>2012</b:Year>
    <b:Pages>1-11</b:Pages>
    <b:RefOrder>4</b:RefOrder>
  </b:Source>
  <b:Source>
    <b:Tag>AII13</b:Tag>
    <b:SourceType>Book</b:SourceType>
    <b:Guid>{DB23A797-2E2C-476B-B1B4-AFCB3FDCEE07}</b:Guid>
    <b:Title>Sickness absence. A Handbook of Work and Organizational Psychology:</b:Title>
    <b:Year>2013</b:Year>
    <b:Author>
      <b:Author>
        <b:NameList>
          <b:Person>
            <b:Last>AIIegro</b:Last>
            <b:First>J.T.</b:First>
          </b:Person>
          <b:Person>
            <b:Last>Veerman</b:Last>
            <b:First>T.J.,</b:First>
          </b:Person>
        </b:NameList>
      </b:Author>
    </b:Author>
    <b:Publisher>Work Psychology</b:Publisher>
    <b:RefOrder>5</b:RefOrder>
  </b:Source>
  <b:Source>
    <b:Tag>Cip16</b:Tag>
    <b:SourceType>InternetSite</b:SourceType>
    <b:Guid>{1962D7CD-6A0A-4B17-B45F-1E9D4311DB0A}</b:Guid>
    <b:Title>Absence Management </b:Title>
    <b:Year>2016</b:Year>
    <b:Author>
      <b:Author>
        <b:Corporate>Cipd.co.uk</b:Corporate>
      </b:Author>
    </b:Author>
    <b:URL> https://www.cipd.co.uk/Images/absence-management_2016_tcm18-16360.pdf [Accessed 21 Dec. 2019].</b:URL>
    <b:RefOrder>6</b:RefOrder>
  </b:Source>
  <b:Source>
    <b:Tag>Oei16</b:Tag>
    <b:SourceType>JournalArticle</b:SourceType>
    <b:Guid>{1A5CC2B5-80EC-418D-9CCA-DDDF425221B7}</b:Guid>
    <b:Title>Effect of workplace innovation on organisational performance and sickness absence.</b:Title>
    <b:Year>2016</b:Year>
    <b:Author>
      <b:Author>
        <b:NameList>
          <b:Person>
            <b:Last>Oeij</b:Last>
            <b:First>P.R.</b:First>
          </b:Person>
          <b:Person>
            <b:Last>Vaas</b:Last>
            <b:First>F</b:First>
          </b:Person>
        </b:NameList>
      </b:Author>
    </b:Author>
    <b:JournalName>World Review of Entrepreneurship, Management and Sustainable Development,</b:JournalName>
    <b:Pages>101-129</b:Pages>
    <b:RefOrder>7</b:RefOrder>
  </b:Source>
  <b:Source>
    <b:Tag>Gre10</b:Tag>
    <b:SourceType>Book</b:SourceType>
    <b:Guid>{25E04656-2DE4-45DB-BFD1-8B10918E047E}</b:Guid>
    <b:Title>What else do Managers do?.</b:Title>
    <b:Year>2010</b:Year>
    <b:Author>
      <b:Author>
        <b:NameList>
          <b:Person>
            <b:Last>Greener</b:Last>
            <b:First>T.,</b:First>
          </b:Person>
        </b:NameList>
      </b:Author>
    </b:Author>
    <b:Publisher>Bookboon.</b:Publisher>
    <b:RefOrder>8</b:RefOrder>
  </b:Source>
  <b:Source>
    <b:Tag>gov191</b:Tag>
    <b:SourceType>Report</b:SourceType>
    <b:Guid>{970C57B1-E26F-43E2-BD8A-144F2418950E}</b:Guid>
    <b:Title>Sickness absence and and helath in workplace</b:Title>
    <b:Year>2019</b:Year>
    <b:Author>
      <b:Author>
        <b:Corporate>gov.uk</b:Corporate>
      </b:Author>
    </b:Author>
    <b:ThesisType>An interim summary report</b:ThesisType>
    <b:RefOrder>9</b:RefOrder>
  </b:Source>
  <b:Source>
    <b:Tag>Jan17</b:Tag>
    <b:SourceType>JournalArticle</b:SourceType>
    <b:Guid>{95434E0B-92E3-46F5-B012-78FAD394DA2D}</b:Guid>
    <b:Author>
      <b:Author>
        <b:NameList>
          <b:Person>
            <b:Last>Ybema</b:Last>
            <b:First>Jan</b:First>
            <b:Middle>Fekke</b:Middle>
          </b:Person>
          <b:Person>
            <b:First>Tinka</b:First>
            <b:Middle>van Vuuren</b:Middle>
          </b:Person>
          <b:Person>
            <b:Last>Dam</b:Last>
            <b:First>Karen</b:First>
            <b:Middle>van</b:Middle>
          </b:Person>
        </b:NameList>
      </b:Author>
    </b:Author>
    <b:Title>HR practices for enhancing sustainable employability: implementation, use, and outcomes</b:Title>
    <b:JournalName>The International Journal of Human Resource Management</b:JournalName>
    <b:Year>2017</b:Year>
    <b:RefOrder>10</b:RefOrder>
  </b:Source>
  <b:Source>
    <b:Tag>Had15</b:Tag>
    <b:SourceType>JournalArticle</b:SourceType>
    <b:Guid>{D305A90F-BA80-42C0-AA95-36BF86198850}</b:Guid>
    <b:Author>
      <b:Author>
        <b:NameList>
          <b:Person>
            <b:Last>Hadjisolomou</b:Last>
            <b:First>A.</b:First>
          </b:Person>
        </b:NameList>
      </b:Author>
    </b:Author>
    <b:Title>Managing attendance at work: the role of line managers in the UK grocery retail sector</b:Title>
    <b:JournalName>Employee Relations</b:JournalName>
    <b:Year>2015</b:Year>
    <b:Pages>442-458.</b:Pages>
    <b:RefOrder>11</b:RefOrder>
  </b:Source>
  <b:Source>
    <b:Tag>Hew142</b:Tag>
    <b:SourceType>JournalArticle</b:SourceType>
    <b:Guid>{67C57762-7D10-4694-895E-F9C1E104B10B}</b:Guid>
    <b:Author>
      <b:Author>
        <b:NameList>
          <b:Person>
            <b:Last>Hewson</b:Last>
            <b:First>C.</b:First>
          </b:Person>
          <b:Person>
            <b:Last>Stewart</b:Last>
            <b:First>D.W</b:First>
          </b:Person>
        </b:NameList>
      </b:Author>
    </b:Author>
    <b:Title>Internet research methods.</b:Title>
    <b:Year>2014</b:Year>
    <b:JournalName>Wiley StatsRef: Statistics reference online</b:JournalName>
    <b:Pages>1-6.</b:Pages>
    <b:RefOrder>12</b:RefOrder>
  </b:Source>
  <b:Source>
    <b:Tag>Ahl10</b:Tag>
    <b:SourceType>JournalArticle</b:SourceType>
    <b:Guid>{C0794D62-602E-4AA5-AC7F-460929FC9CF9}</b:Guid>
    <b:Author>
      <b:Author>
        <b:NameList>
          <b:Person>
            <b:Last>Ahlstrom</b:Last>
            <b:First>L.,</b:First>
          </b:Person>
          <b:Person>
            <b:Last>Grimby-Ekman</b:Last>
            <b:First>A.</b:First>
          </b:Person>
          <b:Person>
            <b:First>Hagberg,</b:First>
            <b:Middle>M.</b:Middle>
          </b:Person>
          <b:Person>
            <b:Last>Dellve</b:Last>
            <b:First>L.,</b:First>
          </b:Person>
        </b:NameList>
      </b:Author>
    </b:Author>
    <b:Title>The work ability index and single-item question: associations with sick leave, symptoms, and health–a prospective study of women on long-term sick leave.</b:Title>
    <b:JournalName>Scandinavian journal of work, environment &amp; health, </b:JournalName>
    <b:Year>2010</b:Year>
    <b:Pages>04-412.</b:Pages>
    <b:RefOrder>13</b:RefOrder>
  </b:Source>
  <b:Source>
    <b:Tag>Lat16</b:Tag>
    <b:SourceType>JournalArticle</b:SourceType>
    <b:Guid>{BB704113-82FF-4FDF-A091-240921495FA5}</b:Guid>
    <b:Author>
      <b:Author>
        <b:NameList>
          <b:Person>
            <b:Last>Latorre</b:Last>
            <b:First>F.,</b:First>
          </b:Person>
          <b:Person>
            <b:Last>Guest</b:Last>
            <b:First>D.</b:First>
          </b:Person>
          <b:Person>
            <b:First>Ramos,</b:First>
            <b:Middle>J.</b:Middle>
          </b:Person>
          <b:Person>
            <b:Last>Gracia</b:Last>
            <b:First>F.J</b:First>
          </b:Person>
        </b:NameList>
      </b:Author>
    </b:Author>
    <b:Title> High commitment HR practices, the employment relationship and job performance: A test of a mediation model.</b:Title>
    <b:JournalName> European Management Journal, </b:JournalName>
    <b:Year>2016</b:Year>
    <b:Pages>328-337</b:Pages>
    <b:RefOrder>14</b:RefOrder>
  </b:Source>
  <b:Source>
    <b:Tag>Ala191</b:Tag>
    <b:SourceType>JournalArticle</b:SourceType>
    <b:Guid>{F038F766-017C-478F-9613-9F45C5176CF1}</b:Guid>
    <b:Author>
      <b:Author>
        <b:NameList>
          <b:Person>
            <b:Last>Alam</b:Last>
            <b:First>S.</b:First>
          </b:Person>
          <b:Person>
            <b:Last>Raut-Roy</b:Last>
            <b:First>U.</b:First>
          </b:Person>
        </b:NameList>
      </b:Author>
    </b:Author>
    <b:Title>Evaluating the Effectiveness of Reward Strategy at Tesco: Evidence from Selected Stores in UK.</b:Title>
    <b:JournalName>Indian Journal of Industrial Relations</b:JournalName>
    <b:Year>2019</b:Year>
    <b:RefOrder>15</b:RefOrder>
  </b:Source>
  <b:Source>
    <b:Tag>Böc11</b:Tag>
    <b:SourceType>JournalArticle</b:SourceType>
    <b:Guid>{BCD67AEE-96A7-4946-A41F-7BF974B22A9E}</b:Guid>
    <b:Author>
      <b:Author>
        <b:NameList>
          <b:Person>
            <b:Last>Böckerman</b:Last>
            <b:First>P.</b:First>
          </b:Person>
          <b:Person>
            <b:First>Johansson,</b:First>
            <b:Middle>E.</b:Middle>
          </b:Person>
          <b:Person>
            <b:Last>Kauhanen</b:Last>
            <b:First>A</b:First>
          </b:Person>
        </b:NameList>
      </b:Author>
    </b:Author>
    <b:Title>nnovative work practices and sickness absence: what does a nationally representative employee survey tell?.</b:Title>
    <b:JournalName> Industrial and Corporate Change, </b:JournalName>
    <b:Year>2011</b:Year>
    <b:RefOrder>16</b:RefOrder>
  </b:Source>
  <b:Source>
    <b:Tag>Kam16</b:Tag>
    <b:SourceType>JournalArticle</b:SourceType>
    <b:Guid>{2FAE28E6-B6DD-451C-81F6-D2417CA7752E}</b:Guid>
    <b:Author>
      <b:Author>
        <b:NameList>
          <b:Person>
            <b:Last>Kampkötter</b:Last>
            <b:First>P.,</b:First>
          </b:Person>
          <b:Person>
            <b:Last>Mohrenweiser</b:Last>
            <b:First>J.</b:First>
          </b:Person>
          <b:Person>
            <b:First>Sliwka,</b:First>
            <b:Middle>D.</b:Middle>
          </b:Person>
          <b:Person>
            <b:First>Steffes,</b:First>
            <b:Middle>S.</b:Middle>
          </b:Person>
          <b:Person>
            <b:Last>Wolter</b:Last>
            <b:First>S.</b:First>
          </b:Person>
        </b:NameList>
      </b:Author>
    </b:Author>
    <b:Title>August. Measuring the use of human resources practices and employee attitudes: The Linked Personnel Panel.</b:Title>
    <b:JournalName> In Evidence-based HRM: a Global Forum for Empirical Scholarship</b:JournalName>
    <b:Year>2016</b:Year>
    <b:RefOrder>17</b:RefOrder>
  </b:Source>
  <b:Source>
    <b:Tag>Mor18</b:Tag>
    <b:SourceType>JournalArticle</b:SourceType>
    <b:Guid>{4516631B-4F4C-4E3E-BC3A-FA059E6D9CF2}</b:Guid>
    <b:Author>
      <b:Author>
        <b:NameList>
          <b:Person>
            <b:Last>Morgan-Jones</b:Last>
            <b:First>R.</b:First>
          </b:Person>
          <b:Person>
            <b:First>Torres,</b:First>
            <b:Middle>N.</b:Middle>
          </b:Person>
          <b:Person>
            <b:Last>Dixon</b:Last>
            <b:First>K.</b:First>
          </b:Person>
        </b:NameList>
      </b:Author>
    </b:Author>
    <b:Title>“Retainment” of staff: Towards a collective work ethic in managing presence and absence 1</b:Title>
    <b:JournalName>In The Body of the Organisation and its Health </b:JournalName>
    <b:Year>2018</b:Year>
    <b:Pages>101-128</b:Pages>
    <b:RefOrder>18</b:RefOrder>
  </b:Source>
  <b:Source>
    <b:Tag>Gue17</b:Tag>
    <b:SourceType>JournalArticle</b:SourceType>
    <b:Guid>{63F11B28-9345-44F3-85A4-0D978566DFA3}</b:Guid>
    <b:Author>
      <b:Author>
        <b:NameList>
          <b:Person>
            <b:Last>Guest</b:Last>
            <b:First>D.E.</b:First>
          </b:Person>
        </b:NameList>
      </b:Author>
    </b:Author>
    <b:Title>Human resource management and employee well‐being: Towards a new analytic framework</b:Title>
    <b:JournalName>Human Resource Management Journal, </b:JournalName>
    <b:Year>2017</b:Year>
    <b:Pages>22-38.</b:Pages>
    <b:RefOrder>19</b:RefOrder>
  </b:Source>
  <b:Source>
    <b:Tag>Gai10</b:Tag>
    <b:SourceType>JournalArticle</b:SourceType>
    <b:Guid>{971EB6F0-7F43-4B0C-97B3-F1A06A69AFA8}</b:Guid>
    <b:Author>
      <b:Author>
        <b:NameList>
          <b:Person>
            <b:Last>Gail Hepburn</b:Last>
            <b:First>C.</b:First>
          </b:Person>
          <b:Person>
            <b:First>Franche,</b:First>
            <b:Middle>R.L.</b:Middle>
          </b:Person>
          <b:Person>
            <b:Last>Francis</b:Last>
            <b:First>L.</b:First>
          </b:Person>
        </b:NameList>
      </b:Author>
    </b:Author>
    <b:Title>Successful return to work: the role of fairness and workplace-based strategies.</b:Title>
    <b:JournalName>international Journal of Workplace Health Management, </b:JournalName>
    <b:Year>2010</b:Year>
    <b:Pages>7-24.</b:Pages>
    <b:RefOrder>20</b:RefOrder>
  </b:Source>
  <b:Source>
    <b:Tag>Koo11</b:Tag>
    <b:SourceType>JournalArticle</b:SourceType>
    <b:Guid>{2A77780E-F686-4A66-A027-3B999DD20FCD}</b:Guid>
    <b:Author>
      <b:Author>
        <b:NameList>
          <b:Person>
            <b:Last>Koopmans</b:Last>
            <b:First>P.C.</b:First>
          </b:Person>
          <b:Person>
            <b:First>Bültmann,</b:First>
            <b:Middle>U.</b:Middle>
          </b:Person>
          <b:Person>
            <b:First>Roelen,</b:First>
            <b:Middle>C.A.,</b:Middle>
          </b:Person>
          <b:Person>
            <b:Last>Hoedeman</b:Last>
            <b:First>R.</b:First>
          </b:Person>
          <b:Person>
            <b:First>van</b:First>
            <b:Middle>der Klink, J.J.</b:Middle>
          </b:Person>
          <b:Person>
            <b:Last>Groothoff</b:Last>
            <b:First>J.W.,</b:First>
          </b:Person>
        </b:NameList>
      </b:Author>
    </b:Author>
    <b:Title>Recurrence of sickness absence due to common mental disorders.</b:Title>
    <b:JournalName>International archives of occupational and environmental health</b:JournalName>
    <b:Year>2011</b:Year>
    <b:Pages>193-201</b:Pages>
    <b:RefOrder>21</b:RefOrder>
  </b:Source>
  <b:Source>
    <b:Tag>Mar131</b:Tag>
    <b:SourceType>JournalArticle</b:SourceType>
    <b:Guid>{36055C32-92D9-403A-9432-A029A37B22F4}</b:Guid>
    <b:Author>
      <b:Author>
        <b:NameList>
          <b:Person>
            <b:Last>Martin</b:Last>
            <b:First>M.H.,</b:First>
          </b:Person>
          <b:Person>
            <b:Last>Nielsen</b:Last>
            <b:First>M.B.D.</b:First>
          </b:Person>
          <b:Person>
            <b:First>Madsen,</b:First>
            <b:Middle>I.E.</b:Middle>
          </b:Person>
          <b:Person>
            <b:First>Petersen,</b:First>
            <b:Middle>S.M.,</b:Middle>
          </b:Person>
          <b:Person>
            <b:Last>Lange</b:Last>
            <b:First>T.</b:First>
          </b:Person>
          <b:Person>
            <b:Last>Rugulies</b:Last>
            <b:First>R.,</b:First>
          </b:Person>
        </b:NameList>
      </b:Author>
    </b:Author>
    <b:Title> Effectiveness of a coordinated and tailored return-to-work intervention for sickness absence beneficiaries with mental health problem</b:Title>
    <b:JournalName>Journal of occupational rehabilitation, </b:JournalName>
    <b:Year>2013</b:Year>
    <b:RefOrder>22</b:RefOrder>
  </b:Source>
  <b:Source>
    <b:Tag>Csi11</b:Tag>
    <b:SourceType>JournalArticle</b:SourceType>
    <b:Guid>{216435B5-731D-43FE-846E-5CF88C3AC8E0}</b:Guid>
    <b:Author>
      <b:Author>
        <b:NameList>
          <b:Person>
            <b:Last>Csiernik</b:Last>
            <b:First>R</b:First>
          </b:Person>
        </b:NameList>
      </b:Author>
    </b:Author>
    <b:Title>The glass is filling: An examination of employee assistance program evaluations in the first decade of the new millennium</b:Title>
    <b:JournalName>Journal of Workplace Behavioral Health,</b:JournalName>
    <b:Year>2011</b:Year>
    <b:Pages>334-355</b:Pages>
    <b:RefOrder>23</b:RefOrder>
  </b:Source>
  <b:Source>
    <b:Tag>Bre171</b:Tag>
    <b:SourceType>Book</b:SourceType>
    <b:Guid>{CD08C4E1-5B8F-40EA-A22C-F2D5DEE4C96C}</b:Guid>
    <b:Title>Policy and practice in european human resource management: The Price Waterhouse Cranfield survey</b:Title>
    <b:Year>2017</b:Year>
    <b:Author>
      <b:Author>
        <b:NameList>
          <b:Person>
            <b:Last>Brewster</b:Last>
            <b:First>C</b:First>
          </b:Person>
        </b:NameList>
      </b:Author>
    </b:Author>
    <b:City> Taylor &amp; Francis.</b:City>
    <b:RefOrder>24</b:RefOrder>
  </b:Source>
  <b:Source>
    <b:Tag>Tam12</b:Tag>
    <b:SourceType>JournalArticle</b:SourceType>
    <b:Guid>{3545D3A1-FFC4-4578-804F-FC83A7B19A45}</b:Guid>
    <b:Author>
      <b:Author>
        <b:NameList>
          <b:Person>
            <b:Last>Tamminga</b:Last>
            <b:First>S.J.,</b:First>
          </b:Person>
          <b:Person>
            <b:Last>De Boer</b:Last>
            <b:First>A.G.,</b:First>
          </b:Person>
          <b:Person>
            <b:Last>Verbeek</b:Last>
            <b:First>J.H.</b:First>
          </b:Person>
          <b:Person>
            <b:Last>Frings-Dresen</b:Last>
            <b:First>M.H.,</b:First>
          </b:Person>
        </b:NameList>
      </b:Author>
    </b:Author>
    <b:Title>Breast cancer survivors' views of factors that influence the return-to-work process-a qualitative study</b:Title>
    <b:Year>2012</b:Year>
    <b:Pages>144-154.</b:Pages>
    <b:JournalName>Scandinavian journal of work, environment &amp; health</b:JournalName>
    <b:RefOrder>25</b:RefOrder>
  </b:Source>
  <b:Source>
    <b:Tag>Alo15</b:Tag>
    <b:SourceType>JournalArticle</b:SourceType>
    <b:Guid>{C297DDE9-7B4C-47FC-A4C8-717B6C553098}</b:Guid>
    <b:Author>
      <b:Author>
        <b:NameList>
          <b:Person>
            <b:Last>Alonso-Alonso</b:Last>
            <b:First>M.</b:First>
          </b:Person>
          <b:Person>
            <b:Last>Woods</b:Last>
            <b:First>S.C.</b:First>
          </b:Person>
          <b:Person>
            <b:Last>Pelchat</b:Last>
            <b:First>M.</b:First>
          </b:Person>
          <b:Person>
            <b:Last>Grigson</b:Last>
            <b:First>P.S.</b:First>
          </b:Person>
          <b:Person>
            <b:Last>Stice</b:Last>
            <b:First>E.</b:First>
          </b:Person>
          <b:Person>
            <b:Last>Farooqi</b:Last>
            <b:First>S.Khoo,</b:First>
            <b:Middle>C.S.</b:Middle>
          </b:Person>
          <b:Person>
            <b:Last>Mattes</b:Last>
            <b:First>R.D.</b:First>
          </b:Person>
          <b:Person>
            <b:Last>Beauchamp</b:Last>
            <b:First>G.K</b:First>
          </b:Person>
        </b:NameList>
      </b:Author>
    </b:Author>
    <b:Title>Food reward system: current perspectives and future research needs.</b:Title>
    <b:Year>2015</b:Year>
    <b:Pages>296-307.</b:Pages>
    <b:JournalName> Nutrition reviews, </b:JournalName>
    <b:Volume>73</b:Volume>
    <b:Issue>5</b:Issue>
    <b:RefOrder>1</b:RefOrder>
  </b:Source>
  <b:Source>
    <b:Tag>Per174</b:Tag>
    <b:SourceType>Book</b:SourceType>
    <b:Guid>{A1738D2D-991E-4783-9849-4BF9DEF00DAF}</b:Guid>
    <b:Author>
      <b:Author>
        <b:NameList>
          <b:Person>
            <b:Last>Perera</b:Last>
            <b:First>R</b:First>
          </b:Person>
        </b:NameList>
      </b:Author>
    </b:Author>
    <b:Title>The PESTLE analysis.</b:Title>
    <b:Year>2017</b:Year>
    <b:Publisher> Nerdynaut.</b:Publisher>
    <b:RefOrder>2</b:RefOrder>
  </b:Source>
  <b:Source>
    <b:Tag>SHT181</b:Tag>
    <b:SourceType>JournalArticle</b:SourceType>
    <b:Guid>{2CE91FD8-754F-494C-B1DF-BE811BF972B0}</b:Guid>
    <b:Author>
      <b:Author>
        <b:NameList>
          <b:Person>
            <b:Last>SHTAL</b:Last>
            <b:First>T.V.</b:First>
          </b:Person>
          <b:Person>
            <b:Last>BURIAK</b:Last>
            <b:First>M.M.</b:First>
          </b:Person>
          <b:Person>
            <b:Last>AMIRBEKULY</b:Last>
            <b:First>Y.</b:First>
          </b:Person>
          <b:Person>
            <b:Last>UKUBASSOVA</b:Last>
            <b:First>G.S.</b:First>
          </b:Person>
          <b:Person>
            <b:Last>KASKIN</b:Last>
            <b:First>T.T.</b:First>
          </b:Person>
          <b:Person>
            <b:Last>TOIBOLDINOVA</b:Last>
            <b:First>Z.G</b:First>
          </b:Person>
        </b:NameList>
      </b:Author>
    </b:Author>
    <b:Title>Methods of analysis of the external environment of business activities. </b:Title>
    <b:Year>2018</b:Year>
    <b:JournalName>Revista ESPACIOS,</b:JournalName>
    <b:Volume>39</b:Volume>
    <b:Issue>12</b:Issue>
    <b:RefOrder>3</b:RefOrder>
  </b:Source>
  <b:Source>
    <b:Tag>Mar182</b:Tag>
    <b:SourceType>Report</b:SourceType>
    <b:Guid>{A53A80CB-2926-4489-9D8C-D16306721892}</b:Guid>
    <b:Title>Code of Ethics and Behaviours </b:Title>
    <b:Year>2018</b:Year>
    <b:Publisher>Marks and Spencer</b:Publisher>
    <b:Author>
      <b:Author>
        <b:Corporate>Marks and Spencer</b:Corporate>
      </b:Author>
    </b:Author>
    <b:RefOrder>4</b:RefOrder>
  </b:Source>
  <b:Source>
    <b:Tag>Ric15</b:Tag>
    <b:SourceType>BookSection</b:SourceType>
    <b:Guid>{1F6D0418-5A76-4B19-8290-BAD8262F2537}</b:Guid>
    <b:Author>
      <b:Author>
        <b:NameList>
          <b:Person>
            <b:Last>Richter</b:Last>
            <b:First>G.</b:First>
          </b:Person>
          <b:Person>
            <b:Last>Raban</b:Last>
            <b:First>D.R.</b:First>
          </b:Person>
          <b:Person>
            <b:Last>Rafaeli</b:Last>
            <b:First>S.</b:First>
          </b:Person>
        </b:NameList>
      </b:Author>
    </b:Author>
    <b:Title> Studying gamification: The effect of rewards and incentives on motivation.</b:Title>
    <b:Year>2015</b:Year>
    <b:Pages>21-46</b:Pages>
    <b:BookTitle> In Gamification in education and business </b:BookTitle>
    <b:Publisher> Springer, Cham.</b:Publisher>
    <b:RefOrder>5</b:RefOrder>
  </b:Source>
  <b:Source>
    <b:Tag>Pre171</b:Tag>
    <b:SourceType>JournalArticle</b:SourceType>
    <b:Guid>{551AE99E-B0A1-4BBF-9C51-CB17ABB22AC8}</b:Guid>
    <b:Author>
      <b:Author>
        <b:NameList>
          <b:Person>
            <b:Last>Pregnolato</b:Last>
            <b:First>M.</b:First>
          </b:Person>
          <b:Person>
            <b:Last>Bussin</b:Last>
            <b:First>M.H.</b:First>
          </b:Person>
          <b:Person>
            <b:Last>Schlechter</b:Last>
            <b:First>A.F</b:First>
          </b:Person>
        </b:NameList>
      </b:Author>
    </b:Author>
    <b:Title>Total rewards that retain: A study of demographic preferences</b:Title>
    <b:JournalName>. SA Journal of Human Resource Management,</b:JournalName>
    <b:Year>2017</b:Year>
    <b:Pages>1-10.</b:Pages>
    <b:Volume>15</b:Volume>
    <b:Issue>1</b:Issue>
    <b:RefOrder>6</b:RefOrder>
  </b:Source>
  <b:Source>
    <b:Tag>Gre184</b:Tag>
    <b:SourceType>Book</b:SourceType>
    <b:Guid>{F57EC7CD-7D57-4E14-83EF-8BDB2DE2093F}</b:Guid>
    <b:Author>
      <b:Author>
        <b:NameList>
          <b:Person>
            <b:Last>Greene</b:Last>
            <b:First>R.J</b:First>
          </b:Person>
        </b:NameList>
      </b:Author>
    </b:Author>
    <b:Title>Rewarding performance: Guiding principles; Routledge., custom strategies.</b:Title>
    <b:Year>2018</b:Year>
    <b:Publisher>Routledge.</b:Publisher>
    <b:RefOrder>7</b:RefOrder>
  </b:Source>
  <b:Source>
    <b:Tag>Fer152</b:Tag>
    <b:SourceType>JournalArticle</b:SourceType>
    <b:Guid>{750BFF2F-A85A-4F65-9108-7F4951B55893}</b:Guid>
    <b:Author>
      <b:Author>
        <b:NameList>
          <b:Person>
            <b:Last>Ferreira</b:Last>
            <b:First>E.</b:First>
          </b:Person>
          <b:Person>
            <b:Last>Lefevre</b:Last>
            <b:First>F</b:First>
          </b:Person>
        </b:NameList>
      </b:Author>
    </b:Author>
    <b:Title>Reinforcement-learning based dialogue system for human–robot interactions with socially-inspired rewards. </b:Title>
    <b:JournalName>Computer Speech &amp; Language,</b:JournalName>
    <b:Year>2015</b:Year>
    <b:Pages>256-274.</b:Pages>
    <b:Volume>34</b:Volume>
    <b:Issue>1</b:Issue>
    <b:RefOrder>8</b:RefOrder>
  </b:Source>
  <b:Source>
    <b:Tag>Spa15</b:Tag>
    <b:SourceType>JournalArticle</b:SourceType>
    <b:Guid>{06299A70-0A02-4A46-B49F-E924798F38CF}</b:Guid>
    <b:Author>
      <b:Author>
        <b:NameList>
          <b:Person>
            <b:Last>Spaan</b:Last>
            <b:First>M.T.</b:First>
          </b:Person>
          <b:Person>
            <b:Last>Veiga</b:Last>
            <b:First>T.S.</b:First>
          </b:Person>
          <b:Person>
            <b:Last>Lima</b:Last>
            <b:First>P.U.</b:First>
          </b:Person>
        </b:NameList>
      </b:Author>
    </b:Author>
    <b:Title> Decision-theoretic planning under uncertainty with information rewards for active cooperative perception</b:Title>
    <b:JournalName>. Autonomous Agents and Multi-Agent Systems,</b:JournalName>
    <b:Year>2015</b:Year>
    <b:Pages>1157-1185.</b:Pages>
    <b:Volume>29</b:Volume>
    <b:Issue>6</b:Issue>
    <b:RefOrder>9</b:RefOrder>
  </b:Source>
  <b:Source>
    <b:Tag>Hoo162</b:Tag>
    <b:SourceType>JournalArticle</b:SourceType>
    <b:Guid>{7DD271D8-392A-417D-99C6-33C1B7010F9D}</b:Guid>
    <b:Author>
      <b:Author>
        <b:NameList>
          <b:Person>
            <b:Last>Hoole</b:Last>
            <b:First>C</b:First>
          </b:Person>
          <b:Person>
            <b:Last>Hotz</b:Last>
            <b:First>G</b:First>
          </b:Person>
        </b:NameList>
      </b:Author>
    </b:Author>
    <b:Title> The impact of a total reward system of work engagement. </b:Title>
    <b:JournalName>SA Journal of Industrial Psychology,</b:JournalName>
    <b:Year>2016</b:Year>
    <b:Pages>.1-14.</b:Pages>
    <b:Volume>42</b:Volume>
    <b:Issue>1</b:Issue>
    <b:RefOrder>10</b:RefOrder>
  </b:Source>
  <b:Source>
    <b:Tag>Hai152</b:Tag>
    <b:SourceType>JournalArticle</b:SourceType>
    <b:Guid>{1980939B-6B5A-4AE4-A31B-C0A5233FEFE4}</b:Guid>
    <b:Author>
      <b:Author>
        <b:NameList>
          <b:Person>
            <b:Last>Haider</b:Last>
            <b:First>M.</b:First>
          </b:Person>
          <b:Person>
            <b:Last>Aamir</b:Last>
            <b:First>A.</b:First>
          </b:Person>
          <b:Person>
            <b:Last>Hamid</b:Last>
            <b:First>A.A</b:First>
          </b:Person>
          <b:Person>
            <b:Last>Hashim</b:Last>
            <b:First>M.</b:First>
          </b:Person>
        </b:NameList>
      </b:Author>
    </b:Author>
    <b:Title> A literature analysis on the importance of non-financial rewards for employees’ job satisfaction</b:Title>
    <b:Year>2015</b:Year>
    <b:JournalName>. Abasyn Journal of Social Sciences,</b:JournalName>
    <b:Pages>341-354.</b:Pages>
    <b:Volume>8</b:Volume>
    <b:Issue>2</b:Issue>
    <b:RefOrder>11</b:RefOrder>
  </b:Source>
  <b:Source>
    <b:Tag>Bel121</b:Tag>
    <b:SourceType>JournalArticle</b:SourceType>
    <b:Guid>{8FC7993F-E59D-48F7-BD75-DF02B009C1E1}</b:Guid>
    <b:Author>
      <b:Author>
        <b:NameList>
          <b:Person>
            <b:Last>Bell</b:Last>
            <b:First>R.</b:First>
          </b:Person>
          <b:Person>
            <b:Last>Martin</b:Last>
            <b:First>J.</b:First>
          </b:Person>
        </b:NameList>
      </b:Author>
    </b:Author>
    <b:Title>The relevance of scientific management and equity theory in everyday managerial communication situations.</b:Title>
    <b:JournalName>Journal of Management Policy and Practice, </b:JournalName>
    <b:Year>2012</b:Year>
    <b:RefOrder>12</b:RefOrder>
  </b:Source>
  <b:Source>
    <b:Tag>Loc121</b:Tag>
    <b:SourceType>JournalArticle</b:SourceType>
    <b:Guid>{C0C5A9C8-74A6-4026-A20F-AAC3E31728F5}</b:Guid>
    <b:Author>
      <b:Author>
        <b:NameList>
          <b:Person>
            <b:Last>Lockwood</b:Last>
            <b:First>G.,</b:First>
          </b:Person>
          <b:Person>
            <b:Last>Henderson</b:Last>
            <b:First>C.</b:First>
          </b:Person>
          <b:Person>
            <b:Last>Thornicroft</b:Last>
            <b:First>G.</b:First>
          </b:Person>
        </b:NameList>
      </b:Author>
    </b:Author>
    <b:Title>The Equality Act 2010 and mental health. </b:Title>
    <b:JournalName>The British Journal of Psychiatry</b:JournalName>
    <b:Year>2012</b:Year>
    <b:Pages>182-183.</b:Pages>
    <b:RefOrder>13</b:RefOrder>
  </b:Source>
  <b:Source>
    <b:Tag>GOV203</b:Tag>
    <b:SourceType>InternetSite</b:SourceType>
    <b:Guid>{C9A69E5F-214A-44C6-A8B0-BBE289C1363E}</b:Guid>
    <b:Title> Discrimination: your rights.</b:Title>
    <b:JournalName>GOV.UK. (2020). Discrimination: your rights. [online] Available at: </b:JournalName>
    <b:Year>2020</b:Year>
    <b:Author>
      <b:Author>
        <b:Corporate>GOV.UK</b:Corporate>
      </b:Author>
    </b:Author>
    <b:URL>https://www.gov.uk/discrimination-your-rights [Accessed 10 Feb. 2020].</b:URL>
    <b:RefOrder>14</b:RefOrder>
  </b:Source>
  <b:Source>
    <b:Tag>Wil11</b:Tag>
    <b:SourceType>JournalArticle</b:SourceType>
    <b:Guid>{B3DED9EE-1330-4E43-935B-6FCA9C7726DA}</b:Guid>
    <b:Author>
      <b:Author>
        <b:NameList>
          <b:Person>
            <b:Last>Williamson</b:Last>
            <b:First>K.</b:First>
          </b:Person>
          <b:Person>
            <b:Last>Williams</b:Last>
            <b:First>K.J.</b:First>
          </b:Person>
        </b:NameList>
      </b:Author>
    </b:Author>
    <b:Title> Organisational justice, trust and perceptions of fairness in the implementation of agenda for change.</b:Title>
    <b:Year>2011</b:Year>
    <b:JournalName>Radiography, </b:JournalName>
    <b:Pages>61-66.</b:Pages>
    <b:RefOrder>15</b:RefOrder>
  </b:Source>
  <b:Source>
    <b:Tag>Cas121</b:Tag>
    <b:SourceType>JournalArticle</b:SourceType>
    <b:Guid>{28D85106-5FC0-48A4-9AA4-DD3553919A64}</b:Guid>
    <b:Author>
      <b:Author>
        <b:NameList>
          <b:Person>
            <b:Last>Castilla</b:Last>
            <b:First>E.J.,</b:First>
          </b:Person>
        </b:NameList>
      </b:Author>
    </b:Author>
    <b:Title>Gender, race, and the new (merit‐based) employment relationship. Industrial Relations: </b:Title>
    <b:JournalName>A Journal of Economy and Society</b:JournalName>
    <b:Year>2012</b:Year>
    <b:Pages>528-562.</b:Pages>
    <b:RefOrder>16</b:RefOrder>
  </b:Source>
  <b:Source>
    <b:Tag>Cas16</b:Tag>
    <b:SourceType>JournalArticle</b:SourceType>
    <b:Guid>{0666ACCC-643B-4AFF-AC99-54A2C06A4566}</b:Guid>
    <b:Author>
      <b:Author>
        <b:NameList>
          <b:Person>
            <b:Last>Castilla</b:Last>
            <b:First>E.J.,</b:First>
          </b:Person>
        </b:NameList>
      </b:Author>
    </b:Author>
    <b:Title>Achieving meritocracy in the workplace.</b:Title>
    <b:JournalName>MIT Sloan Management Review</b:JournalName>
    <b:Year>2016</b:Year>
    <b:RefOrder>17</b:RefOrder>
  </b:Source>
  <b:Source>
    <b:Tag>Est10</b:Tag>
    <b:SourceType>JournalArticle</b:SourceType>
    <b:Guid>{EB5BC02E-410D-47D8-B0E7-898BC29ECC48}</b:Guid>
    <b:Author>
      <b:Author>
        <b:NameList>
          <b:Person>
            <b:Last>Estlund</b:Last>
            <b:First>C.</b:First>
          </b:Person>
        </b:NameList>
      </b:Author>
    </b:Author>
    <b:Title>Just the facts: the case for workplace transparency.</b:Title>
    <b:Year>2010</b:Year>
    <b:RefOrder>18</b:RefOrder>
  </b:Source>
  <b:Source>
    <b:Tag>Est14</b:Tag>
    <b:SourceType>JournalArticle</b:SourceType>
    <b:Guid>{57A1D565-A0E4-4EBC-9F0D-4A5CAEF51D5B}</b:Guid>
    <b:Author>
      <b:Author>
        <b:NameList>
          <b:Person>
            <b:Last>Estlund</b:Last>
            <b:First>C.,</b:First>
          </b:Person>
        </b:NameList>
      </b:Author>
    </b:Author>
    <b:Title>. Extending the case for workplace transparency to information about pay.</b:Title>
    <b:Year>2014</b:Year>
    <b:RefOrder>19</b:RefOrder>
  </b:Source>
  <b:Source>
    <b:Tag>Ozu12</b:Tag>
    <b:SourceType>JournalArticle</b:SourceType>
    <b:Guid>{527A637D-D509-4008-B780-209A8A26B6A3}</b:Guid>
    <b:Author>
      <b:Author>
        <b:NameList>
          <b:Person>
            <b:Last>Ozutku</b:Last>
            <b:First>H.</b:First>
          </b:Person>
        </b:NameList>
      </b:Author>
    </b:Author>
    <b:Title>The Influence of Intrinsic and Extrinsic Rewards on Employee Results: An Empirical Analysis in Turkish Manufacturing Industry</b:Title>
    <b:JournalName>Business and Economics Research Journal</b:JournalName>
    <b:Year>2012</b:Year>
    <b:Pages> 29-48.</b:Pages>
    <b:RefOrder>20</b:RefOrder>
  </b:Source>
  <b:Source>
    <b:Tag>Csi14</b:Tag>
    <b:SourceType>JournalArticle</b:SourceType>
    <b:Guid>{D4B41CBF-7D59-403A-8C59-2A9D6C4235A1}</b:Guid>
    <b:Author>
      <b:Author>
        <b:NameList>
          <b:Person>
            <b:Last>Csikszentmihalyi</b:Last>
            <b:First>M.,</b:First>
          </b:Person>
        </b:NameList>
      </b:Author>
    </b:Author>
    <b:Title>Play and intrinsic rewards.</b:Title>
    <b:JournalName>In Flow and the foundations of positive psychology</b:JournalName>
    <b:Year>2014</b:Year>
    <b:Pages> 135-153</b:Pages>
    <b:RefOrder>21</b:RefOrder>
  </b:Source>
  <b:Source>
    <b:Tag>Kha13</b:Tag>
    <b:SourceType>JournalArticle</b:SourceType>
    <b:Guid>{FF8A307A-8AE9-435F-896F-BC244C3AF48F}</b:Guid>
    <b:Author>
      <b:Author>
        <b:NameList>
          <b:Person>
            <b:Last>Khan</b:Last>
            <b:First>I.,</b:First>
          </b:Person>
          <b:Person>
            <b:Last>Shahid</b:Last>
            <b:First>M.,</b:First>
          </b:Person>
          <b:Person>
            <b:Last>Nawab</b:Last>
            <b:First>S.</b:First>
          </b:Person>
          <b:Person>
            <b:Last>Wali</b:Last>
            <b:First>S.S.,</b:First>
          </b:Person>
        </b:NameList>
      </b:Author>
    </b:Author>
    <b:Title>Influence of intrinsic and extrinsic rewards on employee performance The banking sector of Pakistan</b:Title>
    <b:JournalName> Academic Research International,</b:JournalName>
    <b:Year>2013</b:Year>
    <b:RefOrder>22</b:RefOrder>
  </b:Source>
  <b:Source>
    <b:Tag>Cho122</b:Tag>
    <b:SourceType>JournalArticle</b:SourceType>
    <b:Guid>{54A794C9-F5BB-42D4-8264-79F29441874A}</b:Guid>
    <b:Author>
      <b:Author>
        <b:NameList>
          <b:Person>
            <b:Last>Cho</b:Last>
            <b:First>Y.J.</b:First>
          </b:Person>
          <b:Person>
            <b:Last>Perry</b:Last>
            <b:First>J.L.</b:First>
          </b:Person>
        </b:NameList>
      </b:Author>
    </b:Author>
    <b:Title> Intrinsic motivation and employee attitudes: Role of managerial trustworthiness, goal directedness, and extrinsic reward expectancy.</b:Title>
    <b:JournalName>Review of Public Personnel Administration, </b:JournalName>
    <b:Year>2012</b:Year>
    <b:Pages>382-406.</b:Pages>
    <b:RefOrder>23</b:RefOrder>
  </b:Source>
  <b:Source>
    <b:Tag>Šaj14</b:Tag>
    <b:SourceType>JournalArticle</b:SourceType>
    <b:Guid>{0257D0CA-D0B4-4E3C-BA0A-D7F7AB62F4B7}</b:Guid>
    <b:Author>
      <b:Author>
        <b:NameList>
          <b:Person>
            <b:Last>Šajeva</b:Last>
            <b:First>S.,</b:First>
          </b:Person>
        </b:NameList>
      </b:Author>
    </b:Author>
    <b:Title> Encouraging knowledge sharing among employees: how reward matters.</b:Title>
    <b:JournalName>Procedia-Social and Behavioral Sciences, </b:JournalName>
    <b:Year>2014</b:Year>
    <b:Pages>130-34.</b:Pages>
    <b:RefOrder>24</b:RefOrder>
  </b:Source>
  <b:Source>
    <b:Tag>Gok13</b:Tag>
    <b:SourceType>JournalArticle</b:SourceType>
    <b:Guid>{3EC57693-32AB-45C7-9F39-995830B321C7}</b:Guid>
    <b:Author>
      <b:Author>
        <b:NameList>
          <b:Person>
            <b:Last>Goksoy</b:Last>
            <b:First>A.</b:First>
          </b:Person>
          <b:Person>
            <b:Last>Alayoglu</b:Last>
            <b:First>N.</b:First>
          </b:Person>
        </b:NameList>
      </b:Author>
    </b:Author>
    <b:Title>The impact of perception of performance appraisal and distributive justice fairness on employees' ethical decision making in paternalist organizational culture</b:Title>
    <b:JournalName>Performance Improvement Quarterly</b:JournalName>
    <b:Year>2013</b:Year>
    <b:Pages>57-79</b:Pages>
    <b:Volume>26</b:Volume>
    <b:Issue>1</b:Issue>
    <b:RefOrder>25</b:RefOrder>
  </b:Source>
  <b:Source>
    <b:Tag>Aki13</b:Tag>
    <b:SourceType>JournalArticle</b:SourceType>
    <b:Guid>{D6602EF8-501B-476B-8F0F-2B96761628F3}</b:Guid>
    <b:Author>
      <b:Author>
        <b:NameList>
          <b:Person>
            <b:Last>Akinbowale</b:Last>
            <b:First>M.A.,</b:First>
          </b:Person>
          <b:Person>
            <b:Last>Lourens</b:Last>
            <b:First>M.E.</b:First>
          </b:Person>
          <b:Person>
            <b:Last>Jinabhai</b:Last>
            <b:First>D.C.</b:First>
          </b:Person>
        </b:NameList>
      </b:Author>
    </b:Author>
    <b:Title>Role of performance appraisal policy and its effects on employee performance</b:Title>
    <b:JournalName>European Journal of Business and Social Sciences</b:JournalName>
    <b:Year>2013</b:Year>
    <b:Pages>19-26</b:Pages>
    <b:Volume>2</b:Volume>
    <b:Issue>7</b:Issue>
    <b:RefOrder>26</b:RefOrder>
  </b:Source>
  <b:Source>
    <b:Tag>San122</b:Tag>
    <b:SourceType>JournalArticle</b:SourceType>
    <b:Guid>{668812DF-626C-439D-A03E-E8FB8E0FDFDE}</b:Guid>
    <b:Author>
      <b:Author>
        <b:NameList>
          <b:Person>
            <b:Last>San</b:Last>
            <b:First>O.,</b:First>
          </b:Person>
          <b:Person>
            <b:Last>Theen</b:Last>
            <b:First>Y.</b:First>
          </b:Person>
          <b:Person>
            <b:Last>Heng</b:Last>
            <b:First>T.</b:First>
          </b:Person>
        </b:NameList>
      </b:Author>
    </b:Author>
    <b:Title>The reward strategy and performance measurement (evidence from Malaysian insurance companies)</b:Title>
    <b:JournalName>International Journal of Business, Humanities and Technology</b:JournalName>
    <b:Year>2012</b:Year>
    <b:Pages>211-223</b:Pages>
    <b:Volume>2</b:Volume>
    <b:Issue>1</b:Issue>
    <b:RefOrder>27</b:RefOrder>
  </b:Source>
  <b:Source>
    <b:Tag>Tse13</b:Tag>
    <b:SourceType>JournalArticle</b:SourceType>
    <b:Guid>{63FC893D-8F87-4AD3-9813-0DEA42717757}</b:Guid>
    <b:Author>
      <b:Author>
        <b:NameList>
          <b:Person>
            <b:Last>Tsede</b:Last>
            <b:First>O.A.</b:First>
          </b:Person>
          <b:Person>
            <b:Last>Kutin</b:Last>
            <b:First>E.</b:First>
          </b:Person>
        </b:NameList>
      </b:Author>
    </b:Author>
    <b:Title>Total reward concept: A key motivational tool for corporate Ghana</b:Title>
    <b:JournalName>Business and Economic Research</b:JournalName>
    <b:Year>2013</b:Year>
    <b:Pages>173</b:Pages>
    <b:Volume>3</b:Volume>
    <b:Issue>2</b:Issue>
    <b:RefOrder>28</b:RefOrder>
  </b:Source>
  <b:Source>
    <b:Tag>Lar15</b:Tag>
    <b:SourceType>JournalArticle</b:SourceType>
    <b:Guid>{DED1C2FF-B19F-4FC8-B1CF-68A3DF106AED}</b:Guid>
    <b:Author>
      <b:Author>
        <b:NameList>
          <b:Person>
            <b:Last>Lardner</b:Last>
            <b:First>S.</b:First>
          </b:Person>
        </b:NameList>
      </b:Author>
    </b:Author>
    <b:Title>Effective reward ensures effective engagement</b:Title>
    <b:JournalName>Strategic HR Review</b:JournalName>
    <b:Year>2015</b:Year>
    <b:RefOrder>29</b:RefOrder>
  </b:Source>
  <b:Source>
    <b:Tag>Cox101</b:Tag>
    <b:SourceType>JournalArticle</b:SourceType>
    <b:Guid>{C274A430-BD52-42FA-89BD-861B48C7AAC5}</b:Guid>
    <b:Author>
      <b:Author>
        <b:NameList>
          <b:Person>
            <b:Last>Cox</b:Last>
            <b:First>A.,</b:First>
          </b:Person>
          <b:Person>
            <b:Last>Brown</b:Last>
            <b:First>D.</b:First>
          </b:Person>
          <b:Person>
            <b:Last>Reilly</b:Last>
            <b:First>P.</b:First>
          </b:Person>
        </b:NameList>
      </b:Author>
    </b:Author>
    <b:Title>Reward strategy: Time for a more realistic reconceptualization and reinterpretation?</b:Title>
    <b:JournalName>Thunderbird International Business Review</b:JournalName>
    <b:Year>2010</b:Year>
    <b:Pages>249-260</b:Pages>
    <b:Volume>52</b:Volume>
    <b:Issue>3</b:Issue>
    <b:RefOrder>30</b:RefOrder>
  </b:Source>
  <b:Source>
    <b:Tag>Tiw12</b:Tag>
    <b:SourceType>JournalArticle</b:SourceType>
    <b:Guid>{3744C88C-798C-4738-8754-3E9E394CAC64}</b:Guid>
    <b:Author>
      <b:Author>
        <b:NameList>
          <b:Person>
            <b:Last>Tiwari</b:Last>
            <b:First>P.</b:First>
          </b:Person>
          <b:Person>
            <b:Last>Saxena</b:Last>
            <b:First>K.,</b:First>
          </b:Person>
        </b:NameList>
      </b:Author>
    </b:Author>
    <b:Title> Human resource management practices: A comprehensive review. </b:Title>
    <b:Year>2012</b:Year>
    <b:JournalName>Pakistan business review,</b:JournalName>
    <b:Pages>669-705</b:Pages>
    <b:Volume>9</b:Volume>
    <b:Issue>2</b:Issue>
    <b:RefOrder>31</b:RefOrder>
  </b:Source>
  <b:Source>
    <b:Tag>Wil162</b:Tag>
    <b:SourceType>Book</b:SourceType>
    <b:Guid>{444E6173-BBB2-4C65-B5B0-A8A571139BA7}</b:Guid>
    <b:Author>
      <b:Author>
        <b:NameList>
          <b:Person>
            <b:Last>Wilton</b:Last>
            <b:First>N.,</b:First>
          </b:Person>
        </b:NameList>
      </b:Author>
    </b:Author>
    <b:Title>An introduction to human resource management. </b:Title>
    <b:Year>2016</b:Year>
    <b:Publisher>Sage.</b:Publisher>
    <b:RefOrder>32</b:RefOrder>
  </b:Source>
  <b:Source>
    <b:Tag>Nie13</b:Tag>
    <b:SourceType>JournalArticle</b:SourceType>
    <b:Guid>{1B3C49E4-218D-42C7-9D3C-2C37DAD5A31C}</b:Guid>
    <b:Author>
      <b:Author>
        <b:NameList>
          <b:Person>
            <b:Last>Nielsen</b:Last>
            <b:First>K.,</b:First>
          </b:Person>
        </b:NameList>
      </b:Author>
    </b:Author>
    <b:Title>How can we make organizational interventions work? Employees and line managers as actively crafting interventions. </b:Title>
    <b:Year>2013</b:Year>
    <b:Pages>1029-1050</b:Pages>
    <b:JournalName>Human Relations</b:JournalName>
    <b:Volume>66</b:Volume>
    <b:Issue>8</b:Issue>
    <b:RefOrder>33</b:RefOrder>
  </b:Source>
  <b:Source>
    <b:Tag>Mar14</b:Tag>
    <b:SourceType>JournalArticle</b:SourceType>
    <b:Guid>{8AA693FB-F83A-4422-9F58-7F40C55EAA34}</b:Guid>
    <b:Author>
      <b:Author>
        <b:NameList>
          <b:Person>
            <b:Last>Marmot</b:Last>
            <b:First>M.</b:First>
          </b:Person>
          <b:Person>
            <b:Last>Allen</b:Last>
            <b:First>J.J.,</b:First>
          </b:Person>
        </b:NameList>
      </b:Author>
    </b:Author>
    <b:Title>Social determinants of health equity.</b:Title>
    <b:Year>2014</b:Year>
    <b:RefOrder>34</b:RefOrder>
  </b:Source>
  <b:Source>
    <b:Tag>HUX19</b:Tag>
    <b:SourceType>JournalArticle</b:SourceType>
    <b:Guid>{8A75D2E1-FBE7-4289-8F20-DFC187187D4F}</b:Guid>
    <b:Author>
      <b:Author>
        <b:NameList>
          <b:Person>
            <b:Last>HU</b:Last>
            <b:First>X.Q.</b:First>
          </b:Person>
          <b:Person>
            <b:Last>XIANG</b:Last>
            <b:First>C.,</b:First>
          </b:Person>
        </b:NameList>
      </b:Author>
    </b:Author>
    <b:Title>Business Analysis and Valuation on the Burberry Group.</b:Title>
    <b:JournalName> DEStech Transactions on Economics, Business and Management, (ssemr).</b:JournalName>
    <b:Year>2019</b:Year>
    <b:RefOrder>35</b:RefOrder>
  </b:Source>
  <b:Source>
    <b:Tag>Bro10</b:Tag>
    <b:SourceType>InternetSite</b:SourceType>
    <b:Guid>{6C501A1E-EA79-4835-8196-DC63132EB7EE}</b:Guid>
    <b:Title> Fairness: the Ultimate Reward Goal. </b:Title>
    <b:Year>2010</b:Year>
    <b:Author>
      <b:Author>
        <b:NameList>
          <b:Person>
            <b:Last>Brown</b:Last>
            <b:First>D</b:First>
          </b:Person>
        </b:NameList>
      </b:Author>
    </b:Author>
    <b:URL> http://www.e-reward.co.uk/blog.asp?bid=28&gt;, </b:URL>
    <b:RefOrder>36</b:RefOrder>
  </b:Source>
  <b:Source>
    <b:Tag>Bly121</b:Tag>
    <b:SourceType>JournalArticle</b:SourceType>
    <b:Guid>{2FEB81EB-B1AE-4748-B8D6-49DA3A5CB9EF}</b:Guid>
    <b:Title>Mobilizing resistance: The Burberry workers' campaign against factory closure. </b:Title>
    <b:Year>2012</b:Year>
    <b:Author>
      <b:Author>
        <b:NameList>
          <b:Person>
            <b:Last>Blyton</b:Last>
            <b:First>P.</b:First>
          </b:Person>
          <b:Person>
            <b:Last>Jenkins</b:Last>
            <b:First>J.,</b:First>
          </b:Person>
        </b:NameList>
      </b:Author>
    </b:Author>
    <b:JournalName>The Sociological Review,</b:JournalName>
    <b:Pages>25-45</b:Pages>
    <b:Volume>60</b:Volume>
    <b:Issue>1</b:Issue>
    <b:RefOrder>37</b:RefOrder>
  </b:Source>
  <b:Source>
    <b:Tag>Rev16</b:Tag>
    <b:SourceType>JournalArticle</b:SourceType>
    <b:Guid>{A5E3617B-34BC-4DA1-B8ED-517DBF224D73}</b:Guid>
    <b:Author>
      <b:Author>
        <b:NameList>
          <b:Person>
            <b:Last>Revolution</b:Last>
            <b:First>F.,</b:First>
          </b:Person>
        </b:NameList>
      </b:Author>
    </b:Author>
    <b:Title>Fashion transparency index.</b:Title>
    <b:Year>2016</b:Year>
    <b:RefOrder>38</b:RefOrder>
  </b:Source>
  <b:Source>
    <b:Tag>Aka12</b:Tag>
    <b:SourceType>JournalArticle</b:SourceType>
    <b:Guid>{2629E9BE-9E45-4B00-860D-032A3DD3EA8B}</b:Guid>
    <b:Author>
      <b:Author>
        <b:NameList>
          <b:Person>
            <b:Last>Akahoshi</b:Last>
            <b:First>T.,</b:First>
          </b:Person>
        </b:NameList>
      </b:Author>
    </b:Author>
    <b:Title>Transparency in the fashion industry: Social media use in public relations strategies.</b:Title>
    <b:Year>2012</b:Year>
    <b:RefOrder>39</b:RefOrder>
  </b:Source>
  <b:Source>
    <b:Tag>Str161</b:Tag>
    <b:SourceType>JournalArticle</b:SourceType>
    <b:Guid>{42DC9C5F-D4B3-4C0D-A890-527491C91667}</b:Guid>
    <b:Author>
      <b:Author>
        <b:NameList>
          <b:Person>
            <b:Last>Straker</b:Last>
            <b:First>K.</b:First>
          </b:Person>
          <b:Person>
            <b:Last>Wrigley</b:Last>
            <b:First>C.,</b:First>
          </b:Person>
        </b:NameList>
      </b:Author>
    </b:Author>
    <b:Title>Emotionally engaging customers in the digital age: the case study of “Burberry love”. </b:Title>
    <b:JournalName>Journal of Fashion Marketing and Management,</b:JournalName>
    <b:Year>2016</b:Year>
    <b:Pages>276-299</b:Pages>
    <b:Volume>20</b:Volume>
    <b:Issue>3</b:Issue>
    <b:RefOrder>40</b:RefOrder>
  </b:Source>
  <b:Source>
    <b:Tag>Swa13</b:Tag>
    <b:SourceType>JournalArticle</b:SourceType>
    <b:Guid>{8E740738-B373-460D-A0C0-F4AAF77EAB2A}</b:Guid>
    <b:Author>
      <b:Author>
        <b:NameList>
          <b:Person>
            <b:Last>Swailes</b:Last>
            <b:First>S.,</b:First>
          </b:Person>
        </b:NameList>
      </b:Author>
    </b:Author>
    <b:Title>The ethics of talent management. </b:Title>
    <b:JournalName>Business Ethics: A European Review, </b:JournalName>
    <b:Year>2013</b:Year>
    <b:Pages>32-46</b:Pages>
    <b:Volume>22</b:Volume>
    <b:Issue>1</b:Issue>
    <b:RefOrder>41</b:RefOrder>
  </b:Source>
  <b:Source>
    <b:Tag>Har11</b:Tag>
    <b:SourceType>JournalArticle</b:SourceType>
    <b:Guid>{50F02BDC-F1CF-44E0-926A-7ADB216A63C8}</b:Guid>
    <b:Author>
      <b:Author>
        <b:NameList>
          <b:Person>
            <b:Last>Hart</b:Last>
            <b:First>R.A.</b:First>
          </b:Person>
          <b:Person>
            <b:Last>Roberts</b:Last>
            <b:First>E.,</b:First>
          </b:Person>
        </b:NameList>
      </b:Author>
    </b:Author>
    <b:Title>Job re-grading, real wages, and the cycle.</b:Title>
    <b:Year>2011</b:Year>
    <b:RefOrder>42</b:RefOrder>
  </b:Source>
  <b:Source>
    <b:Tag>Soe17</b:Tag>
    <b:SourceType>JournalArticle</b:SourceType>
    <b:Guid>{23B2D766-D505-472B-B382-F316D9D0296E}</b:Guid>
    <b:Author>
      <b:Author>
        <b:NameList>
          <b:Person>
            <b:Last>Soeteman</b:Last>
            <b:First>L.</b:First>
          </b:Person>
          <b:Person>
            <b:Last>van Exel</b:Last>
            <b:First>J.</b:First>
          </b:Person>
          <b:Person>
            <b:Last>Bobinac</b:Last>
            <b:First>A.,</b:First>
          </b:Person>
        </b:NameList>
      </b:Author>
    </b:Author>
    <b:Title>The impact of the design of payment scales on the willingness to pay for health gains. </b:Title>
    <b:JournalName>The European Journal of Health Economics,</b:JournalName>
    <b:Year>2017</b:Year>
    <b:Pages>743-760</b:Pages>
    <b:Volume>18</b:Volume>
    <b:Issue>6</b:Issue>
    <b:RefOrder>43</b:RefOrder>
  </b:Source>
  <b:Source>
    <b:Tag>Kri12</b:Tag>
    <b:SourceType>JournalArticle</b:SourceType>
    <b:Guid>{5FBA7482-6923-4CF8-A9AB-570CD030FD1A}</b:Guid>
    <b:Author>
      <b:Author>
        <b:NameList>
          <b:Person>
            <b:Last>Kricheli‐Katz</b:Last>
            <b:First>T.,</b:First>
          </b:Person>
        </b:NameList>
      </b:Author>
    </b:Author>
    <b:Title>Choice, discrimination, and the motherhood penalty. </b:Title>
    <b:JournalName>Law &amp; Society Review,</b:JournalName>
    <b:Year>2012</b:Year>
    <b:Pages>557-587</b:Pages>
    <b:Volume>46</b:Volume>
    <b:Issue>3</b:Issue>
    <b:RefOrder>44</b:RefOrder>
  </b:Source>
  <b:Source>
    <b:Tag>Joh16</b:Tag>
    <b:SourceType>JournalArticle</b:SourceType>
    <b:Guid>{3DC58C73-267C-42C8-A495-8B013DD2BD84}</b:Guid>
    <b:Author>
      <b:Author>
        <b:NameList>
          <b:Person>
            <b:Last>Johnson</b:Last>
            <b:First>J.S.</b:First>
          </b:Person>
          <b:Person>
            <b:Last>Friend</b:Last>
            <b:First>S.B.</b:First>
          </b:Person>
          <b:Person>
            <b:Last>Agrawal</b:Last>
            <b:First>A.,</b:First>
          </b:Person>
        </b:NameList>
      </b:Author>
    </b:Author>
    <b:Title>Dimensions and contingent effects of variable compensation system changes. </b:Title>
    <b:JournalName>Journal of Business Research,</b:JournalName>
    <b:Year>2016</b:Year>
    <b:Pages>2923-2930</b:Pages>
    <b:Volume>69</b:Volume>
    <b:Issue>8</b:Issue>
    <b:RefOrder>45</b:RefOrder>
  </b:Source>
  <b:Source>
    <b:Tag>Fan12</b:Tag>
    <b:SourceType>JournalArticle</b:SourceType>
    <b:Guid>{7D9737D9-0018-4A58-87FE-B265BC99E2F1}</b:Guid>
    <b:Author>
      <b:Author>
        <b:NameList>
          <b:Person>
            <b:Last>Fang</b:Last>
            <b:First>M</b:First>
          </b:Person>
          <b:Person>
            <b:Last>Gerhart</b:Last>
            <b:First>B</b:First>
          </b:Person>
        </b:NameList>
      </b:Author>
    </b:Author>
    <b:Title>Does pay for performance erode intrinsic interest?</b:Title>
    <b:JournalName>The International Journal of Human Resource Management,</b:JournalName>
    <b:Year>2012</b:Year>
    <b:Pages>1176-1196</b:Pages>
    <b:Volume>23</b:Volume>
    <b:Issue>6</b:Issue>
    <b:RefOrder>46</b:RefOrder>
  </b:Source>
  <b:Source>
    <b:Tag>Eis09</b:Tag>
    <b:SourceType>JournalArticle</b:SourceType>
    <b:Guid>{D105B650-C38F-4B82-8775-2793173C0488}</b:Guid>
    <b:Author>
      <b:Author>
        <b:NameList>
          <b:Person>
            <b:Last>Eisenberg</b:Last>
            <b:First>R</b:First>
          </b:Person>
          <b:Person>
            <b:Last>Aselage</b:Last>
            <b:First>J</b:First>
          </b:Person>
        </b:NameList>
      </b:Author>
    </b:Author>
    <b:Title>Incremental effects of reward on experienced performance pressure: positive outcomes for intrinsic interest and creativity,</b:Title>
    <b:JournalName>Organizational Behaviour,</b:JournalName>
    <b:Year>2009</b:Year>
    <b:Pages>95-117</b:Pages>
    <b:Volume>30</b:Volume>
    <b:RefOrder>47</b:RefOrder>
  </b:Source>
  <b:Source>
    <b:Tag>Bry131</b:Tag>
    <b:SourceType>JournalArticle</b:SourceType>
    <b:Guid>{4A550D00-B661-4ACA-A9B0-5A0A6DF43970}</b:Guid>
    <b:Author>
      <b:Author>
        <b:NameList>
          <b:Person>
            <b:Last>Bryson</b:Last>
            <b:First>D.</b:First>
          </b:Person>
          <b:Person>
            <b:Last>Atwal</b:Last>
            <b:First>G.</b:First>
          </b:Person>
          <b:Person>
            <b:Last>Hultén</b:Last>
            <b:First>P.,</b:First>
          </b:Person>
        </b:NameList>
      </b:Author>
    </b:Author>
    <b:Title>Towards the conceptualisation of the antecedents of extreme negative affect towards luxury brands. </b:Title>
    <b:JournalName>Qualitative Market Research: An International Journal,</b:JournalName>
    <b:Year>2013</b:Year>
    <b:Pages>393-405</b:Pages>
    <b:Volume>16</b:Volume>
    <b:Issue>4</b:Issue>
    <b:RefOrder>48</b:RefOrder>
  </b:Source>
  <b:Source>
    <b:Tag>Dic89</b:Tag>
    <b:SourceType>JournalArticle</b:SourceType>
    <b:Guid>{73566BBC-9C4A-4514-A1E2-8A92C7650C60}</b:Guid>
    <b:Author>
      <b:Author>
        <b:NameList>
          <b:Person>
            <b:Last>Dickinson</b:Last>
            <b:First>A</b:First>
            <b:Middle>M</b:Middle>
          </b:Person>
          <b:Person>
            <b:Last>Taylor</b:Last>
            <b:First>L</b:First>
            <b:Middle>A</b:Middle>
          </b:Person>
        </b:NameList>
      </b:Author>
    </b:Author>
    <b:Title>The detrimental effects of extrinsic reinforcement on ‘intrinsic motivation’, </b:Title>
    <b:JournalName>The Behavior Analyst</b:JournalName>
    <b:Year>1989</b:Year>
    <b:Pages>1-15</b:Pages>
    <b:Volume>12</b:Volume>
    <b:RefOrder>49</b:RefOrder>
  </b:Source>
  <b:Source>
    <b:Tag>Maw98</b:Tag>
    <b:SourceType>JournalArticle</b:SourceType>
    <b:Guid>{004D37F7-88A4-4937-A1E2-A92DA5928A89}</b:Guid>
    <b:Author>
      <b:Author>
        <b:NameList>
          <b:Person>
            <b:Last>Mawhinney</b:Last>
            <b:First>T</b:First>
            <b:Middle>C</b:Middle>
          </b:Person>
          <b:Person>
            <b:Last>Dickinson</b:Last>
            <b:First>A</b:First>
            <b:Middle>M</b:Middle>
          </b:Person>
          <b:Person>
            <b:Last>Taylor</b:Last>
            <b:First>L</b:First>
            <b:Middle>A</b:Middle>
          </b:Person>
        </b:NameList>
      </b:Author>
    </b:Author>
    <b:Title>The use of concurrent schedules to evaluate the effects of extrinsic rewards on ‘intrinsic motivation’,</b:Title>
    <b:JournalName>Journal of Organizational Behavior Management,</b:JournalName>
    <b:Year>1898</b:Year>
    <b:Pages>109-129</b:Pages>
    <b:Volume>10</b:Volume>
    <b:RefOrder>50</b:RefOrder>
  </b:Source>
  <b:Source>
    <b:Tag>Gas17</b:Tag>
    <b:SourceType>JournalArticle</b:SourceType>
    <b:Guid>{F72C3F3C-2989-4E3F-BDD4-5F763B6D8114}</b:Guid>
    <b:Title>Burberry: A Marketing Success Story.</b:Title>
    <b:Year>2017</b:Year>
    <b:Author>
      <b:Author>
        <b:NameList>
          <b:Person>
            <b:Last>Gasparini</b:Last>
            <b:First>R.,</b:First>
          </b:Person>
        </b:NameList>
      </b:Author>
    </b:Author>
    <b:RefOrder>51</b:RefOrder>
  </b:Source>
  <b:Source>
    <b:Tag>McC171</b:Tag>
    <b:SourceType>JournalArticle</b:SourceType>
    <b:Guid>{6E0EDDB0-1792-4517-B714-1955AC5284F4}</b:Guid>
    <b:Author>
      <b:Author>
        <b:NameList>
          <b:Person>
            <b:Last>McCracken</b:Last>
            <b:First>M.</b:First>
          </b:Person>
          <b:Person>
            <b:First>McIvor,</b:First>
            <b:Middle>R.,</b:Middle>
          </b:Person>
          <b:Person>
            <b:Last>Treacy</b:Last>
            <b:First>R.</b:First>
          </b:Person>
          <b:Person>
            <b:Last>Wall</b:Last>
            <b:First>T.,</b:First>
          </b:Person>
        </b:NameList>
      </b:Author>
    </b:Author>
    <b:Title>Human capital theory: assessing the evidence for the value and importance of people to organisational success.</b:Title>
    <b:Year>2017</b:Year>
    <b:RefOrder>52</b:RefOrder>
  </b:Source>
  <b:Source>
    <b:Tag>Arm10</b:Tag>
    <b:SourceType>Book</b:SourceType>
    <b:Guid>{EDD09859-1F54-4904-A7B4-1628DACCFF40}</b:Guid>
    <b:Title>Armstrong's handbook of reward management practice: Improving performance through reward.</b:Title>
    <b:Year>2010</b:Year>
    <b:Author>
      <b:Author>
        <b:NameList>
          <b:Person>
            <b:Last>Armstrong</b:Last>
            <b:First>M.,</b:First>
          </b:Person>
        </b:NameList>
      </b:Author>
    </b:Author>
    <b:Publisher>Kogan Page Publishers.</b:Publisher>
    <b:RefOrder>53</b:RefOrder>
  </b:Source>
  <b:Source>
    <b:Tag>Tay181</b:Tag>
    <b:SourceType>Book</b:SourceType>
    <b:Guid>{00B364AB-E528-4741-9681-0C8CAC33420F}</b:Guid>
    <b:Author>
      <b:Author>
        <b:NameList>
          <b:Person>
            <b:Last>Taylor</b:Last>
            <b:First>S</b:First>
          </b:Person>
        </b:NameList>
      </b:Author>
    </b:Author>
    <b:Title>Resourcing and talent management</b:Title>
    <b:Year>2018</b:Year>
    <b:Publisher>ogan Page Publishers.</b:Publisher>
    <b:RefOrder>54</b:RefOrder>
  </b:Source>
  <b:Source>
    <b:Tag>Tay161</b:Tag>
    <b:SourceType>Book</b:SourceType>
    <b:Guid>{9DC71092-3D91-4D15-A511-57D00158C312}</b:Guid>
    <b:Author>
      <b:Author>
        <b:NameList>
          <b:Person>
            <b:Last>Taylor</b:Last>
            <b:First>S.</b:First>
          </b:Person>
          <b:Person>
            <b:Last>Woodhams</b:Last>
            <b:First>C.</b:First>
            <b:Middle>eds.</b:Middle>
          </b:Person>
        </b:NameList>
      </b:Author>
    </b:Author>
    <b:Title>Studying Human Resource Management.</b:Title>
    <b:Year>2016</b:Year>
    <b:Publisher>Kogan Page Publishers.</b:Publisher>
    <b:RefOrder>55</b:RefOrder>
  </b:Source>
  <b:Source>
    <b:Tag>Hew12</b:Tag>
    <b:SourceType>JournalArticle</b:SourceType>
    <b:Guid>{2E171C59-76CB-488D-884F-36D6B73035DE}</b:Guid>
    <b:Author>
      <b:Author>
        <b:NameList>
          <b:Person>
            <b:Last>Hewitt</b:Last>
            <b:First>A.,</b:First>
          </b:Person>
        </b:NameList>
      </b:Author>
    </b:Author>
    <b:Title>Total rewards survey: Transforming potential into value.</b:Title>
    <b:Year>2012</b:Year>
    <b:RefOrder>56</b:RefOrder>
  </b:Source>
  <b:Source>
    <b:Tag>Arm11</b:Tag>
    <b:SourceType>Book</b:SourceType>
    <b:Guid>{2A318980-288B-49FF-9C30-4ED8A3688277}</b:Guid>
    <b:Author>
      <b:Author>
        <b:NameList>
          <b:Person>
            <b:Last>Armstrong</b:Last>
            <b:First>M.</b:First>
          </b:Person>
          <b:Person>
            <b:Last>Chapman</b:Last>
            <b:First>A.,</b:First>
          </b:Person>
        </b:NameList>
      </b:Author>
    </b:Author>
    <b:Title>he reward management toolkit: A step-by-step guide to designing and delivering pay and benefits.</b:Title>
    <b:Year>2011</b:Year>
    <b:Publisher>Kogan Page Publishers.</b:Publisher>
    <b:RefOrder>57</b:RefOrder>
  </b:Source>
  <b:Source>
    <b:Tag>Ros181</b:Tag>
    <b:SourceType>Book</b:SourceType>
    <b:Guid>{CBBEED3D-43E0-4221-917A-49526FFAB085}</b:Guid>
    <b:Author>
      <b:Author>
        <b:NameList>
          <b:Person>
            <b:Last>Rose</b:Last>
            <b:First>M.,</b:First>
          </b:Person>
        </b:NameList>
      </b:Author>
    </b:Author>
    <b:Title>Reward Management: A Practical Introduction. </b:Title>
    <b:Year>2018</b:Year>
    <b:Publisher>Kogan Page Publishers</b:Publisher>
    <b:RefOrder>58</b:RefOrder>
  </b:Source>
  <b:Source>
    <b:Tag>Per20</b:Tag>
    <b:SourceType>Book</b:SourceType>
    <b:Guid>{F272F0B8-7E24-444F-8E03-96785F9AB017}</b:Guid>
    <b:Author>
      <b:Author>
        <b:NameList>
          <b:Person>
            <b:Last>Perkins</b:Last>
            <b:First>S.J.</b:First>
            <b:Middle>and Jones, S</b:Middle>
          </b:Person>
        </b:NameList>
      </b:Author>
    </b:Author>
    <b:Title>Reward management: Alternatives, consequences and contexts.</b:Title>
    <b:Year>2020</b:Year>
    <b:Publisher>Kogan Page Publishers.</b:Publisher>
    <b:RefOrder>59</b:RefOrder>
  </b:Source>
  <b:Source>
    <b:Tag>Cor</b:Tag>
    <b:SourceType>Book</b:SourceType>
    <b:Guid>{DA9DE6D8-9FA6-487B-870F-94E4DDF37F3F}</b:Guid>
    <b:Author>
      <b:Author>
        <b:NameList>
          <b:Person>
            <b:Last>Corby</b:Last>
            <b:First>S.,</b:First>
          </b:Person>
          <b:Person>
            <b:Last>Palmer</b:Last>
            <b:First>S.</b:First>
          </b:Person>
          <b:Person>
            <b:Last>Lindop</b:Last>
            <b:First>E.,</b:First>
          </b:Person>
        </b:NameList>
      </b:Author>
    </b:Author>
    <b:Title>Rethinking reward. Palgrave Macmillan.</b:Title>
    <b:Year>2008</b:Year>
    <b:RefOrder>60</b:RefOrder>
  </b:Source>
  <b:Source>
    <b:Tag>Per161</b:Tag>
    <b:SourceType>Book</b:SourceType>
    <b:Guid>{73DBC1A5-78CB-48FC-977F-177C773FEED6}</b:Guid>
    <b:Author>
      <b:Author>
        <b:NameList>
          <b:Person>
            <b:Last>Perkins</b:Last>
            <b:First>S.J.</b:First>
          </b:Person>
          <b:Person>
            <b:First>White,</b:First>
            <b:Middle>G.</b:Middle>
          </b:Person>
          <b:Person>
            <b:Last>Jones</b:Last>
            <b:First>S.E.</b:First>
          </b:Person>
        </b:NameList>
      </b:Author>
    </b:Author>
    <b:Title>Reward Management: Alternatives Contexts and Consequences.</b:Title>
    <b:Year>2016</b:Year>
    <b:RefOrder>61</b:RefOrder>
  </b:Source>
  <b:Source>
    <b:Tag>Ker171</b:Tag>
    <b:SourceType>Book</b:SourceType>
    <b:Guid>{524E0F66-E28E-4EFB-92E9-F50266DD0BB3}</b:Guid>
    <b:Author>
      <b:Author>
        <b:NameList>
          <b:Person>
            <b:Last>Kerzner</b:Last>
            <b:First>H</b:First>
          </b:Person>
        </b:NameList>
      </b:Author>
    </b:Author>
    <b:Title>Project management: a systems approach to planning, scheduling, and controlling.</b:Title>
    <b:Year>2017</b:Year>
    <b:Publisher>John Wiley &amp; Sons.</b:Publisher>
    <b:RefOrder>62</b:RefOrder>
  </b:Source>
  <b:Source>
    <b:Tag>Glo15</b:Tag>
    <b:SourceType>JournalArticle</b:SourceType>
    <b:Guid>{6E31EF04-0989-4760-A874-0331C142C247}</b:Guid>
    <b:Author>
      <b:Author>
        <b:NameList>
          <b:Person>
            <b:Last>Glover</b:Last>
            <b:First>J.L.</b:First>
          </b:Person>
          <b:Person>
            <b:Last>Reay</b:Last>
            <b:First>T</b:First>
          </b:Person>
        </b:NameList>
      </b:Author>
    </b:Author>
    <b:Title> Sustaining the family business with minimal financial rewards: How do family farms continue?. </b:Title>
    <b:Year>2015</b:Year>
    <b:JournalName>Family Business Review,</b:JournalName>
    <b:Pages>163-177.</b:Pages>
    <b:Volume>28</b:Volume>
    <b:Issue>2</b:Issue>
    <b:RefOrder>63</b:RefOrder>
  </b:Source>
  <b:Source>
    <b:Tag>Whi161</b:Tag>
    <b:SourceType>Book</b:SourceType>
    <b:Guid>{2900D3D9-0190-4824-8827-85C8FCAD6FC6}</b:Guid>
    <b:Author>
      <b:Author>
        <b:NameList>
          <b:Person>
            <b:Last>White</b:Last>
            <b:First>G</b:First>
          </b:Person>
        </b:NameList>
      </b:Author>
    </b:Author>
    <b:Title>Reward management. </b:Title>
    <b:Year>2016</b:Year>
    <b:Publisher>Edward Elgar Publishing Limited.</b:Publisher>
    <b:RefOrder>64</b:RefOrder>
  </b:Source>
  <b:Source>
    <b:Tag>Tom14</b:Tag>
    <b:SourceType>JournalArticle</b:SourceType>
    <b:Guid>{D5288C27-2996-47E2-AEE4-A7B624BA6E1F}</b:Guid>
    <b:Title>Activating the Line: How Management Tools Can Make Reward Programs Really Work</b:Title>
    <b:Year>2014</b:Year>
    <b:Author>
      <b:Author>
        <b:NameList>
          <b:Person>
            <b:Last>McMullen</b:Last>
            <b:First>Tom</b:First>
          </b:Person>
          <b:Person>
            <b:Last>Fitzpatrick</b:Last>
            <b:First>Iain</b:First>
          </b:Person>
          <b:Person>
            <b:Last>Group*</b:Last>
            <b:First>Hay</b:First>
          </b:Person>
        </b:NameList>
      </b:Author>
    </b:Author>
    <b:JournalName>Journal of Compensation and Benets</b:JournalName>
    <b:Pages>34-42</b:Pages>
    <b:RefOrder>65</b:RefOrder>
  </b:Source>
</b:Sources>
</file>

<file path=customXml/itemProps1.xml><?xml version="1.0" encoding="utf-8"?>
<ds:datastoreItem xmlns:ds="http://schemas.openxmlformats.org/officeDocument/2006/customXml" ds:itemID="{7FF73891-13B3-498A-BBC2-498E2AD3D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5341</Words>
  <Characters>30450</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Reward Management</vt:lpstr>
    </vt:vector>
  </TitlesOfParts>
  <Company/>
  <LinksUpToDate>false</LinksUpToDate>
  <CharactersWithSpaces>35720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Reward Management</dc:title>
  <dc:subject/>
  <dc:creator>jet stream</dc:creator>
  <cp:keywords/>
  <dc:description/>
  <cp:lastModifiedBy>Faraj AL-ANSARI</cp:lastModifiedBy>
  <cp:revision>2</cp:revision>
  <dcterms:created xsi:type="dcterms:W3CDTF">2020-06-23T05:59:00Z</dcterms:created>
  <dcterms:modified xsi:type="dcterms:W3CDTF">2020-06-23T05:59:00Z</dcterms:modified>
</cp:coreProperties>
</file>