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6B05A8">
      <w:pPr>
        <w:rPr>
          <w:rFonts w:ascii="Times New Roman" w:hAnsi="Times New Roman"/>
          <w:sz w:val="24"/>
        </w:rPr>
      </w:pPr>
    </w:p>
    <w:p w:rsidR="00F774C3">
      <w:pPr>
        <w:rPr>
          <w:rFonts w:ascii="Times New Roman" w:hAnsi="Times New Roman"/>
          <w:sz w:val="24"/>
        </w:rPr>
      </w:pPr>
    </w:p>
    <w:p w:rsidR="00F774C3">
      <w:pPr>
        <w:rPr>
          <w:rFonts w:ascii="Times New Roman" w:hAnsi="Times New Roman"/>
          <w:sz w:val="24"/>
        </w:rPr>
      </w:pPr>
    </w:p>
    <w:p w:rsidR="00F774C3">
      <w:pPr>
        <w:rPr>
          <w:rFonts w:ascii="Times New Roman" w:hAnsi="Times New Roman"/>
          <w:sz w:val="24"/>
        </w:rPr>
      </w:pPr>
    </w:p>
    <w:p w:rsidR="00F774C3" w:rsidP="00F774C3">
      <w:pPr>
        <w:spacing w:line="480" w:lineRule="auto"/>
        <w:jc w:val="center"/>
        <w:rPr>
          <w:rFonts w:ascii="Times New Roman" w:hAnsi="Times New Roman"/>
          <w:sz w:val="24"/>
        </w:rPr>
      </w:pPr>
      <w:r>
        <w:rPr>
          <w:rFonts w:ascii="Times New Roman" w:hAnsi="Times New Roman"/>
          <w:sz w:val="24"/>
        </w:rPr>
        <w:t xml:space="preserve">Paris is Burning </w:t>
      </w:r>
    </w:p>
    <w:p w:rsidR="00F774C3" w:rsidP="00F774C3">
      <w:pPr>
        <w:spacing w:line="480" w:lineRule="auto"/>
        <w:jc w:val="center"/>
        <w:rPr>
          <w:rFonts w:ascii="Times New Roman" w:hAnsi="Times New Roman"/>
          <w:sz w:val="24"/>
        </w:rPr>
      </w:pPr>
      <w:r>
        <w:rPr>
          <w:rFonts w:ascii="Times New Roman" w:hAnsi="Times New Roman"/>
          <w:sz w:val="24"/>
        </w:rPr>
        <w:t xml:space="preserve">Name </w:t>
      </w:r>
    </w:p>
    <w:p w:rsidR="00F774C3" w:rsidP="00F774C3">
      <w:pPr>
        <w:spacing w:line="480" w:lineRule="auto"/>
        <w:jc w:val="center"/>
        <w:rPr>
          <w:rFonts w:ascii="Times New Roman" w:hAnsi="Times New Roman"/>
          <w:sz w:val="24"/>
        </w:rPr>
      </w:pPr>
      <w:r>
        <w:rPr>
          <w:rFonts w:ascii="Times New Roman" w:hAnsi="Times New Roman"/>
          <w:sz w:val="24"/>
        </w:rPr>
        <w:t>Institutional Affiliation</w:t>
      </w:r>
    </w:p>
    <w:p w:rsidR="00F774C3" w:rsidP="00F774C3">
      <w:pPr>
        <w:spacing w:line="480" w:lineRule="auto"/>
        <w:jc w:val="center"/>
        <w:rPr>
          <w:rFonts w:ascii="Times New Roman" w:hAnsi="Times New Roman"/>
          <w:sz w:val="24"/>
        </w:rPr>
      </w:pPr>
      <w:r>
        <w:rPr>
          <w:rFonts w:ascii="Times New Roman" w:hAnsi="Times New Roman"/>
          <w:sz w:val="24"/>
        </w:rPr>
        <w:t>Date</w:t>
      </w:r>
    </w:p>
    <w:p w:rsidR="00F774C3">
      <w:pPr>
        <w:rPr>
          <w:rFonts w:ascii="Times New Roman" w:hAnsi="Times New Roman"/>
          <w:sz w:val="24"/>
        </w:rPr>
      </w:pPr>
      <w:r>
        <w:rPr>
          <w:rFonts w:ascii="Times New Roman" w:hAnsi="Times New Roman"/>
          <w:sz w:val="24"/>
        </w:rPr>
        <w:br w:type="page"/>
      </w:r>
    </w:p>
    <w:p w:rsidR="00F774C3" w:rsidP="00F774C3">
      <w:pPr>
        <w:spacing w:line="480" w:lineRule="auto"/>
        <w:jc w:val="center"/>
        <w:rPr>
          <w:rFonts w:ascii="Times New Roman" w:hAnsi="Times New Roman"/>
          <w:sz w:val="24"/>
        </w:rPr>
      </w:pPr>
      <w:r>
        <w:rPr>
          <w:rFonts w:ascii="Times New Roman" w:hAnsi="Times New Roman"/>
          <w:sz w:val="24"/>
        </w:rPr>
        <w:t xml:space="preserve">Paris is Burning </w:t>
      </w:r>
    </w:p>
    <w:p w:rsidR="00F774C3" w:rsidP="00F774C3">
      <w:pPr>
        <w:spacing w:line="480" w:lineRule="auto"/>
        <w:ind w:firstLine="720"/>
        <w:rPr>
          <w:rFonts w:ascii="Times New Roman" w:hAnsi="Times New Roman"/>
          <w:sz w:val="24"/>
        </w:rPr>
      </w:pPr>
      <w:r>
        <w:rPr>
          <w:rFonts w:ascii="Times New Roman" w:hAnsi="Times New Roman"/>
          <w:sz w:val="24"/>
        </w:rPr>
        <w:t>“Paris is Burning” is a documentary Jenn</w:t>
      </w:r>
      <w:r w:rsidR="00C717E4">
        <w:rPr>
          <w:rFonts w:ascii="Times New Roman" w:hAnsi="Times New Roman"/>
          <w:sz w:val="24"/>
        </w:rPr>
        <w:t xml:space="preserve">ie Livingston produced in 1990 focusing on the New York City’s ball culture. The documentary was shot in the mid-to-late eighties and particularly focused on the special groups like the Latinos, African Americans, transgender, and gay communities. Jennie Livingston </w:t>
      </w:r>
      <w:r w:rsidR="00FB08D6">
        <w:rPr>
          <w:rFonts w:ascii="Times New Roman" w:hAnsi="Times New Roman"/>
          <w:sz w:val="24"/>
        </w:rPr>
        <w:t xml:space="preserve">explores the question of culture, race, </w:t>
      </w:r>
      <w:r w:rsidR="00990688">
        <w:rPr>
          <w:rFonts w:ascii="Times New Roman" w:hAnsi="Times New Roman"/>
          <w:sz w:val="24"/>
        </w:rPr>
        <w:t>class, sexuality, and gender in America. Also, she uses the documentary to bring to light some of the underlying issues that did not get limelight on the drag ball.</w:t>
      </w:r>
      <w:r w:rsidR="009A2874">
        <w:rPr>
          <w:rFonts w:ascii="Times New Roman" w:hAnsi="Times New Roman"/>
          <w:sz w:val="24"/>
        </w:rPr>
        <w:t xml:space="preserve"> Jennie made the documentary by compiling the clips from her interviews with drag ball members and footages from the event. “Paris is Burning” </w:t>
      </w:r>
      <w:r w:rsidR="00F2297F">
        <w:rPr>
          <w:rFonts w:ascii="Times New Roman" w:hAnsi="Times New Roman"/>
          <w:sz w:val="24"/>
        </w:rPr>
        <w:t xml:space="preserve">effectively articulates the issues of racism, homophobia, and sexual identity. </w:t>
      </w:r>
    </w:p>
    <w:p w:rsidR="00F2297F" w:rsidP="00F774C3">
      <w:pPr>
        <w:spacing w:line="480" w:lineRule="auto"/>
        <w:ind w:firstLine="720"/>
        <w:rPr>
          <w:rFonts w:ascii="Times New Roman" w:hAnsi="Times New Roman"/>
          <w:sz w:val="24"/>
        </w:rPr>
      </w:pPr>
      <w:r>
        <w:rPr>
          <w:rFonts w:ascii="Times New Roman" w:hAnsi="Times New Roman"/>
          <w:sz w:val="24"/>
        </w:rPr>
        <w:t xml:space="preserve">Drag ball was an underground competition that involved the </w:t>
      </w:r>
      <w:r w:rsidR="00307742">
        <w:rPr>
          <w:rFonts w:ascii="Times New Roman" w:hAnsi="Times New Roman"/>
          <w:sz w:val="24"/>
        </w:rPr>
        <w:t>LGBT</w:t>
      </w:r>
      <w:r>
        <w:rPr>
          <w:rFonts w:ascii="Times New Roman" w:hAnsi="Times New Roman"/>
          <w:sz w:val="24"/>
        </w:rPr>
        <w:t xml:space="preserve"> community where participants </w:t>
      </w:r>
      <w:r w:rsidR="00FA2211">
        <w:rPr>
          <w:rFonts w:ascii="Times New Roman" w:hAnsi="Times New Roman"/>
          <w:sz w:val="24"/>
        </w:rPr>
        <w:t>“</w:t>
      </w:r>
      <w:r>
        <w:rPr>
          <w:rFonts w:ascii="Times New Roman" w:hAnsi="Times New Roman"/>
          <w:sz w:val="24"/>
        </w:rPr>
        <w:t>walked</w:t>
      </w:r>
      <w:r w:rsidR="00FA2211">
        <w:rPr>
          <w:rFonts w:ascii="Times New Roman" w:hAnsi="Times New Roman"/>
          <w:sz w:val="24"/>
        </w:rPr>
        <w:t>”</w:t>
      </w:r>
      <w:r>
        <w:rPr>
          <w:rFonts w:ascii="Times New Roman" w:hAnsi="Times New Roman"/>
          <w:sz w:val="24"/>
        </w:rPr>
        <w:t xml:space="preserve"> for prizes or trophies during events (balls). The participants </w:t>
      </w:r>
      <w:r w:rsidR="00FA2211">
        <w:rPr>
          <w:rFonts w:ascii="Times New Roman" w:hAnsi="Times New Roman"/>
          <w:sz w:val="24"/>
        </w:rPr>
        <w:t>emulated the styles from people of other genders and social classes. They were to walk as similar as possible to the selected char</w:t>
      </w:r>
      <w:r w:rsidR="009C07FC">
        <w:rPr>
          <w:rFonts w:ascii="Times New Roman" w:hAnsi="Times New Roman"/>
          <w:sz w:val="24"/>
        </w:rPr>
        <w:t xml:space="preserve">acter. The participants competed in houses- groups consisting of Latinos and blacks with family structure. They acted as safe havens for the participants and had both “father” and “mother” to offer guidance to the </w:t>
      </w:r>
      <w:r w:rsidR="00485876">
        <w:rPr>
          <w:rFonts w:ascii="Times New Roman" w:hAnsi="Times New Roman"/>
          <w:sz w:val="24"/>
        </w:rPr>
        <w:t xml:space="preserve">house members. Jennie Livingston was among the first people to bring the competition to the mainstream media through her documentary. </w:t>
      </w:r>
    </w:p>
    <w:p w:rsidR="00485876" w:rsidP="00F774C3">
      <w:pPr>
        <w:spacing w:line="480" w:lineRule="auto"/>
        <w:ind w:firstLine="720"/>
        <w:rPr>
          <w:rFonts w:ascii="Times New Roman" w:hAnsi="Times New Roman"/>
          <w:sz w:val="24"/>
        </w:rPr>
      </w:pPr>
      <w:r>
        <w:rPr>
          <w:rFonts w:ascii="Times New Roman" w:hAnsi="Times New Roman"/>
          <w:sz w:val="24"/>
        </w:rPr>
        <w:t xml:space="preserve">According to the documentary, it is evident that the community gave an opportunity for the LGTB’s an opportunity to live their lives. In </w:t>
      </w:r>
      <w:r w:rsidR="00F65D45">
        <w:rPr>
          <w:rFonts w:ascii="Times New Roman" w:hAnsi="Times New Roman"/>
          <w:sz w:val="24"/>
        </w:rPr>
        <w:t>the 1980s the LGBT</w:t>
      </w:r>
      <w:r>
        <w:rPr>
          <w:rFonts w:ascii="Times New Roman" w:hAnsi="Times New Roman"/>
          <w:sz w:val="24"/>
        </w:rPr>
        <w:t>’s faced lot of discrimination from the community who viewed them as immoral. The community failed to acknowledge and accept their sexual orientation thus viewing them as outcasts. They did not have rights to express their sexual orientation or any other thing the community viewed “immoral.” The house and drag thus created an opportunity for them to live their lives and express themselves sexually without any hindrance</w:t>
      </w:r>
      <w:sdt>
        <w:sdtPr>
          <w:rPr>
            <w:rFonts w:ascii="Times New Roman" w:hAnsi="Times New Roman"/>
            <w:sz w:val="24"/>
          </w:rPr>
          <w:id w:val="-1800835841"/>
          <w:citation/>
        </w:sdtPr>
        <w:sdtContent>
          <w:r w:rsidR="00283B29">
            <w:rPr>
              <w:rFonts w:ascii="Times New Roman" w:hAnsi="Times New Roman"/>
              <w:sz w:val="24"/>
            </w:rPr>
            <w:fldChar w:fldCharType="begin"/>
          </w:r>
          <w:r w:rsidR="00283B29">
            <w:rPr>
              <w:rFonts w:ascii="Times New Roman" w:hAnsi="Times New Roman"/>
              <w:sz w:val="24"/>
            </w:rPr>
            <w:instrText xml:space="preserve"> CITATION Lev13 \l 1033 </w:instrText>
          </w:r>
          <w:r w:rsidR="00283B29">
            <w:rPr>
              <w:rFonts w:ascii="Times New Roman" w:hAnsi="Times New Roman"/>
              <w:sz w:val="24"/>
            </w:rPr>
            <w:fldChar w:fldCharType="separate"/>
          </w:r>
          <w:r w:rsidR="00283B29">
            <w:rPr>
              <w:rFonts w:ascii="Times New Roman" w:hAnsi="Times New Roman"/>
              <w:noProof/>
              <w:sz w:val="24"/>
            </w:rPr>
            <w:t xml:space="preserve"> </w:t>
          </w:r>
          <w:r w:rsidRPr="00283B29" w:rsidR="00283B29">
            <w:rPr>
              <w:rFonts w:ascii="Times New Roman" w:hAnsi="Times New Roman"/>
              <w:noProof/>
              <w:sz w:val="24"/>
            </w:rPr>
            <w:t>(Lauren &amp; Livingston, 2013)</w:t>
          </w:r>
          <w:r w:rsidR="00283B29">
            <w:rPr>
              <w:rFonts w:ascii="Times New Roman" w:hAnsi="Times New Roman"/>
              <w:sz w:val="24"/>
            </w:rPr>
            <w:fldChar w:fldCharType="end"/>
          </w:r>
        </w:sdtContent>
      </w:sdt>
      <w:r>
        <w:rPr>
          <w:rFonts w:ascii="Times New Roman" w:hAnsi="Times New Roman"/>
          <w:sz w:val="24"/>
        </w:rPr>
        <w:t xml:space="preserve">. </w:t>
      </w:r>
      <w:r w:rsidR="009B0038">
        <w:rPr>
          <w:rFonts w:ascii="Times New Roman" w:hAnsi="Times New Roman"/>
          <w:sz w:val="24"/>
        </w:rPr>
        <w:t xml:space="preserve">In essence, the </w:t>
      </w:r>
      <w:r w:rsidR="009B0038">
        <w:rPr>
          <w:rFonts w:ascii="Times New Roman" w:hAnsi="Times New Roman"/>
          <w:sz w:val="24"/>
        </w:rPr>
        <w:t>structure of the houses was designed to create an alternat</w:t>
      </w:r>
      <w:r w:rsidR="00F65D45">
        <w:rPr>
          <w:rFonts w:ascii="Times New Roman" w:hAnsi="Times New Roman"/>
          <w:sz w:val="24"/>
        </w:rPr>
        <w:t>ive home and family for the LGBT</w:t>
      </w:r>
      <w:r w:rsidR="009B0038">
        <w:rPr>
          <w:rFonts w:ascii="Times New Roman" w:hAnsi="Times New Roman"/>
          <w:sz w:val="24"/>
        </w:rPr>
        <w:t xml:space="preserve">. They had a "father" and "mother" who had a primary responsibility of guiding the "children." </w:t>
      </w:r>
      <w:r w:rsidR="00584891">
        <w:rPr>
          <w:rFonts w:ascii="Times New Roman" w:hAnsi="Times New Roman"/>
          <w:sz w:val="24"/>
        </w:rPr>
        <w:t xml:space="preserve"> The alternative</w:t>
      </w:r>
      <w:r w:rsidR="00283B29">
        <w:rPr>
          <w:rFonts w:ascii="Times New Roman" w:hAnsi="Times New Roman"/>
          <w:sz w:val="24"/>
        </w:rPr>
        <w:t xml:space="preserve"> home created an environment of</w:t>
      </w:r>
      <w:r w:rsidR="00584891">
        <w:rPr>
          <w:rFonts w:ascii="Times New Roman" w:hAnsi="Times New Roman"/>
          <w:sz w:val="24"/>
        </w:rPr>
        <w:t xml:space="preserve"> acceptance among them. </w:t>
      </w:r>
    </w:p>
    <w:p w:rsidR="00584891" w:rsidP="00F774C3">
      <w:pPr>
        <w:spacing w:line="480" w:lineRule="auto"/>
        <w:ind w:firstLine="720"/>
        <w:rPr>
          <w:rFonts w:ascii="Times New Roman" w:hAnsi="Times New Roman"/>
          <w:sz w:val="24"/>
        </w:rPr>
      </w:pPr>
      <w:r>
        <w:rPr>
          <w:rFonts w:ascii="Times New Roman" w:hAnsi="Times New Roman"/>
          <w:sz w:val="24"/>
        </w:rPr>
        <w:t>Besides the acceptance, the drag created an opportunity for the LG</w:t>
      </w:r>
      <w:r w:rsidR="00F65D45">
        <w:rPr>
          <w:rFonts w:ascii="Times New Roman" w:hAnsi="Times New Roman"/>
          <w:sz w:val="24"/>
        </w:rPr>
        <w:t>BT</w:t>
      </w:r>
      <w:r>
        <w:rPr>
          <w:rFonts w:ascii="Times New Roman" w:hAnsi="Times New Roman"/>
          <w:sz w:val="24"/>
        </w:rPr>
        <w:t>’s to live their “dream life.” They emulated a lifestyle of a particular individual and acted as him or her. Ideally, the ball created an opportunity for them to express their sexuality by allowing them to imitate the walking and dancing styles of their favorite person</w:t>
      </w:r>
      <w:sdt>
        <w:sdtPr>
          <w:rPr>
            <w:rFonts w:ascii="Times New Roman" w:hAnsi="Times New Roman"/>
            <w:sz w:val="24"/>
          </w:rPr>
          <w:id w:val="845666697"/>
          <w:citation/>
        </w:sdtPr>
        <w:sdtContent>
          <w:r w:rsidR="00283B29">
            <w:rPr>
              <w:rFonts w:ascii="Times New Roman" w:hAnsi="Times New Roman"/>
              <w:sz w:val="24"/>
            </w:rPr>
            <w:fldChar w:fldCharType="begin"/>
          </w:r>
          <w:r w:rsidR="00283B29">
            <w:rPr>
              <w:rFonts w:ascii="Times New Roman" w:hAnsi="Times New Roman"/>
              <w:sz w:val="24"/>
            </w:rPr>
            <w:instrText xml:space="preserve"> CITATION Gol \l 1033 </w:instrText>
          </w:r>
          <w:r w:rsidR="00283B29">
            <w:rPr>
              <w:rFonts w:ascii="Times New Roman" w:hAnsi="Times New Roman"/>
              <w:sz w:val="24"/>
            </w:rPr>
            <w:fldChar w:fldCharType="separate"/>
          </w:r>
          <w:r w:rsidR="00283B29">
            <w:rPr>
              <w:rFonts w:ascii="Times New Roman" w:hAnsi="Times New Roman"/>
              <w:noProof/>
              <w:sz w:val="24"/>
            </w:rPr>
            <w:t xml:space="preserve"> </w:t>
          </w:r>
          <w:r w:rsidRPr="00283B29" w:rsidR="00283B29">
            <w:rPr>
              <w:rFonts w:ascii="Times New Roman" w:hAnsi="Times New Roman"/>
              <w:noProof/>
              <w:sz w:val="24"/>
            </w:rPr>
            <w:t>(Zachary)</w:t>
          </w:r>
          <w:r w:rsidR="00283B29">
            <w:rPr>
              <w:rFonts w:ascii="Times New Roman" w:hAnsi="Times New Roman"/>
              <w:sz w:val="24"/>
            </w:rPr>
            <w:fldChar w:fldCharType="end"/>
          </w:r>
        </w:sdtContent>
      </w:sdt>
      <w:r>
        <w:rPr>
          <w:rFonts w:ascii="Times New Roman" w:hAnsi="Times New Roman"/>
          <w:sz w:val="24"/>
        </w:rPr>
        <w:t xml:space="preserve">. In most cases, the person was from “opposite” sex </w:t>
      </w:r>
      <w:r w:rsidR="00B12562">
        <w:rPr>
          <w:rFonts w:ascii="Times New Roman" w:hAnsi="Times New Roman"/>
          <w:sz w:val="24"/>
        </w:rPr>
        <w:t>thus allowing them to express themselves on what they perceived to be ideal “woman” or “man.” As noted earlier, the drag consisted of people the society was suppressing their rights to sexual expression. The house and drag thus allowed them to freely express their feeling without fear of judgment. Jennie thus exposes the homophobia that existed (and still exists) in the American society</w:t>
      </w:r>
      <w:sdt>
        <w:sdtPr>
          <w:rPr>
            <w:rFonts w:ascii="Times New Roman" w:hAnsi="Times New Roman"/>
            <w:sz w:val="24"/>
          </w:rPr>
          <w:id w:val="1653256353"/>
          <w:citation/>
        </w:sdtPr>
        <w:sdtContent>
          <w:r w:rsidR="00283B29">
            <w:rPr>
              <w:rFonts w:ascii="Times New Roman" w:hAnsi="Times New Roman"/>
              <w:sz w:val="24"/>
            </w:rPr>
            <w:fldChar w:fldCharType="begin"/>
          </w:r>
          <w:r w:rsidR="00283B29">
            <w:rPr>
              <w:rFonts w:ascii="Times New Roman" w:hAnsi="Times New Roman"/>
              <w:sz w:val="24"/>
            </w:rPr>
            <w:instrText xml:space="preserve"> CITATION Nas14 \l 1033 </w:instrText>
          </w:r>
          <w:r w:rsidR="00283B29">
            <w:rPr>
              <w:rFonts w:ascii="Times New Roman" w:hAnsi="Times New Roman"/>
              <w:sz w:val="24"/>
            </w:rPr>
            <w:fldChar w:fldCharType="separate"/>
          </w:r>
          <w:r w:rsidR="00283B29">
            <w:rPr>
              <w:rFonts w:ascii="Times New Roman" w:hAnsi="Times New Roman"/>
              <w:noProof/>
              <w:sz w:val="24"/>
            </w:rPr>
            <w:t xml:space="preserve"> </w:t>
          </w:r>
          <w:r w:rsidRPr="00283B29" w:rsidR="00283B29">
            <w:rPr>
              <w:rFonts w:ascii="Times New Roman" w:hAnsi="Times New Roman"/>
              <w:noProof/>
              <w:sz w:val="24"/>
            </w:rPr>
            <w:t>(Santiago, 2014)</w:t>
          </w:r>
          <w:r w:rsidR="00283B29">
            <w:rPr>
              <w:rFonts w:ascii="Times New Roman" w:hAnsi="Times New Roman"/>
              <w:sz w:val="24"/>
            </w:rPr>
            <w:fldChar w:fldCharType="end"/>
          </w:r>
        </w:sdtContent>
      </w:sdt>
      <w:r w:rsidR="00B12562">
        <w:rPr>
          <w:rFonts w:ascii="Times New Roman" w:hAnsi="Times New Roman"/>
          <w:sz w:val="24"/>
        </w:rPr>
        <w:t xml:space="preserve">. The phobia resulted in suppression </w:t>
      </w:r>
      <w:r w:rsidR="00F65D45">
        <w:rPr>
          <w:rFonts w:ascii="Times New Roman" w:hAnsi="Times New Roman"/>
          <w:sz w:val="24"/>
        </w:rPr>
        <w:t>of LGBT’s</w:t>
      </w:r>
      <w:r w:rsidR="00B12562">
        <w:rPr>
          <w:rFonts w:ascii="Times New Roman" w:hAnsi="Times New Roman"/>
          <w:sz w:val="24"/>
        </w:rPr>
        <w:t xml:space="preserve"> rights to expression </w:t>
      </w:r>
      <w:r w:rsidR="00F65D45">
        <w:rPr>
          <w:rFonts w:ascii="Times New Roman" w:hAnsi="Times New Roman"/>
          <w:sz w:val="24"/>
        </w:rPr>
        <w:t>thus forcing them to form an LGBT's</w:t>
      </w:r>
      <w:r w:rsidR="00E4761E">
        <w:rPr>
          <w:rFonts w:ascii="Times New Roman" w:hAnsi="Times New Roman"/>
          <w:sz w:val="24"/>
        </w:rPr>
        <w:t xml:space="preserve"> exclusive club. </w:t>
      </w:r>
    </w:p>
    <w:p w:rsidR="0030236D" w:rsidP="00F774C3">
      <w:pPr>
        <w:spacing w:line="480" w:lineRule="auto"/>
        <w:ind w:firstLine="720"/>
        <w:rPr>
          <w:rFonts w:ascii="Times New Roman" w:hAnsi="Times New Roman"/>
          <w:sz w:val="24"/>
        </w:rPr>
      </w:pPr>
      <w:r>
        <w:rPr>
          <w:rFonts w:ascii="Times New Roman" w:hAnsi="Times New Roman"/>
          <w:sz w:val="24"/>
        </w:rPr>
        <w:t xml:space="preserve">Even though the drag ball primarily focused on creating a favorable environment for the LGTB’s to express their sexuality, it was filled </w:t>
      </w:r>
      <w:r w:rsidR="00283B29">
        <w:rPr>
          <w:rFonts w:ascii="Times New Roman" w:hAnsi="Times New Roman"/>
          <w:sz w:val="24"/>
        </w:rPr>
        <w:t xml:space="preserve">with </w:t>
      </w:r>
      <w:r>
        <w:rPr>
          <w:rFonts w:ascii="Times New Roman" w:hAnsi="Times New Roman"/>
          <w:sz w:val="24"/>
        </w:rPr>
        <w:t>racism practices. The participants imitated the behaviors of a particular character chosen by the judges. In most cases, they did not have</w:t>
      </w:r>
      <w:r w:rsidR="00283B29">
        <w:rPr>
          <w:rFonts w:ascii="Times New Roman" w:hAnsi="Times New Roman"/>
          <w:sz w:val="24"/>
        </w:rPr>
        <w:t xml:space="preserve"> </w:t>
      </w:r>
      <w:r>
        <w:rPr>
          <w:rFonts w:ascii="Times New Roman" w:hAnsi="Times New Roman"/>
          <w:sz w:val="24"/>
        </w:rPr>
        <w:t>much say on the characters, instead, the selection was at the judges’ discretion. The</w:t>
      </w:r>
      <w:r w:rsidR="00121A5A">
        <w:rPr>
          <w:rFonts w:ascii="Times New Roman" w:hAnsi="Times New Roman"/>
          <w:sz w:val="24"/>
        </w:rPr>
        <w:t xml:space="preserve"> judges often chose white characters and the participants- mainly Latinos and African Americans, had to emulate them to stand a chance of winning the prices. The selection depicted an underlying racial discrimination in American society at the time</w:t>
      </w:r>
      <w:sdt>
        <w:sdtPr>
          <w:rPr>
            <w:rFonts w:ascii="Times New Roman" w:hAnsi="Times New Roman"/>
            <w:sz w:val="24"/>
          </w:rPr>
          <w:id w:val="2006554240"/>
          <w:citation/>
        </w:sdtPr>
        <w:sdtContent>
          <w:r w:rsidR="00283B29">
            <w:rPr>
              <w:rFonts w:ascii="Times New Roman" w:hAnsi="Times New Roman"/>
              <w:sz w:val="24"/>
            </w:rPr>
            <w:fldChar w:fldCharType="begin"/>
          </w:r>
          <w:r w:rsidR="00283B29">
            <w:rPr>
              <w:rFonts w:ascii="Times New Roman" w:hAnsi="Times New Roman"/>
              <w:sz w:val="24"/>
            </w:rPr>
            <w:instrText xml:space="preserve"> CITATION Lev13 \l 1033 </w:instrText>
          </w:r>
          <w:r w:rsidR="00283B29">
            <w:rPr>
              <w:rFonts w:ascii="Times New Roman" w:hAnsi="Times New Roman"/>
              <w:sz w:val="24"/>
            </w:rPr>
            <w:fldChar w:fldCharType="separate"/>
          </w:r>
          <w:r w:rsidR="00283B29">
            <w:rPr>
              <w:rFonts w:ascii="Times New Roman" w:hAnsi="Times New Roman"/>
              <w:noProof/>
              <w:sz w:val="24"/>
            </w:rPr>
            <w:t xml:space="preserve"> </w:t>
          </w:r>
          <w:r w:rsidRPr="00283B29" w:rsidR="00283B29">
            <w:rPr>
              <w:rFonts w:ascii="Times New Roman" w:hAnsi="Times New Roman"/>
              <w:noProof/>
              <w:sz w:val="24"/>
            </w:rPr>
            <w:t>(Lauren &amp; Livingston, 2013)</w:t>
          </w:r>
          <w:r w:rsidR="00283B29">
            <w:rPr>
              <w:rFonts w:ascii="Times New Roman" w:hAnsi="Times New Roman"/>
              <w:sz w:val="24"/>
            </w:rPr>
            <w:fldChar w:fldCharType="end"/>
          </w:r>
        </w:sdtContent>
      </w:sdt>
      <w:r w:rsidR="00121A5A">
        <w:rPr>
          <w:rFonts w:ascii="Times New Roman" w:hAnsi="Times New Roman"/>
          <w:sz w:val="24"/>
        </w:rPr>
        <w:t xml:space="preserve">. Essentially, the judges send a coded message to the participants and audience that whites had superior behaviors than other races. Ironically, most of the participants were either </w:t>
      </w:r>
      <w:r w:rsidR="002D7517">
        <w:rPr>
          <w:rFonts w:ascii="Times New Roman" w:hAnsi="Times New Roman"/>
          <w:sz w:val="24"/>
        </w:rPr>
        <w:t>Africa</w:t>
      </w:r>
      <w:r w:rsidR="00173695">
        <w:rPr>
          <w:rFonts w:ascii="Times New Roman" w:hAnsi="Times New Roman"/>
          <w:sz w:val="24"/>
        </w:rPr>
        <w:t xml:space="preserve"> Americans or Latinos. </w:t>
      </w:r>
    </w:p>
    <w:p w:rsidR="00173695" w:rsidP="00F774C3">
      <w:pPr>
        <w:spacing w:line="480" w:lineRule="auto"/>
        <w:ind w:firstLine="720"/>
        <w:rPr>
          <w:rFonts w:ascii="Times New Roman" w:hAnsi="Times New Roman"/>
          <w:sz w:val="24"/>
        </w:rPr>
      </w:pPr>
      <w:r>
        <w:rPr>
          <w:rFonts w:ascii="Times New Roman" w:hAnsi="Times New Roman"/>
          <w:sz w:val="24"/>
        </w:rPr>
        <w:t xml:space="preserve">The </w:t>
      </w:r>
      <w:r w:rsidR="00BC0215">
        <w:rPr>
          <w:rFonts w:ascii="Times New Roman" w:hAnsi="Times New Roman"/>
          <w:sz w:val="24"/>
        </w:rPr>
        <w:t>selection of white characters by the judges was never an accident but systematically designed to make the participants believe they are the ideal “women.” As noted earlier, winning depended on an individual’s ability to copy the style of the selected character near perfection</w:t>
      </w:r>
      <w:sdt>
        <w:sdtPr>
          <w:rPr>
            <w:rFonts w:ascii="Times New Roman" w:hAnsi="Times New Roman"/>
            <w:sz w:val="24"/>
          </w:rPr>
          <w:id w:val="-951863946"/>
          <w:citation/>
        </w:sdtPr>
        <w:sdtContent>
          <w:r w:rsidR="00283B29">
            <w:rPr>
              <w:rFonts w:ascii="Times New Roman" w:hAnsi="Times New Roman"/>
              <w:sz w:val="24"/>
            </w:rPr>
            <w:fldChar w:fldCharType="begin"/>
          </w:r>
          <w:r w:rsidR="00283B29">
            <w:rPr>
              <w:rFonts w:ascii="Times New Roman" w:hAnsi="Times New Roman"/>
              <w:sz w:val="24"/>
            </w:rPr>
            <w:instrText xml:space="preserve"> CITATION Lev13 \l 1033 </w:instrText>
          </w:r>
          <w:r w:rsidR="00283B29">
            <w:rPr>
              <w:rFonts w:ascii="Times New Roman" w:hAnsi="Times New Roman"/>
              <w:sz w:val="24"/>
            </w:rPr>
            <w:fldChar w:fldCharType="separate"/>
          </w:r>
          <w:r w:rsidR="00283B29">
            <w:rPr>
              <w:rFonts w:ascii="Times New Roman" w:hAnsi="Times New Roman"/>
              <w:noProof/>
              <w:sz w:val="24"/>
            </w:rPr>
            <w:t xml:space="preserve"> </w:t>
          </w:r>
          <w:r w:rsidRPr="00283B29" w:rsidR="00283B29">
            <w:rPr>
              <w:rFonts w:ascii="Times New Roman" w:hAnsi="Times New Roman"/>
              <w:noProof/>
              <w:sz w:val="24"/>
            </w:rPr>
            <w:t>(Lauren &amp; Livingston, 2013)</w:t>
          </w:r>
          <w:r w:rsidR="00283B29">
            <w:rPr>
              <w:rFonts w:ascii="Times New Roman" w:hAnsi="Times New Roman"/>
              <w:sz w:val="24"/>
            </w:rPr>
            <w:fldChar w:fldCharType="end"/>
          </w:r>
        </w:sdtContent>
      </w:sdt>
      <w:r w:rsidR="00BC0215">
        <w:rPr>
          <w:rFonts w:ascii="Times New Roman" w:hAnsi="Times New Roman"/>
          <w:sz w:val="24"/>
        </w:rPr>
        <w:t>. In other words, they had to practice everything on the styles and behavior of the selected character. The selection thus meant that only white women had acceptable behaviors worth emulating in the society.</w:t>
      </w:r>
      <w:r w:rsidR="00E27138">
        <w:rPr>
          <w:rFonts w:ascii="Times New Roman" w:hAnsi="Times New Roman"/>
          <w:sz w:val="24"/>
        </w:rPr>
        <w:t xml:space="preserve"> It is ironical that the Latinos and African American were to emulate the behaviors and practices to stand a chance of winning the prices. The selection portrayed the </w:t>
      </w:r>
      <w:r w:rsidR="000C4780">
        <w:rPr>
          <w:rFonts w:ascii="Times New Roman" w:hAnsi="Times New Roman"/>
          <w:sz w:val="24"/>
        </w:rPr>
        <w:t>two groups as people with "unacceptable" behaviors. Besides, it only meant that a person can only become helpful to American society when they adopt the "white behaviors." 
</w:t>
      </w:r>
    </w:p>
    <w:p w:rsidR="0083716C" w:rsidP="00F774C3">
      <w:pPr>
        <w:spacing w:line="480" w:lineRule="auto"/>
        <w:ind w:firstLine="720"/>
        <w:rPr>
          <w:rFonts w:ascii="Times New Roman" w:hAnsi="Times New Roman"/>
          <w:sz w:val="24"/>
        </w:rPr>
      </w:pPr>
      <w:r>
        <w:rPr>
          <w:rFonts w:ascii="Times New Roman" w:hAnsi="Times New Roman"/>
          <w:sz w:val="24"/>
        </w:rPr>
        <w:t>Racia</w:t>
      </w:r>
      <w:r w:rsidR="00023BA3">
        <w:rPr>
          <w:rFonts w:ascii="Times New Roman" w:hAnsi="Times New Roman"/>
          <w:sz w:val="24"/>
        </w:rPr>
        <w:t xml:space="preserve">l discrimination was very common </w:t>
      </w:r>
      <w:r w:rsidR="000F0166">
        <w:rPr>
          <w:rFonts w:ascii="Times New Roman" w:hAnsi="Times New Roman"/>
          <w:sz w:val="24"/>
        </w:rPr>
        <w:t xml:space="preserve">in the 1980 American </w:t>
      </w:r>
      <w:r w:rsidR="00307742">
        <w:rPr>
          <w:rFonts w:ascii="Times New Roman" w:hAnsi="Times New Roman"/>
          <w:sz w:val="24"/>
        </w:rPr>
        <w:t xml:space="preserve">society and it is not a surprise </w:t>
      </w:r>
      <w:r w:rsidR="000929A4">
        <w:rPr>
          <w:rFonts w:ascii="Times New Roman" w:hAnsi="Times New Roman"/>
          <w:sz w:val="24"/>
        </w:rPr>
        <w:t xml:space="preserve">that </w:t>
      </w:r>
      <w:r w:rsidR="007421C4">
        <w:rPr>
          <w:rFonts w:ascii="Times New Roman" w:hAnsi="Times New Roman"/>
          <w:sz w:val="24"/>
        </w:rPr>
        <w:t xml:space="preserve">the organizers selected only white characters. </w:t>
      </w:r>
      <w:r w:rsidR="00085DA1">
        <w:rPr>
          <w:rFonts w:ascii="Times New Roman" w:hAnsi="Times New Roman"/>
          <w:sz w:val="24"/>
        </w:rPr>
        <w:t xml:space="preserve">Racism was entrenched in the American system </w:t>
      </w:r>
      <w:r w:rsidR="00DF179C">
        <w:rPr>
          <w:rFonts w:ascii="Times New Roman" w:hAnsi="Times New Roman"/>
          <w:sz w:val="24"/>
        </w:rPr>
        <w:t xml:space="preserve">that most of the victims did not realize the discrimination. For instance, the participants </w:t>
      </w:r>
      <w:r w:rsidR="006C7FB9">
        <w:rPr>
          <w:rFonts w:ascii="Times New Roman" w:hAnsi="Times New Roman"/>
          <w:sz w:val="24"/>
        </w:rPr>
        <w:t>di</w:t>
      </w:r>
      <w:r w:rsidR="003C4472">
        <w:rPr>
          <w:rFonts w:ascii="Times New Roman" w:hAnsi="Times New Roman"/>
          <w:sz w:val="24"/>
        </w:rPr>
        <w:t xml:space="preserve">d not realize </w:t>
      </w:r>
      <w:r w:rsidR="00EC7CA3">
        <w:rPr>
          <w:rFonts w:ascii="Times New Roman" w:hAnsi="Times New Roman"/>
          <w:sz w:val="24"/>
        </w:rPr>
        <w:t>they were racially discriminated by being forced to emulate the white women behaviors. The practice propagated the belief that the whites reflected the ideal character of society. Besides, the pegging of the prizes on the best imitation</w:t>
      </w:r>
      <w:r>
        <w:rPr>
          <w:rFonts w:ascii="Times New Roman" w:hAnsi="Times New Roman"/>
          <w:sz w:val="24"/>
        </w:rPr>
        <w:t xml:space="preserve"> of the white characters was one way of brain draining the participants and make them look down upon their cultural and behavioral practices. Perhaps, the organizers of the event would have used African American and Latino celebrities rather than force them to copy the whites. </w:t>
      </w:r>
    </w:p>
    <w:p w:rsidR="00B174E5" w:rsidP="00F774C3">
      <w:pPr>
        <w:spacing w:line="480" w:lineRule="auto"/>
        <w:ind w:firstLine="720"/>
        <w:rPr>
          <w:rFonts w:ascii="Times New Roman" w:hAnsi="Times New Roman"/>
          <w:sz w:val="24"/>
        </w:rPr>
      </w:pPr>
      <w:r>
        <w:rPr>
          <w:rFonts w:ascii="Times New Roman" w:hAnsi="Times New Roman"/>
          <w:sz w:val="24"/>
        </w:rPr>
        <w:t>Additionally, the Jennie Livingston explores the struggle for sexual identity among the LGBT in America. The group did not have the freedom to sexually have the fr</w:t>
      </w:r>
      <w:r w:rsidR="000A79CC">
        <w:rPr>
          <w:rFonts w:ascii="Times New Roman" w:hAnsi="Times New Roman"/>
          <w:sz w:val="24"/>
        </w:rPr>
        <w:t>eedom to express themselves openly</w:t>
      </w:r>
      <w:sdt>
        <w:sdtPr>
          <w:rPr>
            <w:rFonts w:ascii="Times New Roman" w:hAnsi="Times New Roman"/>
            <w:sz w:val="24"/>
          </w:rPr>
          <w:id w:val="-404303359"/>
          <w:citation/>
        </w:sdtPr>
        <w:sdtContent>
          <w:r w:rsidR="00283B29">
            <w:rPr>
              <w:rFonts w:ascii="Times New Roman" w:hAnsi="Times New Roman"/>
              <w:sz w:val="24"/>
            </w:rPr>
            <w:fldChar w:fldCharType="begin"/>
          </w:r>
          <w:r w:rsidR="00283B29">
            <w:rPr>
              <w:rFonts w:ascii="Times New Roman" w:hAnsi="Times New Roman"/>
              <w:sz w:val="24"/>
            </w:rPr>
            <w:instrText xml:space="preserve"> CITATION Lev13 \l 1033 </w:instrText>
          </w:r>
          <w:r w:rsidR="00283B29">
            <w:rPr>
              <w:rFonts w:ascii="Times New Roman" w:hAnsi="Times New Roman"/>
              <w:sz w:val="24"/>
            </w:rPr>
            <w:fldChar w:fldCharType="separate"/>
          </w:r>
          <w:r w:rsidR="00283B29">
            <w:rPr>
              <w:rFonts w:ascii="Times New Roman" w:hAnsi="Times New Roman"/>
              <w:noProof/>
              <w:sz w:val="24"/>
            </w:rPr>
            <w:t xml:space="preserve"> </w:t>
          </w:r>
          <w:r w:rsidRPr="00283B29" w:rsidR="00283B29">
            <w:rPr>
              <w:rFonts w:ascii="Times New Roman" w:hAnsi="Times New Roman"/>
              <w:noProof/>
              <w:sz w:val="24"/>
            </w:rPr>
            <w:t>(Lauren &amp; Livingston, 2013)</w:t>
          </w:r>
          <w:r w:rsidR="00283B29">
            <w:rPr>
              <w:rFonts w:ascii="Times New Roman" w:hAnsi="Times New Roman"/>
              <w:sz w:val="24"/>
            </w:rPr>
            <w:fldChar w:fldCharType="end"/>
          </w:r>
        </w:sdtContent>
      </w:sdt>
      <w:r w:rsidR="000A79CC">
        <w:rPr>
          <w:rFonts w:ascii="Times New Roman" w:hAnsi="Times New Roman"/>
          <w:sz w:val="24"/>
        </w:rPr>
        <w:t xml:space="preserve">. They had admiration for the “opposite” sex yet the society did not grant them an opportunity to do so. Drag ball thus created an </w:t>
      </w:r>
      <w:r w:rsidR="000A79CC">
        <w:rPr>
          <w:rFonts w:ascii="Times New Roman" w:hAnsi="Times New Roman"/>
          <w:sz w:val="24"/>
        </w:rPr>
        <w:t xml:space="preserve">opportunity for them to express themselves in an exclusive environment. </w:t>
      </w:r>
      <w:r w:rsidR="00832E8B">
        <w:rPr>
          <w:rFonts w:ascii="Times New Roman" w:hAnsi="Times New Roman"/>
          <w:sz w:val="24"/>
        </w:rPr>
        <w:t xml:space="preserve">The </w:t>
      </w:r>
      <w:r w:rsidR="004D4FDD">
        <w:rPr>
          <w:rFonts w:ascii="Times New Roman" w:hAnsi="Times New Roman"/>
          <w:sz w:val="24"/>
        </w:rPr>
        <w:t xml:space="preserve">competition involved allowing the transgender and homosexuals to freely express themselves sexually. </w:t>
      </w:r>
      <w:r w:rsidR="00602356">
        <w:rPr>
          <w:rFonts w:ascii="Times New Roman" w:hAnsi="Times New Roman"/>
          <w:sz w:val="24"/>
        </w:rPr>
        <w:t>The event enables them to develop their sexual identity by creating an opportunity for them to be who they are. For instance, the gays would emulate the female stars without feeling ashamed. In essence, they felt more feminine than masculine hence had greater feeling emulating the characters.
</w:t>
      </w:r>
    </w:p>
    <w:p w:rsidR="00602356" w:rsidP="00F774C3">
      <w:pPr>
        <w:spacing w:line="480" w:lineRule="auto"/>
        <w:ind w:firstLine="720"/>
        <w:rPr>
          <w:rFonts w:ascii="Times New Roman" w:hAnsi="Times New Roman"/>
          <w:sz w:val="24"/>
        </w:rPr>
      </w:pPr>
      <w:r>
        <w:rPr>
          <w:rFonts w:ascii="Times New Roman" w:hAnsi="Times New Roman"/>
          <w:sz w:val="24"/>
        </w:rPr>
        <w:t>In conclusion, Jennie Livingston effectively used the film "Paris is Burning" to highlight critical issues that surrounded the drag ball. She exposes racism, homophobia, and the struggle for sexual identity among the LGTBs. In fact, the whole competition was founded primarily to help the LGTBs overcome the challenges they faced in American society. The event allowed them to freely express their sexuality</w:t>
      </w:r>
      <w:r w:rsidR="00FC277D">
        <w:rPr>
          <w:rFonts w:ascii="Times New Roman" w:hAnsi="Times New Roman"/>
          <w:sz w:val="24"/>
        </w:rPr>
        <w:t xml:space="preserve">, Also, it was an underground movement since the society at the held a lot of reservation against the LGTBs. </w:t>
      </w:r>
      <w:r w:rsidR="00953ACE">
        <w:rPr>
          <w:rFonts w:ascii="Times New Roman" w:hAnsi="Times New Roman"/>
          <w:sz w:val="24"/>
        </w:rPr>
        <w:t xml:space="preserve">However, the racism vice crept into the noble event, though it is not clear whether it was intentional or unintentional. </w:t>
      </w:r>
    </w:p>
    <w:p w:rsidR="00B174E5" w:rsidP="00F774C3">
      <w:pPr>
        <w:spacing w:line="480" w:lineRule="auto"/>
        <w:ind w:firstLine="720"/>
        <w:rPr>
          <w:rFonts w:ascii="Times New Roman" w:hAnsi="Times New Roman"/>
          <w:sz w:val="24"/>
        </w:rPr>
      </w:pPr>
    </w:p>
    <w:p w:rsidR="00195432" w:rsidP="00F774C3">
      <w:pPr>
        <w:spacing w:line="480" w:lineRule="auto"/>
        <w:ind w:firstLine="720"/>
        <w:rPr>
          <w:rFonts w:ascii="Times New Roman" w:hAnsi="Times New Roman"/>
          <w:sz w:val="24"/>
        </w:rPr>
      </w:pPr>
    </w:p>
    <w:p w:rsidR="00195432" w:rsidP="00F774C3">
      <w:pPr>
        <w:spacing w:line="480" w:lineRule="auto"/>
        <w:ind w:firstLine="720"/>
        <w:rPr>
          <w:rFonts w:ascii="Times New Roman" w:hAnsi="Times New Roman"/>
          <w:sz w:val="24"/>
        </w:rPr>
      </w:pPr>
    </w:p>
    <w:p w:rsidR="00195432" w:rsidP="00F774C3">
      <w:pPr>
        <w:spacing w:line="480" w:lineRule="auto"/>
        <w:ind w:firstLine="720"/>
        <w:rPr>
          <w:rFonts w:ascii="Times New Roman" w:hAnsi="Times New Roman"/>
          <w:sz w:val="24"/>
        </w:rPr>
      </w:pPr>
    </w:p>
    <w:p w:rsidR="00195432" w:rsidP="00F774C3">
      <w:pPr>
        <w:spacing w:line="480" w:lineRule="auto"/>
        <w:ind w:firstLine="720"/>
        <w:rPr>
          <w:rFonts w:ascii="Times New Roman" w:hAnsi="Times New Roman"/>
          <w:sz w:val="24"/>
        </w:rPr>
      </w:pPr>
    </w:p>
    <w:p w:rsidR="00195432" w:rsidP="00F774C3">
      <w:pPr>
        <w:spacing w:line="480" w:lineRule="auto"/>
        <w:ind w:firstLine="720"/>
        <w:rPr>
          <w:rFonts w:ascii="Times New Roman" w:hAnsi="Times New Roman"/>
          <w:sz w:val="24"/>
        </w:rPr>
      </w:pPr>
    </w:p>
    <w:p w:rsidR="00195432" w:rsidP="00F774C3">
      <w:pPr>
        <w:spacing w:line="480" w:lineRule="auto"/>
        <w:ind w:firstLine="720"/>
        <w:rPr>
          <w:rFonts w:ascii="Times New Roman" w:hAnsi="Times New Roman"/>
          <w:sz w:val="24"/>
        </w:rPr>
      </w:pPr>
    </w:p>
    <w:p w:rsidR="00195432" w:rsidP="00F774C3">
      <w:pPr>
        <w:spacing w:line="480" w:lineRule="auto"/>
        <w:ind w:firstLine="720"/>
        <w:rPr>
          <w:rFonts w:ascii="Times New Roman" w:hAnsi="Times New Roman"/>
          <w:sz w:val="24"/>
        </w:rPr>
      </w:pPr>
    </w:p>
    <w:p w:rsidR="00195432" w:rsidP="00F774C3">
      <w:pPr>
        <w:spacing w:line="480" w:lineRule="auto"/>
        <w:ind w:firstLine="720"/>
        <w:rPr>
          <w:rFonts w:ascii="Times New Roman" w:hAnsi="Times New Roman"/>
          <w:sz w:val="24"/>
        </w:rPr>
      </w:pPr>
    </w:p>
    <w:p w:rsidR="00195432" w:rsidP="00195432">
      <w:pPr>
        <w:spacing w:line="480" w:lineRule="auto"/>
        <w:ind w:firstLine="720"/>
        <w:jc w:val="center"/>
        <w:rPr>
          <w:rFonts w:ascii="Times New Roman" w:hAnsi="Times New Roman"/>
          <w:sz w:val="24"/>
        </w:rPr>
      </w:pPr>
      <w:r>
        <w:rPr>
          <w:rFonts w:ascii="Times New Roman" w:hAnsi="Times New Roman"/>
          <w:sz w:val="24"/>
        </w:rPr>
        <w:t>References</w:t>
      </w:r>
      <w:bookmarkStart w:id="0" w:name="_GoBack"/>
      <w:bookmarkEnd w:id="0"/>
      <w:r>
        <w:rPr>
          <w:rFonts w:ascii="Times New Roman" w:hAnsi="Times New Roman"/>
          <w:sz w:val="24"/>
        </w:rPr>
        <w:t xml:space="preserve"> </w:t>
      </w:r>
    </w:p>
    <w:p w:rsidR="00195432" w:rsidP="00195432">
      <w:pPr>
        <w:pStyle w:val="Bibliography"/>
        <w:ind w:left="720" w:hanging="720"/>
        <w:rPr>
          <w:noProof/>
          <w:sz w:val="24"/>
          <w:szCs w:val="24"/>
        </w:rPr>
      </w:pPr>
      <w:r>
        <w:rPr>
          <w:rFonts w:ascii="Times New Roman" w:hAnsi="Times New Roman"/>
          <w:sz w:val="24"/>
        </w:rPr>
        <w:fldChar w:fldCharType="begin"/>
      </w:r>
      <w:r>
        <w:rPr>
          <w:rFonts w:ascii="Times New Roman" w:hAnsi="Times New Roman"/>
          <w:sz w:val="24"/>
        </w:rPr>
        <w:instrText xml:space="preserve"> BIBLIOGRAPHY  \l 1033 </w:instrText>
      </w:r>
      <w:r>
        <w:rPr>
          <w:rFonts w:ascii="Times New Roman" w:hAnsi="Times New Roman"/>
          <w:sz w:val="24"/>
        </w:rPr>
        <w:fldChar w:fldCharType="separate"/>
      </w:r>
      <w:r>
        <w:rPr>
          <w:noProof/>
        </w:rPr>
        <w:t xml:space="preserve">Lauren, L., &amp; Livingston, J. (2013). Reality Realness: Paris is Burning and RuPaul’s Drag Race. </w:t>
      </w:r>
      <w:r>
        <w:rPr>
          <w:i/>
          <w:iCs/>
          <w:noProof/>
        </w:rPr>
        <w:t>Interventions, 3(1)</w:t>
      </w:r>
      <w:r>
        <w:rPr>
          <w:noProof/>
        </w:rPr>
        <w:t>.</w:t>
      </w:r>
    </w:p>
    <w:p w:rsidR="00195432" w:rsidP="00195432">
      <w:pPr>
        <w:pStyle w:val="Bibliography"/>
        <w:ind w:left="720" w:hanging="720"/>
        <w:rPr>
          <w:noProof/>
        </w:rPr>
      </w:pPr>
      <w:r>
        <w:rPr>
          <w:noProof/>
        </w:rPr>
        <w:t xml:space="preserve">Santiago, N. F. (2014). Gender performativity and melancholia in Paris is Burning and Angels in America. </w:t>
      </w:r>
      <w:r>
        <w:rPr>
          <w:i/>
          <w:iCs/>
          <w:noProof/>
        </w:rPr>
        <w:t>Echoes: Reflections on language and literature, 71-79</w:t>
      </w:r>
      <w:r>
        <w:rPr>
          <w:noProof/>
        </w:rPr>
        <w:t>.</w:t>
      </w:r>
    </w:p>
    <w:p w:rsidR="00195432" w:rsidP="00195432">
      <w:pPr>
        <w:pStyle w:val="Bibliography"/>
        <w:ind w:left="720" w:hanging="720"/>
        <w:rPr>
          <w:noProof/>
        </w:rPr>
      </w:pPr>
      <w:r>
        <w:rPr>
          <w:noProof/>
        </w:rPr>
        <w:t xml:space="preserve">Zachary, G. (n.d.). Locating the Individual in the Structure: An Analysis of Paris is Burning. </w:t>
      </w:r>
      <w:r>
        <w:rPr>
          <w:i/>
          <w:iCs/>
          <w:noProof/>
        </w:rPr>
        <w:t>The Ethnograph, 27</w:t>
      </w:r>
      <w:r>
        <w:rPr>
          <w:noProof/>
        </w:rPr>
        <w:t>.</w:t>
      </w:r>
    </w:p>
    <w:p w:rsidR="00195432" w:rsidP="00195432">
      <w:pPr>
        <w:spacing w:line="480" w:lineRule="auto"/>
        <w:ind w:firstLine="720"/>
        <w:rPr>
          <w:rFonts w:ascii="Times New Roman" w:hAnsi="Times New Roman"/>
          <w:sz w:val="24"/>
        </w:rPr>
      </w:pPr>
      <w:r>
        <w:rPr>
          <w:rFonts w:ascii="Times New Roman" w:hAnsi="Times New Roman"/>
          <w:sz w:val="24"/>
        </w:rPr>
        <w:fldChar w:fldCharType="end"/>
      </w:r>
    </w:p>
    <w:p w:rsidR="00195432" w:rsidP="00F774C3">
      <w:pPr>
        <w:spacing w:line="480" w:lineRule="auto"/>
        <w:ind w:firstLine="720"/>
        <w:rPr>
          <w:rFonts w:ascii="Times New Roman" w:hAnsi="Times New Roman"/>
          <w:sz w:val="24"/>
        </w:rPr>
      </w:pPr>
    </w:p>
    <w:p w:rsidR="00195432" w:rsidP="00F774C3">
      <w:pPr>
        <w:spacing w:line="480" w:lineRule="auto"/>
        <w:ind w:firstLine="720"/>
        <w:rPr>
          <w:rFonts w:ascii="Times New Roman" w:hAnsi="Times New Roman"/>
          <w:sz w:val="24"/>
        </w:rPr>
      </w:pPr>
    </w:p>
    <w:p w:rsidR="00F774C3" w:rsidP="00F774C3">
      <w:pPr>
        <w:spacing w:line="480" w:lineRule="auto"/>
        <w:jc w:val="center"/>
        <w:rPr>
          <w:rFonts w:ascii="Times New Roman" w:hAnsi="Times New Roman"/>
          <w:sz w:val="24"/>
        </w:rPr>
      </w:pPr>
    </w:p>
    <w:p w:rsidR="00F774C3" w:rsidP="00F774C3">
      <w:pPr>
        <w:spacing w:line="480" w:lineRule="auto"/>
        <w:jc w:val="center"/>
        <w:rPr>
          <w:rFonts w:ascii="Times New Roman" w:hAnsi="Times New Roman"/>
          <w:sz w:val="24"/>
        </w:rPr>
      </w:pPr>
    </w:p>
    <w:p w:rsidR="00F774C3" w:rsidRPr="00F63BDA" w:rsidP="00F774C3">
      <w:pPr>
        <w:jc w:val="center"/>
        <w:rPr>
          <w:rFonts w:ascii="Times New Roman" w:hAnsi="Times New Roman"/>
          <w:sz w:val="24"/>
        </w:rPr>
      </w:pPr>
    </w:p>
    <w:sectPr w:rsidSect="00F63BD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3BDA" w:rsidRPr="00F774C3">
    <w:pPr>
      <w:pStyle w:val="Header"/>
      <w:rPr>
        <w:rFonts w:ascii="Times New Roman" w:hAnsi="Times New Roman" w:cs="Times New Roman"/>
        <w:sz w:val="24"/>
        <w:szCs w:val="24"/>
      </w:rPr>
    </w:pPr>
    <w:r>
      <w:rPr>
        <w:rFonts w:ascii="Times New Roman" w:hAnsi="Times New Roman" w:cs="Times New Roman"/>
        <w:sz w:val="24"/>
        <w:szCs w:val="24"/>
      </w:rPr>
      <w:t xml:space="preserve">Paris is Burning </w:t>
    </w:r>
    <w:r>
      <w:rPr>
        <w:rFonts w:ascii="Times New Roman" w:hAnsi="Times New Roman" w:cs="Times New Roman"/>
        <w:sz w:val="24"/>
        <w:szCs w:val="24"/>
      </w:rPr>
      <w:tab/>
    </w:r>
    <w:r>
      <w:rPr>
        <w:rFonts w:ascii="Times New Roman" w:hAnsi="Times New Roman" w:cs="Times New Roman"/>
        <w:sz w:val="24"/>
        <w:szCs w:val="24"/>
      </w:rPr>
      <w:tab/>
    </w:r>
    <w:r w:rsidRPr="00F774C3">
      <w:rPr>
        <w:rFonts w:ascii="Times New Roman" w:hAnsi="Times New Roman" w:cs="Times New Roman"/>
        <w:sz w:val="24"/>
        <w:szCs w:val="24"/>
      </w:rPr>
      <w:fldChar w:fldCharType="begin"/>
    </w:r>
    <w:r w:rsidRPr="00F774C3">
      <w:rPr>
        <w:rFonts w:ascii="Times New Roman" w:hAnsi="Times New Roman" w:cs="Times New Roman"/>
        <w:sz w:val="24"/>
        <w:szCs w:val="24"/>
      </w:rPr>
      <w:instrText xml:space="preserve"> PAGE   \* MERGEFORMAT </w:instrText>
    </w:r>
    <w:r w:rsidRPr="00F774C3">
      <w:rPr>
        <w:rFonts w:ascii="Times New Roman" w:hAnsi="Times New Roman" w:cs="Times New Roman"/>
        <w:sz w:val="24"/>
        <w:szCs w:val="24"/>
      </w:rPr>
      <w:fldChar w:fldCharType="separate"/>
    </w:r>
    <w:r w:rsidR="00283B29">
      <w:rPr>
        <w:rFonts w:ascii="Times New Roman" w:hAnsi="Times New Roman" w:cs="Times New Roman"/>
        <w:noProof/>
        <w:sz w:val="24"/>
        <w:szCs w:val="24"/>
      </w:rPr>
      <w:t>6</w:t>
    </w:r>
    <w:r w:rsidRPr="00F774C3">
      <w:rPr>
        <w:rFonts w:ascii="Times New Roman" w:hAnsi="Times New Roman" w:cs="Times New Roman"/>
        <w:noProof/>
        <w:sz w:val="24"/>
        <w:szCs w:val="24"/>
      </w:rPr>
      <w:fldChar w:fldCharType="end"/>
    </w:r>
  </w:p>
  <w:p w:rsidR="00F63B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C3" w:rsidRPr="00F774C3">
    <w:pPr>
      <w:pStyle w:val="Header"/>
      <w:rPr>
        <w:rFonts w:ascii="Times New Roman" w:hAnsi="Times New Roman" w:cs="Times New Roman"/>
        <w:sz w:val="24"/>
        <w:szCs w:val="24"/>
      </w:rPr>
    </w:pPr>
    <w:r>
      <w:rPr>
        <w:rFonts w:ascii="Times New Roman" w:hAnsi="Times New Roman" w:cs="Times New Roman"/>
        <w:sz w:val="24"/>
        <w:szCs w:val="24"/>
      </w:rPr>
      <w:t xml:space="preserve">Running Head: Paris is Burning </w:t>
    </w:r>
    <w:r>
      <w:rPr>
        <w:rFonts w:ascii="Times New Roman" w:hAnsi="Times New Roman" w:cs="Times New Roman"/>
        <w:sz w:val="24"/>
        <w:szCs w:val="24"/>
      </w:rPr>
      <w:tab/>
    </w:r>
    <w:r>
      <w:rPr>
        <w:rFonts w:ascii="Times New Roman" w:hAnsi="Times New Roman" w:cs="Times New Roman"/>
        <w:sz w:val="24"/>
        <w:szCs w:val="24"/>
      </w:rPr>
      <w:tab/>
    </w:r>
    <w:r w:rsidRPr="00F774C3">
      <w:rPr>
        <w:rFonts w:ascii="Times New Roman" w:hAnsi="Times New Roman" w:cs="Times New Roman"/>
        <w:sz w:val="24"/>
        <w:szCs w:val="24"/>
      </w:rPr>
      <w:fldChar w:fldCharType="begin"/>
    </w:r>
    <w:r w:rsidRPr="00F774C3">
      <w:rPr>
        <w:rFonts w:ascii="Times New Roman" w:hAnsi="Times New Roman" w:cs="Times New Roman"/>
        <w:sz w:val="24"/>
        <w:szCs w:val="24"/>
      </w:rPr>
      <w:instrText xml:space="preserve"> PAGE   \* MERGEFORMAT </w:instrText>
    </w:r>
    <w:r w:rsidRPr="00F774C3">
      <w:rPr>
        <w:rFonts w:ascii="Times New Roman" w:hAnsi="Times New Roman" w:cs="Times New Roman"/>
        <w:sz w:val="24"/>
        <w:szCs w:val="24"/>
      </w:rPr>
      <w:fldChar w:fldCharType="separate"/>
    </w:r>
    <w:r w:rsidR="00283B29">
      <w:rPr>
        <w:rFonts w:ascii="Times New Roman" w:hAnsi="Times New Roman" w:cs="Times New Roman"/>
        <w:noProof/>
        <w:sz w:val="24"/>
        <w:szCs w:val="24"/>
      </w:rPr>
      <w:t>1</w:t>
    </w:r>
    <w:r w:rsidRPr="00F774C3">
      <w:rPr>
        <w:rFonts w:ascii="Times New Roman" w:hAnsi="Times New Roman" w:cs="Times New Roman"/>
        <w:noProof/>
        <w:sz w:val="24"/>
        <w:szCs w:val="24"/>
      </w:rPr>
      <w:fldChar w:fldCharType="end"/>
    </w:r>
  </w:p>
  <w:p w:rsidR="00F774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BDA"/>
    <w:rsid w:val="00023BA3"/>
    <w:rsid w:val="00063412"/>
    <w:rsid w:val="00085DA1"/>
    <w:rsid w:val="000929A4"/>
    <w:rsid w:val="000A79CC"/>
    <w:rsid w:val="000C4780"/>
    <w:rsid w:val="000F0166"/>
    <w:rsid w:val="00121A5A"/>
    <w:rsid w:val="001511F5"/>
    <w:rsid w:val="00173695"/>
    <w:rsid w:val="00195432"/>
    <w:rsid w:val="001C1C2E"/>
    <w:rsid w:val="00283B29"/>
    <w:rsid w:val="002D7517"/>
    <w:rsid w:val="0030236D"/>
    <w:rsid w:val="0030634A"/>
    <w:rsid w:val="00307742"/>
    <w:rsid w:val="003C4472"/>
    <w:rsid w:val="0046193F"/>
    <w:rsid w:val="00485876"/>
    <w:rsid w:val="004D4FDD"/>
    <w:rsid w:val="00584891"/>
    <w:rsid w:val="00602356"/>
    <w:rsid w:val="00617D62"/>
    <w:rsid w:val="006B05A8"/>
    <w:rsid w:val="006C7FB9"/>
    <w:rsid w:val="007421C4"/>
    <w:rsid w:val="00815082"/>
    <w:rsid w:val="00832E8B"/>
    <w:rsid w:val="0083716C"/>
    <w:rsid w:val="00953ACE"/>
    <w:rsid w:val="00990688"/>
    <w:rsid w:val="009A2874"/>
    <w:rsid w:val="009B0038"/>
    <w:rsid w:val="009C07FC"/>
    <w:rsid w:val="00A26073"/>
    <w:rsid w:val="00B12562"/>
    <w:rsid w:val="00B174E5"/>
    <w:rsid w:val="00BC0215"/>
    <w:rsid w:val="00C3457F"/>
    <w:rsid w:val="00C717E4"/>
    <w:rsid w:val="00DF179C"/>
    <w:rsid w:val="00E27138"/>
    <w:rsid w:val="00E4761E"/>
    <w:rsid w:val="00EC7CA3"/>
    <w:rsid w:val="00F2297F"/>
    <w:rsid w:val="00F63BDA"/>
    <w:rsid w:val="00F65D45"/>
    <w:rsid w:val="00F774C3"/>
    <w:rsid w:val="00FA2211"/>
    <w:rsid w:val="00FB08D6"/>
    <w:rsid w:val="00FC27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872D5D4-C59A-4A5B-90D0-283DEF8A2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BDA"/>
  </w:style>
  <w:style w:type="paragraph" w:styleId="Footer">
    <w:name w:val="footer"/>
    <w:basedOn w:val="Normal"/>
    <w:link w:val="FooterChar"/>
    <w:uiPriority w:val="99"/>
    <w:unhideWhenUsed/>
    <w:rsid w:val="00F63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BDA"/>
  </w:style>
  <w:style w:type="paragraph" w:styleId="Bibliography">
    <w:name w:val="Bibliography"/>
    <w:basedOn w:val="Normal"/>
    <w:next w:val="Normal"/>
    <w:uiPriority w:val="37"/>
    <w:unhideWhenUsed/>
    <w:rsid w:val="00195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Gol</b:Tag>
    <b:SourceType>JournalArticle</b:SourceType>
    <b:Guid>{3F4ED079-0577-44F9-89F2-524F29B6C366}</b:Guid>
    <b:Title> Locating the Individual in the Structure: An Analysis of Paris is Burning</b:Title>
    <b:JournalName>The Ethnograph, 27</b:JournalName>
    <b:Author>
      <b:Author>
        <b:NameList>
          <b:Person>
            <b:Last>Zachary</b:Last>
            <b:First>Goldman</b:First>
          </b:Person>
        </b:NameList>
      </b:Author>
    </b:Author>
    <b:RefOrder>2</b:RefOrder>
  </b:Source>
  <b:Source>
    <b:Tag>Lev13</b:Tag>
    <b:SourceType>JournalArticle</b:SourceType>
    <b:Guid>{4F9B2112-36C4-4610-BD86-377704530AB4}</b:Guid>
    <b:Author>
      <b:Author>
        <b:NameList>
          <b:Person>
            <b:Last>Lauren</b:Last>
            <b:First>Levitt</b:First>
          </b:Person>
          <b:Person>
            <b:Last>Livingston</b:Last>
            <b:First>Jennie</b:First>
          </b:Person>
        </b:NameList>
      </b:Author>
    </b:Author>
    <b:Title>Reality Realness: Paris is Burning and RuPaul’s Drag Race</b:Title>
    <b:JournalName> Interventions, 3(1)</b:JournalName>
    <b:Year>2013</b:Year>
    <b:RefOrder>1</b:RefOrder>
  </b:Source>
  <b:Source>
    <b:Tag>Nas14</b:Tag>
    <b:SourceType>JournalArticle</b:SourceType>
    <b:Guid>{F7C6E445-754D-42C1-8411-3DB941AFEB07}</b:Guid>
    <b:Author>
      <b:Author>
        <b:NameList>
          <b:Person>
            <b:Last>Santiago</b:Last>
            <b:First>Nascimento</b:First>
            <b:Middle>Fábio</b:Middle>
          </b:Person>
        </b:NameList>
      </b:Author>
    </b:Author>
    <b:Title>Gender performativity and melancholia in Paris is Burning and Angels in America</b:Title>
    <b:JournalName>Echoes: Reflections on language and literature, 71-79</b:JournalName>
    <b:Year>2014</b:Year>
    <b:RefOrder>3</b:RefOrder>
  </b:Source>
</b:Sources>
</file>

<file path=customXml/itemProps1.xml><?xml version="1.0" encoding="utf-8"?>
<ds:datastoreItem xmlns:ds="http://schemas.openxmlformats.org/officeDocument/2006/customXml" ds:itemID="{5F73DF40-AF7B-498F-87D8-050743FF9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6</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33</cp:revision>
  <dcterms:created xsi:type="dcterms:W3CDTF">2018-12-10T07:34:00Z</dcterms:created>
  <dcterms:modified xsi:type="dcterms:W3CDTF">2018-12-10T14:50:00Z</dcterms:modified>
</cp:coreProperties>
</file>