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71F" w:rsidRDefault="00E1371F"/>
    <w:p w:rsidR="00F229EA" w:rsidRDefault="00F229EA"/>
    <w:p w:rsidR="00F229EA" w:rsidRDefault="00F229EA"/>
    <w:p w:rsidR="00F229EA" w:rsidRDefault="00F229EA"/>
    <w:p w:rsidR="00F229EA" w:rsidRDefault="00F229EA"/>
    <w:p w:rsidR="00F229EA" w:rsidRDefault="00F229EA" w:rsidP="00F229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Bohanna’s Model of Double Institutionalization </w:t>
      </w:r>
    </w:p>
    <w:p w:rsidR="00F229EA" w:rsidRDefault="00F229EA" w:rsidP="00F229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229EA" w:rsidRDefault="00F229EA" w:rsidP="00F229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29EA" w:rsidRDefault="00F229EA" w:rsidP="00F229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229EA" w:rsidRDefault="00F229EA">
      <w:pPr>
        <w:rPr>
          <w:rFonts w:ascii="Times New Roman" w:hAnsi="Times New Roman" w:cs="Times New Roman"/>
          <w:sz w:val="24"/>
          <w:szCs w:val="24"/>
        </w:rPr>
      </w:pPr>
      <w:r>
        <w:rPr>
          <w:rFonts w:ascii="Times New Roman" w:hAnsi="Times New Roman" w:cs="Times New Roman"/>
          <w:sz w:val="24"/>
          <w:szCs w:val="24"/>
        </w:rPr>
        <w:br w:type="page"/>
      </w:r>
    </w:p>
    <w:p w:rsidR="00F229EA" w:rsidRDefault="00F229EA" w:rsidP="00F229EA">
      <w:pPr>
        <w:spacing w:line="480" w:lineRule="auto"/>
        <w:jc w:val="center"/>
        <w:rPr>
          <w:rFonts w:ascii="Times New Roman" w:hAnsi="Times New Roman" w:cs="Times New Roman"/>
          <w:sz w:val="24"/>
          <w:szCs w:val="24"/>
        </w:rPr>
      </w:pPr>
      <w:r w:rsidRPr="00F229EA">
        <w:rPr>
          <w:rFonts w:ascii="Times New Roman" w:hAnsi="Times New Roman" w:cs="Times New Roman"/>
          <w:sz w:val="24"/>
          <w:szCs w:val="24"/>
        </w:rPr>
        <w:lastRenderedPageBreak/>
        <w:t>Bohanna’s Model of Double Institutionalization</w:t>
      </w:r>
    </w:p>
    <w:p w:rsidR="00F229EA" w:rsidRDefault="00F229EA" w:rsidP="00F22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Anthropologists use various approaches in explaining the concept of law in the society. Scholars like </w:t>
      </w:r>
      <w:r w:rsidR="00796E8E">
        <w:rPr>
          <w:rFonts w:ascii="Times New Roman" w:hAnsi="Times New Roman" w:cs="Times New Roman"/>
          <w:sz w:val="24"/>
          <w:szCs w:val="24"/>
        </w:rPr>
        <w:t>Malinowski and Paul Bohannan have defined different concepts of the law with the former arguing that it exists as a culture, domination or problem-solver. On the other hand, Paul Bohanna gives a complex but comprehensive concept of double institutionalization.</w:t>
      </w:r>
      <w:r w:rsidR="00D90965">
        <w:rPr>
          <w:rFonts w:ascii="Times New Roman" w:hAnsi="Times New Roman" w:cs="Times New Roman"/>
          <w:sz w:val="24"/>
          <w:szCs w:val="24"/>
        </w:rPr>
        <w:t xml:space="preserve"> These two anthropological models of law are closely related but at the same time distinct. This paper looks into the Bohanna’s concept of double institutionalization in relation to Malinowski approaches.</w:t>
      </w:r>
    </w:p>
    <w:p w:rsidR="004B15DE" w:rsidRDefault="00D90965" w:rsidP="00F22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double institutionalization</w:t>
      </w:r>
      <w:r w:rsidR="00C03E36">
        <w:rPr>
          <w:rFonts w:ascii="Times New Roman" w:hAnsi="Times New Roman" w:cs="Times New Roman"/>
          <w:sz w:val="24"/>
          <w:szCs w:val="24"/>
        </w:rPr>
        <w:t xml:space="preserve"> draws its foundation </w:t>
      </w:r>
      <w:r w:rsidR="00CE102F">
        <w:rPr>
          <w:rFonts w:ascii="Times New Roman" w:hAnsi="Times New Roman" w:cs="Times New Roman"/>
          <w:sz w:val="24"/>
          <w:szCs w:val="24"/>
        </w:rPr>
        <w:t xml:space="preserve">on </w:t>
      </w:r>
      <w:r w:rsidR="00C03E36">
        <w:rPr>
          <w:rFonts w:ascii="Times New Roman" w:hAnsi="Times New Roman" w:cs="Times New Roman"/>
          <w:sz w:val="24"/>
          <w:szCs w:val="24"/>
        </w:rPr>
        <w:t>the fact that laws are independent from a community’s customs, norms, and values</w:t>
      </w:r>
      <w:sdt>
        <w:sdtPr>
          <w:rPr>
            <w:rFonts w:ascii="Times New Roman" w:hAnsi="Times New Roman" w:cs="Times New Roman"/>
            <w:sz w:val="24"/>
            <w:szCs w:val="24"/>
          </w:rPr>
          <w:id w:val="888618113"/>
          <w:citation/>
        </w:sdtPr>
        <w:sdtContent>
          <w:r w:rsidR="00CE102F">
            <w:rPr>
              <w:rFonts w:ascii="Times New Roman" w:hAnsi="Times New Roman" w:cs="Times New Roman"/>
              <w:sz w:val="24"/>
              <w:szCs w:val="24"/>
            </w:rPr>
            <w:fldChar w:fldCharType="begin"/>
          </w:r>
          <w:r w:rsidR="00CE102F">
            <w:rPr>
              <w:rFonts w:ascii="Times New Roman" w:hAnsi="Times New Roman" w:cs="Times New Roman"/>
              <w:sz w:val="24"/>
              <w:szCs w:val="24"/>
            </w:rPr>
            <w:instrText xml:space="preserve"> CITATION Pau \l 1033 </w:instrText>
          </w:r>
          <w:r w:rsidR="00CE102F">
            <w:rPr>
              <w:rFonts w:ascii="Times New Roman" w:hAnsi="Times New Roman" w:cs="Times New Roman"/>
              <w:sz w:val="24"/>
              <w:szCs w:val="24"/>
            </w:rPr>
            <w:fldChar w:fldCharType="separate"/>
          </w:r>
          <w:r w:rsidR="00CE102F">
            <w:rPr>
              <w:rFonts w:ascii="Times New Roman" w:hAnsi="Times New Roman" w:cs="Times New Roman"/>
              <w:noProof/>
              <w:sz w:val="24"/>
              <w:szCs w:val="24"/>
            </w:rPr>
            <w:t xml:space="preserve"> </w:t>
          </w:r>
          <w:r w:rsidR="00CE102F" w:rsidRPr="00CE102F">
            <w:rPr>
              <w:rFonts w:ascii="Times New Roman" w:hAnsi="Times New Roman" w:cs="Times New Roman"/>
              <w:noProof/>
              <w:sz w:val="24"/>
              <w:szCs w:val="24"/>
            </w:rPr>
            <w:t>(Bahanna)</w:t>
          </w:r>
          <w:r w:rsidR="00CE102F">
            <w:rPr>
              <w:rFonts w:ascii="Times New Roman" w:hAnsi="Times New Roman" w:cs="Times New Roman"/>
              <w:sz w:val="24"/>
              <w:szCs w:val="24"/>
            </w:rPr>
            <w:fldChar w:fldCharType="end"/>
          </w:r>
        </w:sdtContent>
      </w:sdt>
      <w:r w:rsidR="00C03E36">
        <w:rPr>
          <w:rFonts w:ascii="Times New Roman" w:hAnsi="Times New Roman" w:cs="Times New Roman"/>
          <w:sz w:val="24"/>
          <w:szCs w:val="24"/>
        </w:rPr>
        <w:t>. However, they are closely related since they all act as the basis of an accepted behavior within a given set up. Bahanna’s model of double institutionalization holds that law are distinct from fashions,</w:t>
      </w:r>
      <w:r w:rsidR="00BC6251">
        <w:rPr>
          <w:rFonts w:ascii="Times New Roman" w:hAnsi="Times New Roman" w:cs="Times New Roman"/>
          <w:sz w:val="24"/>
          <w:szCs w:val="24"/>
        </w:rPr>
        <w:t xml:space="preserve"> traditions, customs, and norms. Norms refer to the rules that overtly defines the relationship between people living in a given community</w:t>
      </w:r>
      <w:sdt>
        <w:sdtPr>
          <w:rPr>
            <w:rFonts w:ascii="Times New Roman" w:hAnsi="Times New Roman" w:cs="Times New Roman"/>
            <w:sz w:val="24"/>
            <w:szCs w:val="24"/>
          </w:rPr>
          <w:id w:val="2067295735"/>
          <w:citation/>
        </w:sdtPr>
        <w:sdtContent>
          <w:r w:rsidR="00CE102F">
            <w:rPr>
              <w:rFonts w:ascii="Times New Roman" w:hAnsi="Times New Roman" w:cs="Times New Roman"/>
              <w:sz w:val="24"/>
              <w:szCs w:val="24"/>
            </w:rPr>
            <w:fldChar w:fldCharType="begin"/>
          </w:r>
          <w:r w:rsidR="00CE102F">
            <w:rPr>
              <w:rFonts w:ascii="Times New Roman" w:hAnsi="Times New Roman" w:cs="Times New Roman"/>
              <w:sz w:val="24"/>
              <w:szCs w:val="24"/>
            </w:rPr>
            <w:instrText xml:space="preserve"> CITATION Pau \l 1033 </w:instrText>
          </w:r>
          <w:r w:rsidR="00CE102F">
            <w:rPr>
              <w:rFonts w:ascii="Times New Roman" w:hAnsi="Times New Roman" w:cs="Times New Roman"/>
              <w:sz w:val="24"/>
              <w:szCs w:val="24"/>
            </w:rPr>
            <w:fldChar w:fldCharType="separate"/>
          </w:r>
          <w:r w:rsidR="00CE102F">
            <w:rPr>
              <w:rFonts w:ascii="Times New Roman" w:hAnsi="Times New Roman" w:cs="Times New Roman"/>
              <w:noProof/>
              <w:sz w:val="24"/>
              <w:szCs w:val="24"/>
            </w:rPr>
            <w:t xml:space="preserve"> </w:t>
          </w:r>
          <w:r w:rsidR="00CE102F" w:rsidRPr="00CE102F">
            <w:rPr>
              <w:rFonts w:ascii="Times New Roman" w:hAnsi="Times New Roman" w:cs="Times New Roman"/>
              <w:noProof/>
              <w:sz w:val="24"/>
              <w:szCs w:val="24"/>
            </w:rPr>
            <w:t>(Bahanna)</w:t>
          </w:r>
          <w:r w:rsidR="00CE102F">
            <w:rPr>
              <w:rFonts w:ascii="Times New Roman" w:hAnsi="Times New Roman" w:cs="Times New Roman"/>
              <w:sz w:val="24"/>
              <w:szCs w:val="24"/>
            </w:rPr>
            <w:fldChar w:fldCharType="end"/>
          </w:r>
        </w:sdtContent>
      </w:sdt>
      <w:r w:rsidR="00BC6251">
        <w:rPr>
          <w:rFonts w:ascii="Times New Roman" w:hAnsi="Times New Roman" w:cs="Times New Roman"/>
          <w:sz w:val="24"/>
          <w:szCs w:val="24"/>
        </w:rPr>
        <w:t>. On the other hand, customs are set of rules (or norms) that guides socio-cultural practices</w:t>
      </w:r>
      <w:sdt>
        <w:sdtPr>
          <w:rPr>
            <w:rFonts w:ascii="Times New Roman" w:hAnsi="Times New Roman" w:cs="Times New Roman"/>
            <w:sz w:val="24"/>
            <w:szCs w:val="24"/>
          </w:rPr>
          <w:id w:val="1873411875"/>
          <w:citation/>
        </w:sdtPr>
        <w:sdtContent>
          <w:r w:rsidR="00CE102F">
            <w:rPr>
              <w:rFonts w:ascii="Times New Roman" w:hAnsi="Times New Roman" w:cs="Times New Roman"/>
              <w:sz w:val="24"/>
              <w:szCs w:val="24"/>
            </w:rPr>
            <w:fldChar w:fldCharType="begin"/>
          </w:r>
          <w:r w:rsidR="00CE102F">
            <w:rPr>
              <w:rFonts w:ascii="Times New Roman" w:hAnsi="Times New Roman" w:cs="Times New Roman"/>
              <w:sz w:val="24"/>
              <w:szCs w:val="24"/>
            </w:rPr>
            <w:instrText xml:space="preserve"> CITATION Pau \l 1033 </w:instrText>
          </w:r>
          <w:r w:rsidR="00CE102F">
            <w:rPr>
              <w:rFonts w:ascii="Times New Roman" w:hAnsi="Times New Roman" w:cs="Times New Roman"/>
              <w:sz w:val="24"/>
              <w:szCs w:val="24"/>
            </w:rPr>
            <w:fldChar w:fldCharType="separate"/>
          </w:r>
          <w:r w:rsidR="00CE102F">
            <w:rPr>
              <w:rFonts w:ascii="Times New Roman" w:hAnsi="Times New Roman" w:cs="Times New Roman"/>
              <w:noProof/>
              <w:sz w:val="24"/>
              <w:szCs w:val="24"/>
            </w:rPr>
            <w:t xml:space="preserve"> </w:t>
          </w:r>
          <w:r w:rsidR="00CE102F" w:rsidRPr="00CE102F">
            <w:rPr>
              <w:rFonts w:ascii="Times New Roman" w:hAnsi="Times New Roman" w:cs="Times New Roman"/>
              <w:noProof/>
              <w:sz w:val="24"/>
              <w:szCs w:val="24"/>
            </w:rPr>
            <w:t>(Bahanna)</w:t>
          </w:r>
          <w:r w:rsidR="00CE102F">
            <w:rPr>
              <w:rFonts w:ascii="Times New Roman" w:hAnsi="Times New Roman" w:cs="Times New Roman"/>
              <w:sz w:val="24"/>
              <w:szCs w:val="24"/>
            </w:rPr>
            <w:fldChar w:fldCharType="end"/>
          </w:r>
        </w:sdtContent>
      </w:sdt>
      <w:r w:rsidR="00BC6251">
        <w:rPr>
          <w:rFonts w:ascii="Times New Roman" w:hAnsi="Times New Roman" w:cs="Times New Roman"/>
          <w:sz w:val="24"/>
          <w:szCs w:val="24"/>
        </w:rPr>
        <w:t xml:space="preserve">. Values are </w:t>
      </w:r>
      <w:r w:rsidR="00141B35">
        <w:rPr>
          <w:rFonts w:ascii="Times New Roman" w:hAnsi="Times New Roman" w:cs="Times New Roman"/>
          <w:sz w:val="24"/>
          <w:szCs w:val="24"/>
        </w:rPr>
        <w:t xml:space="preserve">beliefs that define the most important aspects of life in </w:t>
      </w:r>
      <w:r w:rsidR="0041375D">
        <w:rPr>
          <w:rFonts w:ascii="Times New Roman" w:hAnsi="Times New Roman" w:cs="Times New Roman"/>
          <w:sz w:val="24"/>
          <w:szCs w:val="24"/>
        </w:rPr>
        <w:t xml:space="preserve">a given community. Unlike values, norms, and customs that often work within a specific area, laws cover broader boundaries that encompasses different cultural backgrounds. In essence, Bahanna’s concept of double institutionalization is derived from the fact that laws operates within and without socio-cultural boundaries. </w:t>
      </w:r>
    </w:p>
    <w:p w:rsidR="00D90965" w:rsidRDefault="004B15DE" w:rsidP="00F22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Paul Bahanna ar</w:t>
      </w:r>
      <w:r w:rsidR="00471B24">
        <w:rPr>
          <w:rFonts w:ascii="Times New Roman" w:hAnsi="Times New Roman" w:cs="Times New Roman"/>
          <w:sz w:val="24"/>
          <w:szCs w:val="24"/>
        </w:rPr>
        <w:t>gues that the provision of legal righ</w:t>
      </w:r>
      <w:r w:rsidR="00CE102F">
        <w:rPr>
          <w:rFonts w:ascii="Times New Roman" w:hAnsi="Times New Roman" w:cs="Times New Roman"/>
          <w:sz w:val="24"/>
          <w:szCs w:val="24"/>
        </w:rPr>
        <w:t>ts (under given laws) originate</w:t>
      </w:r>
      <w:r w:rsidR="00471B24">
        <w:rPr>
          <w:rFonts w:ascii="Times New Roman" w:hAnsi="Times New Roman" w:cs="Times New Roman"/>
          <w:sz w:val="24"/>
          <w:szCs w:val="24"/>
        </w:rPr>
        <w:t xml:space="preserve"> from non-legal in</w:t>
      </w:r>
      <w:r w:rsidR="00CE102F">
        <w:rPr>
          <w:rFonts w:ascii="Times New Roman" w:hAnsi="Times New Roman" w:cs="Times New Roman"/>
          <w:sz w:val="24"/>
          <w:szCs w:val="24"/>
        </w:rPr>
        <w:t>stitutions that define</w:t>
      </w:r>
      <w:r w:rsidR="00471B24">
        <w:rPr>
          <w:rFonts w:ascii="Times New Roman" w:hAnsi="Times New Roman" w:cs="Times New Roman"/>
          <w:sz w:val="24"/>
          <w:szCs w:val="24"/>
        </w:rPr>
        <w:t xml:space="preserve"> the customs of given society. However, the legal institutions can only make references to these customs if they are overtly restated in the legal framework and used to serve specific objectives. In other words, </w:t>
      </w:r>
      <w:r w:rsidR="00941FF7">
        <w:rPr>
          <w:rFonts w:ascii="Times New Roman" w:hAnsi="Times New Roman" w:cs="Times New Roman"/>
          <w:sz w:val="24"/>
          <w:szCs w:val="24"/>
        </w:rPr>
        <w:t xml:space="preserve">customs, values, and norms are only applicable in the legal framework if they are appropriately included in the governing rules. </w:t>
      </w:r>
      <w:r w:rsidR="00D966C4">
        <w:rPr>
          <w:rFonts w:ascii="Times New Roman" w:hAnsi="Times New Roman" w:cs="Times New Roman"/>
          <w:sz w:val="24"/>
          <w:szCs w:val="24"/>
        </w:rPr>
        <w:t xml:space="preserve">Bahanna’s </w:t>
      </w:r>
      <w:r w:rsidR="00D966C4">
        <w:rPr>
          <w:rFonts w:ascii="Times New Roman" w:hAnsi="Times New Roman" w:cs="Times New Roman"/>
          <w:sz w:val="24"/>
          <w:szCs w:val="24"/>
        </w:rPr>
        <w:lastRenderedPageBreak/>
        <w:t>argument on double institutionalization thus give two definitions of legal rights. Firstly, all laws must have deep roots in the customs of a given commu</w:t>
      </w:r>
      <w:r w:rsidR="0087039F">
        <w:rPr>
          <w:rFonts w:ascii="Times New Roman" w:hAnsi="Times New Roman" w:cs="Times New Roman"/>
          <w:sz w:val="24"/>
          <w:szCs w:val="24"/>
        </w:rPr>
        <w:t xml:space="preserve">nity. Secondly, the customs have to be overtly stated </w:t>
      </w:r>
      <w:r w:rsidR="007152EE">
        <w:rPr>
          <w:rFonts w:ascii="Times New Roman" w:hAnsi="Times New Roman" w:cs="Times New Roman"/>
          <w:sz w:val="24"/>
          <w:szCs w:val="24"/>
        </w:rPr>
        <w:t>for</w:t>
      </w:r>
      <w:r w:rsidR="0087039F">
        <w:rPr>
          <w:rFonts w:ascii="Times New Roman" w:hAnsi="Times New Roman" w:cs="Times New Roman"/>
          <w:sz w:val="24"/>
          <w:szCs w:val="24"/>
        </w:rPr>
        <w:t xml:space="preserve"> their particular jural purposes. </w:t>
      </w:r>
    </w:p>
    <w:p w:rsidR="0087039F" w:rsidRDefault="0087039F" w:rsidP="00F22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Bahanna’s emphasis that cu</w:t>
      </w:r>
      <w:r w:rsidR="007152EE">
        <w:rPr>
          <w:rFonts w:ascii="Times New Roman" w:hAnsi="Times New Roman" w:cs="Times New Roman"/>
          <w:sz w:val="24"/>
          <w:szCs w:val="24"/>
        </w:rPr>
        <w:t xml:space="preserve">stoms have be overtly stated for their distinct use contradicts his own study on the Nigerian Tiv. The findings from the study indicates that the Tiv lacked overt restatement of the customs and their specific application in the justice process yet they </w:t>
      </w:r>
      <w:r w:rsidR="00047E39">
        <w:rPr>
          <w:rFonts w:ascii="Times New Roman" w:hAnsi="Times New Roman" w:cs="Times New Roman"/>
          <w:sz w:val="24"/>
          <w:szCs w:val="24"/>
        </w:rPr>
        <w:t>would still rely on them for judgments. Similar situations also exist in other jurisdiction where judges have to balance between moral applications and the law. The law often gives a judge a leeway to make her or his inter</w:t>
      </w:r>
      <w:r w:rsidR="003C1A75">
        <w:rPr>
          <w:rFonts w:ascii="Times New Roman" w:hAnsi="Times New Roman" w:cs="Times New Roman"/>
          <w:sz w:val="24"/>
          <w:szCs w:val="24"/>
        </w:rPr>
        <w:t>pretation which are more often than not based on customs. The moral persuasion thus plays a critical role in influencing the judge’s decisions even in circumstances where they are not overtly stated in the legal framework. Essentially, Ba</w:t>
      </w:r>
      <w:r w:rsidR="00B10130">
        <w:rPr>
          <w:rFonts w:ascii="Times New Roman" w:hAnsi="Times New Roman" w:cs="Times New Roman"/>
          <w:sz w:val="24"/>
          <w:szCs w:val="24"/>
        </w:rPr>
        <w:t>hanna’s insistence on the existence of clearly defined roles of the customs to make it applicable in legal institutions downplays their impact on the judges’ perceptions.</w:t>
      </w:r>
    </w:p>
    <w:p w:rsidR="00B10130" w:rsidRDefault="00B10130" w:rsidP="00F22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Paul Bahanna’s model of double institutionalization in explaining the concept of law has both merits and demerits. Its merits is fundamentally on the fact that it recognizes that laws often go beyond th</w:t>
      </w:r>
      <w:r w:rsidR="004F1D3C">
        <w:rPr>
          <w:rFonts w:ascii="Times New Roman" w:hAnsi="Times New Roman" w:cs="Times New Roman"/>
          <w:sz w:val="24"/>
          <w:szCs w:val="24"/>
        </w:rPr>
        <w:t xml:space="preserve">e socio-cultural boundaries. On the other hand, he fails to appreciate the impact of customs and norms on individual judge’s perception in the interpretation of the laws. </w:t>
      </w:r>
    </w:p>
    <w:p w:rsidR="00CE102F" w:rsidRDefault="00CE102F" w:rsidP="00F229EA">
      <w:pPr>
        <w:spacing w:line="480" w:lineRule="auto"/>
        <w:ind w:firstLine="720"/>
        <w:rPr>
          <w:rFonts w:ascii="Times New Roman" w:hAnsi="Times New Roman" w:cs="Times New Roman"/>
          <w:sz w:val="24"/>
          <w:szCs w:val="24"/>
        </w:rPr>
      </w:pPr>
    </w:p>
    <w:p w:rsidR="00CE102F" w:rsidRDefault="00CE102F" w:rsidP="00F229EA">
      <w:pPr>
        <w:spacing w:line="480" w:lineRule="auto"/>
        <w:ind w:firstLine="720"/>
        <w:rPr>
          <w:rFonts w:ascii="Times New Roman" w:hAnsi="Times New Roman" w:cs="Times New Roman"/>
          <w:sz w:val="24"/>
          <w:szCs w:val="24"/>
        </w:rPr>
      </w:pPr>
    </w:p>
    <w:p w:rsidR="00CE102F" w:rsidRDefault="00CE102F" w:rsidP="00F229EA">
      <w:pPr>
        <w:spacing w:line="480" w:lineRule="auto"/>
        <w:ind w:firstLine="720"/>
        <w:rPr>
          <w:rFonts w:ascii="Times New Roman" w:hAnsi="Times New Roman" w:cs="Times New Roman"/>
          <w:sz w:val="24"/>
          <w:szCs w:val="24"/>
        </w:rPr>
      </w:pPr>
    </w:p>
    <w:p w:rsidR="00CE102F" w:rsidRDefault="00CE102F" w:rsidP="00F229EA">
      <w:pPr>
        <w:spacing w:line="480" w:lineRule="auto"/>
        <w:ind w:firstLine="720"/>
        <w:rPr>
          <w:rFonts w:ascii="Times New Roman" w:hAnsi="Times New Roman" w:cs="Times New Roman"/>
          <w:sz w:val="24"/>
          <w:szCs w:val="24"/>
        </w:rPr>
      </w:pPr>
    </w:p>
    <w:p w:rsidR="00CE102F" w:rsidRDefault="00CE102F" w:rsidP="00CE10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E102F" w:rsidRDefault="00CE102F" w:rsidP="00CE102F">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Bahanna, P. (n.d.). The Differing Realms of Law . </w:t>
      </w:r>
      <w:r>
        <w:rPr>
          <w:i/>
          <w:iCs/>
          <w:noProof/>
        </w:rPr>
        <w:t>Northwestern University</w:t>
      </w:r>
      <w:r>
        <w:rPr>
          <w:noProof/>
        </w:rPr>
        <w:t>.</w:t>
      </w:r>
    </w:p>
    <w:p w:rsidR="00CE102F" w:rsidRDefault="00CE102F" w:rsidP="00CE102F">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F229EA" w:rsidRPr="00F229EA" w:rsidRDefault="00F229EA" w:rsidP="00F229EA">
      <w:pPr>
        <w:jc w:val="center"/>
        <w:rPr>
          <w:rFonts w:ascii="Times New Roman" w:hAnsi="Times New Roman" w:cs="Times New Roman"/>
          <w:sz w:val="24"/>
          <w:szCs w:val="24"/>
        </w:rPr>
      </w:pPr>
    </w:p>
    <w:sectPr w:rsidR="00F229EA" w:rsidRPr="00F229EA" w:rsidSect="00F229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879" w:rsidRDefault="007D3879" w:rsidP="00F229EA">
      <w:pPr>
        <w:spacing w:after="0" w:line="240" w:lineRule="auto"/>
      </w:pPr>
      <w:r>
        <w:separator/>
      </w:r>
    </w:p>
  </w:endnote>
  <w:endnote w:type="continuationSeparator" w:id="0">
    <w:p w:rsidR="007D3879" w:rsidRDefault="007D3879" w:rsidP="00F22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879" w:rsidRDefault="007D3879" w:rsidP="00F229EA">
      <w:pPr>
        <w:spacing w:after="0" w:line="240" w:lineRule="auto"/>
      </w:pPr>
      <w:r>
        <w:separator/>
      </w:r>
    </w:p>
  </w:footnote>
  <w:footnote w:type="continuationSeparator" w:id="0">
    <w:p w:rsidR="007D3879" w:rsidRDefault="007D3879" w:rsidP="00F22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9EA" w:rsidRPr="00F229EA" w:rsidRDefault="00F229EA">
    <w:pPr>
      <w:pStyle w:val="Header"/>
      <w:rPr>
        <w:rFonts w:ascii="Times New Roman" w:hAnsi="Times New Roman" w:cs="Times New Roman"/>
        <w:sz w:val="24"/>
        <w:szCs w:val="24"/>
      </w:rPr>
    </w:pPr>
    <w:r>
      <w:rPr>
        <w:rFonts w:ascii="Times New Roman" w:hAnsi="Times New Roman" w:cs="Times New Roman"/>
        <w:sz w:val="24"/>
        <w:szCs w:val="24"/>
      </w:rPr>
      <w:t xml:space="preserve">Double Institutionalization </w:t>
    </w:r>
    <w:r>
      <w:rPr>
        <w:rFonts w:ascii="Times New Roman" w:hAnsi="Times New Roman" w:cs="Times New Roman"/>
        <w:sz w:val="24"/>
        <w:szCs w:val="24"/>
      </w:rPr>
      <w:tab/>
    </w:r>
    <w:r>
      <w:rPr>
        <w:rFonts w:ascii="Times New Roman" w:hAnsi="Times New Roman" w:cs="Times New Roman"/>
        <w:sz w:val="24"/>
        <w:szCs w:val="24"/>
      </w:rPr>
      <w:tab/>
    </w:r>
    <w:r w:rsidRPr="00F229EA">
      <w:rPr>
        <w:rFonts w:ascii="Times New Roman" w:hAnsi="Times New Roman" w:cs="Times New Roman"/>
        <w:sz w:val="24"/>
        <w:szCs w:val="24"/>
      </w:rPr>
      <w:fldChar w:fldCharType="begin"/>
    </w:r>
    <w:r w:rsidRPr="00F229EA">
      <w:rPr>
        <w:rFonts w:ascii="Times New Roman" w:hAnsi="Times New Roman" w:cs="Times New Roman"/>
        <w:sz w:val="24"/>
        <w:szCs w:val="24"/>
      </w:rPr>
      <w:instrText xml:space="preserve"> PAGE   \* MERGEFORMAT </w:instrText>
    </w:r>
    <w:r w:rsidRPr="00F229EA">
      <w:rPr>
        <w:rFonts w:ascii="Times New Roman" w:hAnsi="Times New Roman" w:cs="Times New Roman"/>
        <w:sz w:val="24"/>
        <w:szCs w:val="24"/>
      </w:rPr>
      <w:fldChar w:fldCharType="separate"/>
    </w:r>
    <w:r w:rsidR="00CE102F">
      <w:rPr>
        <w:rFonts w:ascii="Times New Roman" w:hAnsi="Times New Roman" w:cs="Times New Roman"/>
        <w:noProof/>
        <w:sz w:val="24"/>
        <w:szCs w:val="24"/>
      </w:rPr>
      <w:t>4</w:t>
    </w:r>
    <w:r w:rsidRPr="00F229E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9EA" w:rsidRPr="00F229EA" w:rsidRDefault="00F229EA">
    <w:pPr>
      <w:pStyle w:val="Header"/>
      <w:rPr>
        <w:rFonts w:ascii="Times New Roman" w:hAnsi="Times New Roman" w:cs="Times New Roman"/>
        <w:sz w:val="24"/>
        <w:szCs w:val="24"/>
      </w:rPr>
    </w:pPr>
    <w:r>
      <w:rPr>
        <w:rFonts w:ascii="Times New Roman" w:hAnsi="Times New Roman" w:cs="Times New Roman"/>
        <w:sz w:val="24"/>
        <w:szCs w:val="24"/>
      </w:rPr>
      <w:t xml:space="preserve">Running Head:  Double Institutionalization </w:t>
    </w:r>
    <w:r>
      <w:rPr>
        <w:rFonts w:ascii="Times New Roman" w:hAnsi="Times New Roman" w:cs="Times New Roman"/>
        <w:sz w:val="24"/>
        <w:szCs w:val="24"/>
      </w:rPr>
      <w:tab/>
    </w:r>
    <w:r>
      <w:rPr>
        <w:rFonts w:ascii="Times New Roman" w:hAnsi="Times New Roman" w:cs="Times New Roman"/>
        <w:sz w:val="24"/>
        <w:szCs w:val="24"/>
      </w:rPr>
      <w:tab/>
    </w:r>
    <w:r w:rsidRPr="00F229EA">
      <w:rPr>
        <w:rFonts w:ascii="Times New Roman" w:hAnsi="Times New Roman" w:cs="Times New Roman"/>
        <w:sz w:val="24"/>
        <w:szCs w:val="24"/>
      </w:rPr>
      <w:fldChar w:fldCharType="begin"/>
    </w:r>
    <w:r w:rsidRPr="00F229EA">
      <w:rPr>
        <w:rFonts w:ascii="Times New Roman" w:hAnsi="Times New Roman" w:cs="Times New Roman"/>
        <w:sz w:val="24"/>
        <w:szCs w:val="24"/>
      </w:rPr>
      <w:instrText xml:space="preserve"> PAGE   \* MERGEFORMAT </w:instrText>
    </w:r>
    <w:r w:rsidRPr="00F229EA">
      <w:rPr>
        <w:rFonts w:ascii="Times New Roman" w:hAnsi="Times New Roman" w:cs="Times New Roman"/>
        <w:sz w:val="24"/>
        <w:szCs w:val="24"/>
      </w:rPr>
      <w:fldChar w:fldCharType="separate"/>
    </w:r>
    <w:r w:rsidR="0081268E">
      <w:rPr>
        <w:rFonts w:ascii="Times New Roman" w:hAnsi="Times New Roman" w:cs="Times New Roman"/>
        <w:noProof/>
        <w:sz w:val="24"/>
        <w:szCs w:val="24"/>
      </w:rPr>
      <w:t>1</w:t>
    </w:r>
    <w:r w:rsidRPr="00F229E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EA"/>
    <w:rsid w:val="00047E39"/>
    <w:rsid w:val="00141B35"/>
    <w:rsid w:val="003C1A75"/>
    <w:rsid w:val="0041375D"/>
    <w:rsid w:val="00471B24"/>
    <w:rsid w:val="004B15DE"/>
    <w:rsid w:val="004F1D3C"/>
    <w:rsid w:val="007152EE"/>
    <w:rsid w:val="00796E8E"/>
    <w:rsid w:val="007D3879"/>
    <w:rsid w:val="0081268E"/>
    <w:rsid w:val="0087039F"/>
    <w:rsid w:val="00941FF7"/>
    <w:rsid w:val="00B10130"/>
    <w:rsid w:val="00BC6251"/>
    <w:rsid w:val="00C03E36"/>
    <w:rsid w:val="00CE102F"/>
    <w:rsid w:val="00D90965"/>
    <w:rsid w:val="00D966C4"/>
    <w:rsid w:val="00E1371F"/>
    <w:rsid w:val="00F22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C0014-17C4-4FF7-BE5C-3D1D3309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EA"/>
  </w:style>
  <w:style w:type="paragraph" w:styleId="Footer">
    <w:name w:val="footer"/>
    <w:basedOn w:val="Normal"/>
    <w:link w:val="FooterChar"/>
    <w:uiPriority w:val="99"/>
    <w:unhideWhenUsed/>
    <w:rsid w:val="00F22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EA"/>
  </w:style>
  <w:style w:type="paragraph" w:styleId="Bibliography">
    <w:name w:val="Bibliography"/>
    <w:basedOn w:val="Normal"/>
    <w:next w:val="Normal"/>
    <w:uiPriority w:val="37"/>
    <w:unhideWhenUsed/>
    <w:rsid w:val="00CE1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80642">
      <w:bodyDiv w:val="1"/>
      <w:marLeft w:val="0"/>
      <w:marRight w:val="0"/>
      <w:marTop w:val="0"/>
      <w:marBottom w:val="0"/>
      <w:divBdr>
        <w:top w:val="none" w:sz="0" w:space="0" w:color="auto"/>
        <w:left w:val="none" w:sz="0" w:space="0" w:color="auto"/>
        <w:bottom w:val="none" w:sz="0" w:space="0" w:color="auto"/>
        <w:right w:val="none" w:sz="0" w:space="0" w:color="auto"/>
      </w:divBdr>
    </w:div>
    <w:div w:id="37122258">
      <w:bodyDiv w:val="1"/>
      <w:marLeft w:val="0"/>
      <w:marRight w:val="0"/>
      <w:marTop w:val="0"/>
      <w:marBottom w:val="0"/>
      <w:divBdr>
        <w:top w:val="none" w:sz="0" w:space="0" w:color="auto"/>
        <w:left w:val="none" w:sz="0" w:space="0" w:color="auto"/>
        <w:bottom w:val="none" w:sz="0" w:space="0" w:color="auto"/>
        <w:right w:val="none" w:sz="0" w:space="0" w:color="auto"/>
      </w:divBdr>
    </w:div>
    <w:div w:id="703529418">
      <w:bodyDiv w:val="1"/>
      <w:marLeft w:val="0"/>
      <w:marRight w:val="0"/>
      <w:marTop w:val="0"/>
      <w:marBottom w:val="0"/>
      <w:divBdr>
        <w:top w:val="none" w:sz="0" w:space="0" w:color="auto"/>
        <w:left w:val="none" w:sz="0" w:space="0" w:color="auto"/>
        <w:bottom w:val="none" w:sz="0" w:space="0" w:color="auto"/>
        <w:right w:val="none" w:sz="0" w:space="0" w:color="auto"/>
      </w:divBdr>
    </w:div>
    <w:div w:id="778187774">
      <w:bodyDiv w:val="1"/>
      <w:marLeft w:val="0"/>
      <w:marRight w:val="0"/>
      <w:marTop w:val="0"/>
      <w:marBottom w:val="0"/>
      <w:divBdr>
        <w:top w:val="none" w:sz="0" w:space="0" w:color="auto"/>
        <w:left w:val="none" w:sz="0" w:space="0" w:color="auto"/>
        <w:bottom w:val="none" w:sz="0" w:space="0" w:color="auto"/>
        <w:right w:val="none" w:sz="0" w:space="0" w:color="auto"/>
      </w:divBdr>
    </w:div>
    <w:div w:id="952442691">
      <w:bodyDiv w:val="1"/>
      <w:marLeft w:val="0"/>
      <w:marRight w:val="0"/>
      <w:marTop w:val="0"/>
      <w:marBottom w:val="0"/>
      <w:divBdr>
        <w:top w:val="none" w:sz="0" w:space="0" w:color="auto"/>
        <w:left w:val="none" w:sz="0" w:space="0" w:color="auto"/>
        <w:bottom w:val="none" w:sz="0" w:space="0" w:color="auto"/>
        <w:right w:val="none" w:sz="0" w:space="0" w:color="auto"/>
      </w:divBdr>
    </w:div>
    <w:div w:id="1970820579">
      <w:bodyDiv w:val="1"/>
      <w:marLeft w:val="0"/>
      <w:marRight w:val="0"/>
      <w:marTop w:val="0"/>
      <w:marBottom w:val="0"/>
      <w:divBdr>
        <w:top w:val="none" w:sz="0" w:space="0" w:color="auto"/>
        <w:left w:val="none" w:sz="0" w:space="0" w:color="auto"/>
        <w:bottom w:val="none" w:sz="0" w:space="0" w:color="auto"/>
        <w:right w:val="none" w:sz="0" w:space="0" w:color="auto"/>
      </w:divBdr>
    </w:div>
    <w:div w:id="198412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Pau</b:Tag>
    <b:SourceType>JournalArticle</b:SourceType>
    <b:Guid>{DF31255D-DBC4-4269-B0BA-91D1B8FCA0B4}</b:Guid>
    <b:Author>
      <b:Author>
        <b:NameList>
          <b:Person>
            <b:Last>Bahanna</b:Last>
            <b:First>Paul</b:First>
          </b:Person>
        </b:NameList>
      </b:Author>
    </b:Author>
    <b:Title>The Differing Realms of Law </b:Title>
    <b:JournalName>Northwestern University</b:JournalName>
    <b:RefOrder>1</b:RefOrder>
  </b:Source>
</b:Sources>
</file>

<file path=customXml/itemProps1.xml><?xml version="1.0" encoding="utf-8"?>
<ds:datastoreItem xmlns:ds="http://schemas.openxmlformats.org/officeDocument/2006/customXml" ds:itemID="{E88F9D4E-34BC-495B-86C2-2B69E29C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5</cp:revision>
  <dcterms:created xsi:type="dcterms:W3CDTF">2019-02-06T19:58:00Z</dcterms:created>
  <dcterms:modified xsi:type="dcterms:W3CDTF">2019-02-06T21:46:00Z</dcterms:modified>
</cp:coreProperties>
</file>