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1B7D76">
      <w:pPr>
        <w:rPr>
          <w:rFonts w:ascii="Times New Roman" w:hAnsi="Times New Roman" w:cs="Times New Roman"/>
          <w:sz w:val="24"/>
          <w:szCs w:val="24"/>
        </w:rPr>
      </w:pPr>
      <w:r>
        <w:rPr>
          <w:rFonts w:ascii="Times New Roman" w:hAnsi="Times New Roman" w:cs="Times New Roman"/>
          <w:sz w:val="24"/>
          <w:szCs w:val="24"/>
        </w:rPr>
        <w:t>Name</w:t>
      </w:r>
    </w:p>
    <w:p w:rsidR="00CD35BE" w:rsidRDefault="001B7D76">
      <w:pPr>
        <w:rPr>
          <w:rFonts w:ascii="Times New Roman" w:hAnsi="Times New Roman" w:cs="Times New Roman"/>
          <w:sz w:val="24"/>
          <w:szCs w:val="24"/>
        </w:rPr>
      </w:pPr>
      <w:r>
        <w:rPr>
          <w:rFonts w:ascii="Times New Roman" w:hAnsi="Times New Roman" w:cs="Times New Roman"/>
          <w:sz w:val="24"/>
          <w:szCs w:val="24"/>
        </w:rPr>
        <w:t>Instructor</w:t>
      </w:r>
    </w:p>
    <w:p w:rsidR="00CD35BE" w:rsidRDefault="001B7D76">
      <w:pPr>
        <w:rPr>
          <w:rFonts w:ascii="Times New Roman" w:hAnsi="Times New Roman" w:cs="Times New Roman"/>
          <w:sz w:val="24"/>
          <w:szCs w:val="24"/>
        </w:rPr>
      </w:pPr>
      <w:r>
        <w:rPr>
          <w:rFonts w:ascii="Times New Roman" w:hAnsi="Times New Roman" w:cs="Times New Roman"/>
          <w:sz w:val="24"/>
          <w:szCs w:val="24"/>
        </w:rPr>
        <w:t>Course</w:t>
      </w:r>
    </w:p>
    <w:p w:rsidR="00CD35BE" w:rsidRDefault="001B7D76">
      <w:pPr>
        <w:rPr>
          <w:rFonts w:ascii="Times New Roman" w:hAnsi="Times New Roman" w:cs="Times New Roman"/>
          <w:sz w:val="24"/>
          <w:szCs w:val="24"/>
        </w:rPr>
      </w:pPr>
      <w:r>
        <w:rPr>
          <w:rFonts w:ascii="Times New Roman" w:hAnsi="Times New Roman" w:cs="Times New Roman"/>
          <w:sz w:val="24"/>
          <w:szCs w:val="24"/>
        </w:rPr>
        <w:t>Date</w:t>
      </w:r>
    </w:p>
    <w:p w:rsidR="00CD35BE" w:rsidRDefault="001B7D76" w:rsidP="00CD35BE">
      <w:pPr>
        <w:jc w:val="center"/>
        <w:rPr>
          <w:rFonts w:ascii="Times New Roman" w:hAnsi="Times New Roman" w:cs="Times New Roman"/>
          <w:sz w:val="24"/>
          <w:szCs w:val="24"/>
        </w:rPr>
      </w:pPr>
      <w:r>
        <w:rPr>
          <w:rFonts w:ascii="Times New Roman" w:hAnsi="Times New Roman" w:cs="Times New Roman"/>
          <w:sz w:val="24"/>
          <w:szCs w:val="24"/>
        </w:rPr>
        <w:t xml:space="preserve">The Lord of the Rings </w:t>
      </w:r>
    </w:p>
    <w:p w:rsidR="00F63456" w:rsidRDefault="001B7D76" w:rsidP="00C42E56">
      <w:pPr>
        <w:spacing w:line="480" w:lineRule="auto"/>
        <w:ind w:firstLine="720"/>
        <w:rPr>
          <w:rFonts w:ascii="Times New Roman" w:hAnsi="Times New Roman" w:cs="Times New Roman"/>
          <w:sz w:val="24"/>
          <w:szCs w:val="24"/>
        </w:rPr>
      </w:pPr>
      <w:r w:rsidRPr="00C42E56">
        <w:rPr>
          <w:rFonts w:ascii="Times New Roman" w:hAnsi="Times New Roman" w:cs="Times New Roman"/>
          <w:i/>
          <w:sz w:val="24"/>
          <w:szCs w:val="24"/>
        </w:rPr>
        <w:t xml:space="preserve">The Lord of Rings </w:t>
      </w:r>
      <w:r w:rsidR="00E87A6B">
        <w:rPr>
          <w:rFonts w:ascii="Times New Roman" w:hAnsi="Times New Roman" w:cs="Times New Roman"/>
          <w:sz w:val="24"/>
          <w:szCs w:val="24"/>
        </w:rPr>
        <w:t>by J.R.R Tolkien is one of the global best-selling novels with over 150 million copies sold</w:t>
      </w:r>
      <w:sdt>
        <w:sdtPr>
          <w:rPr>
            <w:rFonts w:ascii="Times New Roman" w:hAnsi="Times New Roman" w:cs="Times New Roman"/>
            <w:sz w:val="24"/>
            <w:szCs w:val="24"/>
          </w:rPr>
          <w:id w:val="-179743036"/>
          <w:citation/>
        </w:sdtPr>
        <w:sdtContent>
          <w:r w:rsidR="00FA393F">
            <w:rPr>
              <w:rFonts w:ascii="Times New Roman" w:hAnsi="Times New Roman" w:cs="Times New Roman"/>
              <w:sz w:val="24"/>
              <w:szCs w:val="24"/>
            </w:rPr>
            <w:fldChar w:fldCharType="begin"/>
          </w:r>
          <w:r w:rsidR="00FA393F">
            <w:rPr>
              <w:rFonts w:ascii="Times New Roman" w:hAnsi="Times New Roman" w:cs="Times New Roman"/>
              <w:sz w:val="24"/>
              <w:szCs w:val="24"/>
            </w:rPr>
            <w:instrText xml:space="preserve">CITATION WAG07 \l 1033 </w:instrText>
          </w:r>
          <w:r w:rsidR="00FA393F">
            <w:rPr>
              <w:rFonts w:ascii="Times New Roman" w:hAnsi="Times New Roman" w:cs="Times New Roman"/>
              <w:sz w:val="24"/>
              <w:szCs w:val="24"/>
            </w:rPr>
            <w:fldChar w:fldCharType="separate"/>
          </w:r>
          <w:r w:rsidR="00FA393F">
            <w:rPr>
              <w:rFonts w:ascii="Times New Roman" w:hAnsi="Times New Roman" w:cs="Times New Roman"/>
              <w:noProof/>
              <w:sz w:val="24"/>
              <w:szCs w:val="24"/>
            </w:rPr>
            <w:t xml:space="preserve"> </w:t>
          </w:r>
          <w:r w:rsidR="00FA393F" w:rsidRPr="00FA393F">
            <w:rPr>
              <w:rFonts w:ascii="Times New Roman" w:hAnsi="Times New Roman" w:cs="Times New Roman"/>
              <w:noProof/>
              <w:sz w:val="24"/>
              <w:szCs w:val="24"/>
            </w:rPr>
            <w:t>(WAGNER)</w:t>
          </w:r>
          <w:r w:rsidR="00FA393F">
            <w:rPr>
              <w:rFonts w:ascii="Times New Roman" w:hAnsi="Times New Roman" w:cs="Times New Roman"/>
              <w:sz w:val="24"/>
              <w:szCs w:val="24"/>
            </w:rPr>
            <w:fldChar w:fldCharType="end"/>
          </w:r>
        </w:sdtContent>
      </w:sdt>
      <w:r w:rsidR="00E87A6B">
        <w:rPr>
          <w:rFonts w:ascii="Times New Roman" w:hAnsi="Times New Roman" w:cs="Times New Roman"/>
          <w:sz w:val="24"/>
          <w:szCs w:val="24"/>
        </w:rPr>
        <w:t xml:space="preserve">. </w:t>
      </w:r>
      <w:r w:rsidR="00A03893">
        <w:rPr>
          <w:rFonts w:ascii="Times New Roman" w:hAnsi="Times New Roman" w:cs="Times New Roman"/>
          <w:sz w:val="24"/>
          <w:szCs w:val="24"/>
        </w:rPr>
        <w:t>The popularity of the nov</w:t>
      </w:r>
      <w:r w:rsidR="00B04497">
        <w:rPr>
          <w:rFonts w:ascii="Times New Roman" w:hAnsi="Times New Roman" w:cs="Times New Roman"/>
          <w:sz w:val="24"/>
          <w:szCs w:val="24"/>
        </w:rPr>
        <w:t>el is perhaps attributed to the character crossing popularly found in fol</w:t>
      </w:r>
      <w:r w:rsidR="00F772D3">
        <w:rPr>
          <w:rFonts w:ascii="Times New Roman" w:hAnsi="Times New Roman" w:cs="Times New Roman"/>
          <w:sz w:val="24"/>
          <w:szCs w:val="24"/>
        </w:rPr>
        <w:t xml:space="preserve">ktales. Even though the novel has roots in the medieval literature, </w:t>
      </w:r>
      <w:r w:rsidR="00AB0EC1">
        <w:rPr>
          <w:rFonts w:ascii="Times New Roman" w:hAnsi="Times New Roman" w:cs="Times New Roman"/>
          <w:sz w:val="24"/>
          <w:szCs w:val="24"/>
        </w:rPr>
        <w:t xml:space="preserve">the author puts the readers and characters on collision as he explores the moral dilemma in power and knowledge in the contemporary world. Tolkien wittingly </w:t>
      </w:r>
      <w:r w:rsidR="00792B39">
        <w:rPr>
          <w:rFonts w:ascii="Times New Roman" w:hAnsi="Times New Roman" w:cs="Times New Roman"/>
          <w:sz w:val="24"/>
          <w:szCs w:val="24"/>
        </w:rPr>
        <w:t>exposes these dilemmas by trying to create a balance between various choices human makes. These ch</w:t>
      </w:r>
      <w:r w:rsidR="009C61E9">
        <w:rPr>
          <w:rFonts w:ascii="Times New Roman" w:hAnsi="Times New Roman" w:cs="Times New Roman"/>
          <w:sz w:val="24"/>
          <w:szCs w:val="24"/>
        </w:rPr>
        <w:t xml:space="preserve">oices are guided by </w:t>
      </w:r>
      <w:r w:rsidR="00792B39">
        <w:rPr>
          <w:rFonts w:ascii="Times New Roman" w:hAnsi="Times New Roman" w:cs="Times New Roman"/>
          <w:sz w:val="24"/>
          <w:szCs w:val="24"/>
        </w:rPr>
        <w:t xml:space="preserve">ethical principles </w:t>
      </w:r>
      <w:r w:rsidR="00F34C46">
        <w:rPr>
          <w:rFonts w:ascii="Times New Roman" w:hAnsi="Times New Roman" w:cs="Times New Roman"/>
          <w:sz w:val="24"/>
          <w:szCs w:val="24"/>
        </w:rPr>
        <w:t xml:space="preserve">and personal beliefs on the significance of these choices. However, the ethical principles appreciate the dynamism of human nature thus remains flexible. </w:t>
      </w:r>
      <w:r w:rsidR="00FA393F">
        <w:rPr>
          <w:rFonts w:ascii="Times New Roman" w:hAnsi="Times New Roman" w:cs="Times New Roman"/>
          <w:sz w:val="24"/>
          <w:szCs w:val="24"/>
        </w:rPr>
        <w:t>Tolkien uses the</w:t>
      </w:r>
      <w:r w:rsidR="007F4551">
        <w:rPr>
          <w:rFonts w:ascii="Times New Roman" w:hAnsi="Times New Roman" w:cs="Times New Roman"/>
          <w:sz w:val="24"/>
          <w:szCs w:val="24"/>
        </w:rPr>
        <w:t xml:space="preserve"> Ruling Rings </w:t>
      </w:r>
      <w:r w:rsidR="00E552DF">
        <w:rPr>
          <w:rFonts w:ascii="Times New Roman" w:hAnsi="Times New Roman" w:cs="Times New Roman"/>
          <w:sz w:val="24"/>
          <w:szCs w:val="24"/>
        </w:rPr>
        <w:t xml:space="preserve">to explore politics both </w:t>
      </w:r>
      <w:r>
        <w:rPr>
          <w:rFonts w:ascii="Times New Roman" w:hAnsi="Times New Roman" w:cs="Times New Roman"/>
          <w:sz w:val="24"/>
          <w:szCs w:val="24"/>
        </w:rPr>
        <w:t xml:space="preserve">locally and globally. </w:t>
      </w:r>
      <w:r w:rsidRPr="00F63456">
        <w:rPr>
          <w:rFonts w:ascii="Times New Roman" w:hAnsi="Times New Roman" w:cs="Times New Roman"/>
          <w:i/>
          <w:sz w:val="24"/>
          <w:szCs w:val="24"/>
        </w:rPr>
        <w:t xml:space="preserve">The Lord of the Rings </w:t>
      </w:r>
      <w:r>
        <w:rPr>
          <w:rFonts w:ascii="Times New Roman" w:hAnsi="Times New Roman" w:cs="Times New Roman"/>
          <w:sz w:val="24"/>
          <w:szCs w:val="24"/>
        </w:rPr>
        <w:t>effectively uses the antagonists and protagonists characters to build the theme of politics and power play.</w:t>
      </w:r>
      <w:r w:rsidR="00FA393F">
        <w:rPr>
          <w:rFonts w:ascii="Times New Roman" w:hAnsi="Times New Roman" w:cs="Times New Roman"/>
          <w:sz w:val="24"/>
          <w:szCs w:val="24"/>
        </w:rPr>
        <w:t xml:space="preserve"> This paper looks at the dominant themes and characterization in the novel. </w:t>
      </w:r>
    </w:p>
    <w:p w:rsidR="00C42E56" w:rsidRDefault="001B7D76" w:rsidP="00C42E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J.R.R Tolkien sets the </w:t>
      </w:r>
      <w:r>
        <w:rPr>
          <w:rFonts w:ascii="Times New Roman" w:hAnsi="Times New Roman" w:cs="Times New Roman"/>
          <w:sz w:val="24"/>
          <w:szCs w:val="24"/>
        </w:rPr>
        <w:t>entire book on the power play among various Power Rings and their attempts to conquer and take control of the entire Middle-earth. The story st</w:t>
      </w:r>
      <w:r w:rsidR="00CA4831">
        <w:rPr>
          <w:rFonts w:ascii="Times New Roman" w:hAnsi="Times New Roman" w:cs="Times New Roman"/>
          <w:sz w:val="24"/>
          <w:szCs w:val="24"/>
        </w:rPr>
        <w:t xml:space="preserve">arts with a relative calm in the Hobbit land called the Shire. It the then pass across the Middle-earth following the trails of the "War of the Rings" through various characters like Samwise "Sam" Gamgee, Frodo Baggins, </w:t>
      </w:r>
      <w:r w:rsidR="00CA4831" w:rsidRPr="00CA4831">
        <w:rPr>
          <w:rFonts w:ascii="Times New Roman" w:hAnsi="Times New Roman" w:cs="Times New Roman"/>
          <w:sz w:val="24"/>
          <w:szCs w:val="24"/>
        </w:rPr>
        <w:t>Peregrin "Pippin" Took</w:t>
      </w:r>
      <w:r w:rsidR="00CA4831">
        <w:rPr>
          <w:rFonts w:ascii="Times New Roman" w:hAnsi="Times New Roman" w:cs="Times New Roman"/>
          <w:sz w:val="24"/>
          <w:szCs w:val="24"/>
        </w:rPr>
        <w:t xml:space="preserve">, and </w:t>
      </w:r>
      <w:r w:rsidR="00CA4831" w:rsidRPr="00CA4831">
        <w:rPr>
          <w:rFonts w:ascii="Times New Roman" w:hAnsi="Times New Roman" w:cs="Times New Roman"/>
          <w:sz w:val="24"/>
          <w:szCs w:val="24"/>
        </w:rPr>
        <w:t>Meriadoc "Merry" Brandybuck</w:t>
      </w:r>
      <w:r w:rsidR="00CA4831">
        <w:rPr>
          <w:rFonts w:ascii="Times New Roman" w:hAnsi="Times New Roman" w:cs="Times New Roman"/>
          <w:sz w:val="24"/>
          <w:szCs w:val="24"/>
        </w:rPr>
        <w:t xml:space="preserve">. </w:t>
      </w:r>
      <w:r w:rsidR="007F5490">
        <w:rPr>
          <w:rFonts w:ascii="Times New Roman" w:hAnsi="Times New Roman" w:cs="Times New Roman"/>
          <w:sz w:val="24"/>
          <w:szCs w:val="24"/>
        </w:rPr>
        <w:t>Also, the author takes on the allies of the hobbit chief like Aragon, the men, Ranger of the North, the captains, and the wizard among others</w:t>
      </w:r>
      <w:sdt>
        <w:sdtPr>
          <w:rPr>
            <w:rFonts w:ascii="Times New Roman" w:hAnsi="Times New Roman" w:cs="Times New Roman"/>
            <w:sz w:val="24"/>
            <w:szCs w:val="24"/>
          </w:rPr>
          <w:id w:val="108797204"/>
          <w:citation/>
        </w:sdtPr>
        <w:sdtContent>
          <w:r w:rsidR="003E4206">
            <w:rPr>
              <w:rFonts w:ascii="Times New Roman" w:hAnsi="Times New Roman" w:cs="Times New Roman"/>
              <w:sz w:val="24"/>
              <w:szCs w:val="24"/>
            </w:rPr>
            <w:fldChar w:fldCharType="begin"/>
          </w:r>
          <w:r w:rsidR="003E4206">
            <w:rPr>
              <w:rFonts w:ascii="Times New Roman" w:hAnsi="Times New Roman" w:cs="Times New Roman"/>
              <w:sz w:val="24"/>
              <w:szCs w:val="24"/>
            </w:rPr>
            <w:instrText xml:space="preserve"> CITATION Fis16 \l 1033 </w:instrText>
          </w:r>
          <w:r w:rsidR="003E4206">
            <w:rPr>
              <w:rFonts w:ascii="Times New Roman" w:hAnsi="Times New Roman" w:cs="Times New Roman"/>
              <w:sz w:val="24"/>
              <w:szCs w:val="24"/>
            </w:rPr>
            <w:fldChar w:fldCharType="separate"/>
          </w:r>
          <w:r w:rsidR="003E4206">
            <w:rPr>
              <w:rFonts w:ascii="Times New Roman" w:hAnsi="Times New Roman" w:cs="Times New Roman"/>
              <w:noProof/>
              <w:sz w:val="24"/>
              <w:szCs w:val="24"/>
            </w:rPr>
            <w:t xml:space="preserve"> </w:t>
          </w:r>
          <w:r w:rsidR="003E4206" w:rsidRPr="003E4206">
            <w:rPr>
              <w:rFonts w:ascii="Times New Roman" w:hAnsi="Times New Roman" w:cs="Times New Roman"/>
              <w:noProof/>
              <w:sz w:val="24"/>
              <w:szCs w:val="24"/>
            </w:rPr>
            <w:t>(Jason)</w:t>
          </w:r>
          <w:r w:rsidR="003E4206">
            <w:rPr>
              <w:rFonts w:ascii="Times New Roman" w:hAnsi="Times New Roman" w:cs="Times New Roman"/>
              <w:sz w:val="24"/>
              <w:szCs w:val="24"/>
            </w:rPr>
            <w:fldChar w:fldCharType="end"/>
          </w:r>
        </w:sdtContent>
      </w:sdt>
      <w:r w:rsidR="007F5490">
        <w:rPr>
          <w:rFonts w:ascii="Times New Roman" w:hAnsi="Times New Roman" w:cs="Times New Roman"/>
          <w:sz w:val="24"/>
          <w:szCs w:val="24"/>
        </w:rPr>
        <w:t xml:space="preserve">. The hobbits are seemingly afraid of the ring as they believe it will corrupt their minds and infect them with an insatiable lust for power. On the </w:t>
      </w:r>
      <w:r w:rsidR="007F5490">
        <w:rPr>
          <w:rFonts w:ascii="Times New Roman" w:hAnsi="Times New Roman" w:cs="Times New Roman"/>
          <w:sz w:val="24"/>
          <w:szCs w:val="24"/>
        </w:rPr>
        <w:lastRenderedPageBreak/>
        <w:t xml:space="preserve">other hand, Frodo and Sam appear comfortable with it and even holds it for some time. </w:t>
      </w:r>
      <w:r w:rsidR="00FF15A6">
        <w:rPr>
          <w:rFonts w:ascii="Times New Roman" w:hAnsi="Times New Roman" w:cs="Times New Roman"/>
          <w:sz w:val="24"/>
          <w:szCs w:val="24"/>
        </w:rPr>
        <w:t>It is notable that the hobbits are too not immune from the influence of the power ring as depicted in the case of Sam and Frodo.</w:t>
      </w:r>
    </w:p>
    <w:p w:rsidR="00FF15A6" w:rsidRDefault="001B7D76" w:rsidP="00C42E56">
      <w:pPr>
        <w:spacing w:line="480" w:lineRule="auto"/>
        <w:ind w:firstLine="720"/>
        <w:rPr>
          <w:rFonts w:ascii="Times New Roman" w:hAnsi="Times New Roman" w:cs="Times New Roman"/>
          <w:sz w:val="24"/>
          <w:szCs w:val="24"/>
        </w:rPr>
      </w:pPr>
      <w:r>
        <w:rPr>
          <w:rFonts w:ascii="Times New Roman" w:hAnsi="Times New Roman" w:cs="Times New Roman"/>
          <w:sz w:val="24"/>
          <w:szCs w:val="24"/>
        </w:rPr>
        <w:t>Tolkien uses the ring symbolically to represent the exchange of power from one leader to another. L</w:t>
      </w:r>
      <w:r>
        <w:rPr>
          <w:rFonts w:ascii="Times New Roman" w:hAnsi="Times New Roman" w:cs="Times New Roman"/>
          <w:sz w:val="24"/>
          <w:szCs w:val="24"/>
        </w:rPr>
        <w:t xml:space="preserve">eaders react differently when they ascent to power with some getting corrupted with it thus end up doing unimaginable. </w:t>
      </w:r>
      <w:r w:rsidR="00E7261A">
        <w:rPr>
          <w:rFonts w:ascii="Times New Roman" w:hAnsi="Times New Roman" w:cs="Times New Roman"/>
          <w:sz w:val="24"/>
          <w:szCs w:val="24"/>
        </w:rPr>
        <w:t xml:space="preserve">The theme illustrated by this setting is </w:t>
      </w:r>
      <w:r w:rsidR="00CA1E0E">
        <w:rPr>
          <w:rFonts w:ascii="Times New Roman" w:hAnsi="Times New Roman" w:cs="Times New Roman"/>
          <w:sz w:val="24"/>
          <w:szCs w:val="24"/>
        </w:rPr>
        <w:t xml:space="preserve">different from medieval times and reflects the impact of power on contemporary leaders. In the past, it was believed that power revealed a person's character rather than corrupt them. </w:t>
      </w:r>
      <w:r w:rsidR="00F336F8">
        <w:rPr>
          <w:rFonts w:ascii="Times New Roman" w:hAnsi="Times New Roman" w:cs="Times New Roman"/>
          <w:sz w:val="24"/>
          <w:szCs w:val="24"/>
        </w:rPr>
        <w:t xml:space="preserve">The "ring" in this context symbolizes the seat of power and each character react differently when he holds it. For instance, it is evident that Sam's mind becomes absolutely corrupted with the taste of power. He tells </w:t>
      </w:r>
      <w:r w:rsidR="00F336F8" w:rsidRPr="00F336F8">
        <w:rPr>
          <w:rFonts w:ascii="Times New Roman" w:hAnsi="Times New Roman" w:cs="Times New Roman"/>
          <w:sz w:val="24"/>
          <w:szCs w:val="24"/>
        </w:rPr>
        <w:t>Galadrie</w:t>
      </w:r>
      <w:r w:rsidR="00F336F8">
        <w:rPr>
          <w:rFonts w:ascii="Times New Roman" w:hAnsi="Times New Roman" w:cs="Times New Roman"/>
          <w:sz w:val="24"/>
          <w:szCs w:val="24"/>
        </w:rPr>
        <w:t>l, “</w:t>
      </w:r>
      <w:r w:rsidR="00CB39F5" w:rsidRPr="00CB39F5">
        <w:rPr>
          <w:rFonts w:ascii="Times New Roman" w:hAnsi="Times New Roman" w:cs="Times New Roman"/>
          <w:sz w:val="24"/>
          <w:szCs w:val="24"/>
        </w:rPr>
        <w:t>I think my master was right. I wish you'd take his ring. You'd put things to rights. You'd make some folk pay for their dirty work</w:t>
      </w:r>
      <w:r w:rsidR="00F260F8">
        <w:rPr>
          <w:rFonts w:ascii="Times New Roman" w:hAnsi="Times New Roman" w:cs="Times New Roman"/>
          <w:sz w:val="24"/>
          <w:szCs w:val="24"/>
        </w:rPr>
        <w:t>.”</w:t>
      </w:r>
      <w:r w:rsidR="00CB39F5">
        <w:rPr>
          <w:rFonts w:ascii="Times New Roman" w:hAnsi="Times New Roman" w:cs="Times New Roman"/>
          <w:sz w:val="24"/>
          <w:szCs w:val="24"/>
        </w:rPr>
        <w:t xml:space="preserve">  From the statement, it is apparent that Sam's primary intention of having the ring at an accessible distance is to use to settle scores. Perhaps Tolkien uses Sam symbolically to </w:t>
      </w:r>
      <w:r w:rsidR="00BE662C">
        <w:rPr>
          <w:rFonts w:ascii="Times New Roman" w:hAnsi="Times New Roman" w:cs="Times New Roman"/>
          <w:sz w:val="24"/>
          <w:szCs w:val="24"/>
        </w:rPr>
        <w:t xml:space="preserve">represent the leaders that were using their powers to revenge against their enemies. Besides, it is notable that the book was </w:t>
      </w:r>
      <w:r w:rsidR="00ED6ABF">
        <w:rPr>
          <w:rFonts w:ascii="Times New Roman" w:hAnsi="Times New Roman" w:cs="Times New Roman"/>
          <w:sz w:val="24"/>
          <w:szCs w:val="24"/>
        </w:rPr>
        <w:t xml:space="preserve">written soon after the Second World War </w:t>
      </w:r>
      <w:r w:rsidR="005F7406">
        <w:rPr>
          <w:rFonts w:ascii="Times New Roman" w:hAnsi="Times New Roman" w:cs="Times New Roman"/>
          <w:sz w:val="24"/>
          <w:szCs w:val="24"/>
        </w:rPr>
        <w:t xml:space="preserve">and the realignment of the global power centers. Tolkien perhaps used Sam to depict the new global powers and their intentions to expand their influence. On the other hand, Galadriel comes out as a level-headed person </w:t>
      </w:r>
      <w:r w:rsidR="006A6F9F">
        <w:rPr>
          <w:rFonts w:ascii="Times New Roman" w:hAnsi="Times New Roman" w:cs="Times New Roman"/>
          <w:sz w:val="24"/>
          <w:szCs w:val="24"/>
        </w:rPr>
        <w:t>and give the soft and assertive reply "</w:t>
      </w:r>
      <w:r w:rsidR="00634660" w:rsidRPr="00634660">
        <w:rPr>
          <w:rFonts w:ascii="Times New Roman" w:hAnsi="Times New Roman" w:cs="Times New Roman"/>
          <w:sz w:val="24"/>
          <w:szCs w:val="24"/>
        </w:rPr>
        <w:t>I would—That is how it would begin, but it would not stop at that, alas!</w:t>
      </w:r>
      <w:r w:rsidR="00634660">
        <w:rPr>
          <w:rFonts w:ascii="Times New Roman" w:hAnsi="Times New Roman" w:cs="Times New Roman"/>
          <w:sz w:val="24"/>
          <w:szCs w:val="24"/>
        </w:rPr>
        <w:t xml:space="preserve">” He thus </w:t>
      </w:r>
      <w:r w:rsidR="005032BC">
        <w:rPr>
          <w:rFonts w:ascii="Times New Roman" w:hAnsi="Times New Roman" w:cs="Times New Roman"/>
          <w:sz w:val="24"/>
          <w:szCs w:val="24"/>
        </w:rPr>
        <w:t xml:space="preserve">dismisses Sam’s assertion and explains that power can easily get into a person mind and starts controlling him. </w:t>
      </w:r>
    </w:p>
    <w:p w:rsidR="00CF5056" w:rsidRDefault="001B7D76" w:rsidP="00C42E56">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 the auth</w:t>
      </w:r>
      <w:r>
        <w:rPr>
          <w:rFonts w:ascii="Times New Roman" w:hAnsi="Times New Roman" w:cs="Times New Roman"/>
          <w:sz w:val="24"/>
          <w:szCs w:val="24"/>
        </w:rPr>
        <w:t xml:space="preserve">or tries to portray the influence of power on different individuals, he seems not to have a clear picture of the exact impact. The characters in the book thus take differing reaction towards the ring with each category taking the extremes. Characters like </w:t>
      </w:r>
      <w:r>
        <w:rPr>
          <w:rFonts w:ascii="Times New Roman" w:hAnsi="Times New Roman" w:cs="Times New Roman"/>
          <w:sz w:val="24"/>
          <w:szCs w:val="24"/>
        </w:rPr>
        <w:t xml:space="preserve">Frodo </w:t>
      </w:r>
      <w:r>
        <w:rPr>
          <w:rFonts w:ascii="Times New Roman" w:hAnsi="Times New Roman" w:cs="Times New Roman"/>
          <w:sz w:val="24"/>
          <w:szCs w:val="24"/>
        </w:rPr>
        <w:lastRenderedPageBreak/>
        <w:t xml:space="preserve">and Sam shows open </w:t>
      </w:r>
      <w:r w:rsidR="0001423C">
        <w:rPr>
          <w:rFonts w:ascii="Times New Roman" w:hAnsi="Times New Roman" w:cs="Times New Roman"/>
          <w:sz w:val="24"/>
          <w:szCs w:val="24"/>
        </w:rPr>
        <w:t>love for power and subsequent manipulatio</w:t>
      </w:r>
      <w:r w:rsidR="00E23D8C">
        <w:rPr>
          <w:rFonts w:ascii="Times New Roman" w:hAnsi="Times New Roman" w:cs="Times New Roman"/>
          <w:sz w:val="24"/>
          <w:szCs w:val="24"/>
        </w:rPr>
        <w:t xml:space="preserve">n whereas others like Galadriel and Elrond resist the ring. The crossing of characters and pick on the extreme traits for each category is perhaps due to the varying philosophies on the impact of power on individuals. During medieval times, it was believed that power revealed the character of an individual rather than corrupt them. However, philosophers like Pilato </w:t>
      </w:r>
      <w:r w:rsidR="00F045F5">
        <w:rPr>
          <w:rFonts w:ascii="Times New Roman" w:hAnsi="Times New Roman" w:cs="Times New Roman"/>
          <w:sz w:val="24"/>
          <w:szCs w:val="24"/>
        </w:rPr>
        <w:t xml:space="preserve">did works that showed power does not only reveal a person's character but also corrupt their mind. Additionally, it is insatiable and the person will certainly want to expand his or her territory to achieve satisfaction. </w:t>
      </w:r>
      <w:r w:rsidR="00F045F5" w:rsidRPr="00F045F5">
        <w:rPr>
          <w:rFonts w:ascii="Times New Roman" w:hAnsi="Times New Roman" w:cs="Times New Roman"/>
          <w:i/>
          <w:sz w:val="24"/>
          <w:szCs w:val="24"/>
        </w:rPr>
        <w:t>“The Lord of the Rings”</w:t>
      </w:r>
      <w:r w:rsidR="00F045F5">
        <w:rPr>
          <w:rFonts w:ascii="Times New Roman" w:hAnsi="Times New Roman" w:cs="Times New Roman"/>
          <w:sz w:val="24"/>
          <w:szCs w:val="24"/>
        </w:rPr>
        <w:t xml:space="preserve"> is itself a philosophical book hence the cautious approach by the author. In essence, he is avoiding creating a picture that portrays him to lean on one side of philosophy on the impact of power.  </w:t>
      </w:r>
    </w:p>
    <w:p w:rsidR="00F045F5" w:rsidRDefault="001B7D76" w:rsidP="00C42E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theme that comes out strongly from the book is </w:t>
      </w:r>
      <w:r w:rsidR="006F02B9">
        <w:rPr>
          <w:rFonts w:ascii="Times New Roman" w:hAnsi="Times New Roman" w:cs="Times New Roman"/>
          <w:sz w:val="24"/>
          <w:szCs w:val="24"/>
        </w:rPr>
        <w:t xml:space="preserve">religion, particularly, Christianity. It is notable that the author does not make a direct reference to the religious figures, instead, he builds the characters to match the traits of key figures in Christian faith. Particularly, the traits of Frodo, Gandalf, and Aragon reflects Jesus who is the cornerstone of Christian beliefs. </w:t>
      </w:r>
      <w:r w:rsidR="00610D66">
        <w:rPr>
          <w:rFonts w:ascii="Times New Roman" w:hAnsi="Times New Roman" w:cs="Times New Roman"/>
          <w:sz w:val="24"/>
          <w:szCs w:val="24"/>
        </w:rPr>
        <w:t>Besides, other critics have argued that the trio exemplifies the leadership structure in the Old Testament with Gandalf being a prophet, Frodo (priest) and Aragorn a King</w:t>
      </w:r>
      <w:sdt>
        <w:sdtPr>
          <w:rPr>
            <w:rFonts w:ascii="Times New Roman" w:hAnsi="Times New Roman" w:cs="Times New Roman"/>
            <w:sz w:val="24"/>
            <w:szCs w:val="24"/>
          </w:rPr>
          <w:id w:val="-416634622"/>
          <w:citation/>
        </w:sdtPr>
        <w:sdtEndPr/>
        <w:sdtContent>
          <w:r w:rsidR="00FE2AC1">
            <w:rPr>
              <w:rFonts w:ascii="Times New Roman" w:hAnsi="Times New Roman" w:cs="Times New Roman"/>
              <w:sz w:val="24"/>
              <w:szCs w:val="24"/>
            </w:rPr>
            <w:fldChar w:fldCharType="begin"/>
          </w:r>
          <w:r w:rsidR="00FE2AC1">
            <w:rPr>
              <w:rFonts w:ascii="Times New Roman" w:hAnsi="Times New Roman" w:cs="Times New Roman"/>
              <w:sz w:val="24"/>
              <w:szCs w:val="24"/>
            </w:rPr>
            <w:instrText xml:space="preserve"> CITATION Ker10 \l 1033 </w:instrText>
          </w:r>
          <w:r w:rsidR="00FE2AC1">
            <w:rPr>
              <w:rFonts w:ascii="Times New Roman" w:hAnsi="Times New Roman" w:cs="Times New Roman"/>
              <w:sz w:val="24"/>
              <w:szCs w:val="24"/>
            </w:rPr>
            <w:fldChar w:fldCharType="separate"/>
          </w:r>
          <w:r w:rsidR="00FE2AC1">
            <w:rPr>
              <w:rFonts w:ascii="Times New Roman" w:hAnsi="Times New Roman" w:cs="Times New Roman"/>
              <w:noProof/>
              <w:sz w:val="24"/>
              <w:szCs w:val="24"/>
            </w:rPr>
            <w:t xml:space="preserve"> </w:t>
          </w:r>
          <w:r w:rsidR="00FE2AC1" w:rsidRPr="00FE2AC1">
            <w:rPr>
              <w:rFonts w:ascii="Times New Roman" w:hAnsi="Times New Roman" w:cs="Times New Roman"/>
              <w:noProof/>
              <w:sz w:val="24"/>
              <w:szCs w:val="24"/>
            </w:rPr>
            <w:t>(Paul)</w:t>
          </w:r>
          <w:r w:rsidR="00FE2AC1">
            <w:rPr>
              <w:rFonts w:ascii="Times New Roman" w:hAnsi="Times New Roman" w:cs="Times New Roman"/>
              <w:sz w:val="24"/>
              <w:szCs w:val="24"/>
            </w:rPr>
            <w:fldChar w:fldCharType="end"/>
          </w:r>
        </w:sdtContent>
      </w:sdt>
      <w:r w:rsidR="00610D66">
        <w:rPr>
          <w:rFonts w:ascii="Times New Roman" w:hAnsi="Times New Roman" w:cs="Times New Roman"/>
          <w:sz w:val="24"/>
          <w:szCs w:val="24"/>
        </w:rPr>
        <w:t>. According to Kreeft, the trio is more of the Old Testament power structure rather than the exemplification of Jesus</w:t>
      </w:r>
      <w:sdt>
        <w:sdtPr>
          <w:rPr>
            <w:rFonts w:ascii="Times New Roman" w:hAnsi="Times New Roman" w:cs="Times New Roman"/>
            <w:sz w:val="24"/>
            <w:szCs w:val="24"/>
          </w:rPr>
          <w:id w:val="427008273"/>
          <w:citation/>
        </w:sdtPr>
        <w:sdtEndPr/>
        <w:sdtContent>
          <w:r w:rsidR="00FE2AC1">
            <w:rPr>
              <w:rFonts w:ascii="Times New Roman" w:hAnsi="Times New Roman" w:cs="Times New Roman"/>
              <w:sz w:val="24"/>
              <w:szCs w:val="24"/>
            </w:rPr>
            <w:fldChar w:fldCharType="begin"/>
          </w:r>
          <w:r w:rsidR="00FE2AC1">
            <w:rPr>
              <w:rFonts w:ascii="Times New Roman" w:hAnsi="Times New Roman" w:cs="Times New Roman"/>
              <w:sz w:val="24"/>
              <w:szCs w:val="24"/>
            </w:rPr>
            <w:instrText xml:space="preserve"> CITATION Pet05 \l 1033 </w:instrText>
          </w:r>
          <w:r w:rsidR="00FE2AC1">
            <w:rPr>
              <w:rFonts w:ascii="Times New Roman" w:hAnsi="Times New Roman" w:cs="Times New Roman"/>
              <w:sz w:val="24"/>
              <w:szCs w:val="24"/>
            </w:rPr>
            <w:fldChar w:fldCharType="separate"/>
          </w:r>
          <w:r w:rsidR="00FE2AC1">
            <w:rPr>
              <w:rFonts w:ascii="Times New Roman" w:hAnsi="Times New Roman" w:cs="Times New Roman"/>
              <w:noProof/>
              <w:sz w:val="24"/>
              <w:szCs w:val="24"/>
            </w:rPr>
            <w:t xml:space="preserve"> </w:t>
          </w:r>
          <w:r w:rsidR="00FE2AC1" w:rsidRPr="00FE2AC1">
            <w:rPr>
              <w:rFonts w:ascii="Times New Roman" w:hAnsi="Times New Roman" w:cs="Times New Roman"/>
              <w:noProof/>
              <w:sz w:val="24"/>
              <w:szCs w:val="24"/>
            </w:rPr>
            <w:t>(Kreeft)</w:t>
          </w:r>
          <w:r w:rsidR="00FE2AC1">
            <w:rPr>
              <w:rFonts w:ascii="Times New Roman" w:hAnsi="Times New Roman" w:cs="Times New Roman"/>
              <w:sz w:val="24"/>
              <w:szCs w:val="24"/>
            </w:rPr>
            <w:fldChar w:fldCharType="end"/>
          </w:r>
        </w:sdtContent>
      </w:sdt>
      <w:r w:rsidR="00610D66">
        <w:rPr>
          <w:rFonts w:ascii="Times New Roman" w:hAnsi="Times New Roman" w:cs="Times New Roman"/>
          <w:sz w:val="24"/>
          <w:szCs w:val="24"/>
        </w:rPr>
        <w:t xml:space="preserve">. The Israelites in the Old Testament had a prophet, priest, and king who performed dependent but distinct roles. For instance, the kings often acted as political leaders and led their people to war whereas the prophets or priests were the intermediaries. God </w:t>
      </w:r>
      <w:r w:rsidR="00C7150D">
        <w:rPr>
          <w:rFonts w:ascii="Times New Roman" w:hAnsi="Times New Roman" w:cs="Times New Roman"/>
          <w:sz w:val="24"/>
          <w:szCs w:val="24"/>
        </w:rPr>
        <w:t>spoke to his people through His chosen prophets or priests. However, Kreeft omits the fact that the Old Testament does not have instances of people resurrecting.</w:t>
      </w:r>
    </w:p>
    <w:p w:rsidR="004314FF" w:rsidRDefault="001B7D76" w:rsidP="00C42E5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Tolkien uses Frodo to symbolize Jesus walking down to his place of crucifixion carrying the burden of the world on his cross</w:t>
      </w:r>
      <w:sdt>
        <w:sdtPr>
          <w:rPr>
            <w:rFonts w:ascii="Times New Roman" w:hAnsi="Times New Roman" w:cs="Times New Roman"/>
            <w:sz w:val="24"/>
            <w:szCs w:val="24"/>
          </w:rPr>
          <w:id w:val="-1803457901"/>
          <w:citation/>
        </w:sdtPr>
        <w:sdtContent>
          <w:r w:rsidR="00F260F8">
            <w:rPr>
              <w:rFonts w:ascii="Times New Roman" w:hAnsi="Times New Roman" w:cs="Times New Roman"/>
              <w:sz w:val="24"/>
              <w:szCs w:val="24"/>
            </w:rPr>
            <w:fldChar w:fldCharType="begin"/>
          </w:r>
          <w:r w:rsidR="00F260F8">
            <w:rPr>
              <w:rFonts w:ascii="Times New Roman" w:hAnsi="Times New Roman" w:cs="Times New Roman"/>
              <w:sz w:val="24"/>
              <w:szCs w:val="24"/>
            </w:rPr>
            <w:instrText xml:space="preserve"> CITATION NRa18 \l 1033 </w:instrText>
          </w:r>
          <w:r w:rsidR="00F260F8">
            <w:rPr>
              <w:rFonts w:ascii="Times New Roman" w:hAnsi="Times New Roman" w:cs="Times New Roman"/>
              <w:sz w:val="24"/>
              <w:szCs w:val="24"/>
            </w:rPr>
            <w:fldChar w:fldCharType="separate"/>
          </w:r>
          <w:r w:rsidR="00F260F8">
            <w:rPr>
              <w:rFonts w:ascii="Times New Roman" w:hAnsi="Times New Roman" w:cs="Times New Roman"/>
              <w:noProof/>
              <w:sz w:val="24"/>
              <w:szCs w:val="24"/>
            </w:rPr>
            <w:t xml:space="preserve"> </w:t>
          </w:r>
          <w:r w:rsidR="00F260F8" w:rsidRPr="00F260F8">
            <w:rPr>
              <w:rFonts w:ascii="Times New Roman" w:hAnsi="Times New Roman" w:cs="Times New Roman"/>
              <w:noProof/>
              <w:sz w:val="24"/>
              <w:szCs w:val="24"/>
            </w:rPr>
            <w:t>(Ravikumar and Chandrasekar)</w:t>
          </w:r>
          <w:r w:rsidR="00F260F8">
            <w:rPr>
              <w:rFonts w:ascii="Times New Roman" w:hAnsi="Times New Roman" w:cs="Times New Roman"/>
              <w:sz w:val="24"/>
              <w:szCs w:val="24"/>
            </w:rPr>
            <w:fldChar w:fldCharType="end"/>
          </w:r>
        </w:sdtContent>
      </w:sdt>
      <w:r>
        <w:rPr>
          <w:rFonts w:ascii="Times New Roman" w:hAnsi="Times New Roman" w:cs="Times New Roman"/>
          <w:sz w:val="24"/>
          <w:szCs w:val="24"/>
        </w:rPr>
        <w:t xml:space="preserve">. Similarly, Frodo bears the world's evil as he walks to Mount Doom Via Dolorosa. Frodo’s journey </w:t>
      </w:r>
      <w:r w:rsidR="007F25D9">
        <w:rPr>
          <w:rFonts w:ascii="Times New Roman" w:hAnsi="Times New Roman" w:cs="Times New Roman"/>
          <w:sz w:val="24"/>
          <w:szCs w:val="24"/>
        </w:rPr>
        <w:t>mirrors that of Jesus as he walked to Golgotha for his crucifixion. The Ring becomes heavier for Frodo as he approaches the Cracks of Doom which reflects Jesus experience with Simon of Cyrene coming to his rescue just like Samwise Gamgee coming Frodo’s aid</w:t>
      </w:r>
      <w:sdt>
        <w:sdtPr>
          <w:rPr>
            <w:rFonts w:ascii="Times New Roman" w:hAnsi="Times New Roman" w:cs="Times New Roman"/>
            <w:sz w:val="24"/>
            <w:szCs w:val="24"/>
          </w:rPr>
          <w:id w:val="-870226708"/>
          <w:citation/>
        </w:sdtPr>
        <w:sdtContent>
          <w:r w:rsidR="00F260F8">
            <w:rPr>
              <w:rFonts w:ascii="Times New Roman" w:hAnsi="Times New Roman" w:cs="Times New Roman"/>
              <w:sz w:val="24"/>
              <w:szCs w:val="24"/>
            </w:rPr>
            <w:fldChar w:fldCharType="begin"/>
          </w:r>
          <w:r w:rsidR="00F260F8">
            <w:rPr>
              <w:rFonts w:ascii="Times New Roman" w:hAnsi="Times New Roman" w:cs="Times New Roman"/>
              <w:sz w:val="24"/>
              <w:szCs w:val="24"/>
            </w:rPr>
            <w:instrText xml:space="preserve"> CITATION NRa18 \l 1033 </w:instrText>
          </w:r>
          <w:r w:rsidR="00F260F8">
            <w:rPr>
              <w:rFonts w:ascii="Times New Roman" w:hAnsi="Times New Roman" w:cs="Times New Roman"/>
              <w:sz w:val="24"/>
              <w:szCs w:val="24"/>
            </w:rPr>
            <w:fldChar w:fldCharType="separate"/>
          </w:r>
          <w:r w:rsidR="00F260F8">
            <w:rPr>
              <w:rFonts w:ascii="Times New Roman" w:hAnsi="Times New Roman" w:cs="Times New Roman"/>
              <w:noProof/>
              <w:sz w:val="24"/>
              <w:szCs w:val="24"/>
            </w:rPr>
            <w:t xml:space="preserve"> </w:t>
          </w:r>
          <w:r w:rsidR="00F260F8" w:rsidRPr="00F260F8">
            <w:rPr>
              <w:rFonts w:ascii="Times New Roman" w:hAnsi="Times New Roman" w:cs="Times New Roman"/>
              <w:noProof/>
              <w:sz w:val="24"/>
              <w:szCs w:val="24"/>
            </w:rPr>
            <w:t>(Ravikumar and Chandrasekar)</w:t>
          </w:r>
          <w:r w:rsidR="00F260F8">
            <w:rPr>
              <w:rFonts w:ascii="Times New Roman" w:hAnsi="Times New Roman" w:cs="Times New Roman"/>
              <w:sz w:val="24"/>
              <w:szCs w:val="24"/>
            </w:rPr>
            <w:fldChar w:fldCharType="end"/>
          </w:r>
        </w:sdtContent>
      </w:sdt>
      <w:r w:rsidR="007F25D9">
        <w:rPr>
          <w:rFonts w:ascii="Times New Roman" w:hAnsi="Times New Roman" w:cs="Times New Roman"/>
          <w:sz w:val="24"/>
          <w:szCs w:val="24"/>
        </w:rPr>
        <w:t xml:space="preserve">. The parallelism further exists where Samwise says “it is done” after reaching </w:t>
      </w:r>
      <w:r w:rsidR="0091278B">
        <w:rPr>
          <w:rFonts w:ascii="Times New Roman" w:hAnsi="Times New Roman" w:cs="Times New Roman"/>
          <w:sz w:val="24"/>
          <w:szCs w:val="24"/>
        </w:rPr>
        <w:t xml:space="preserve">Mount Doom just like Simon. Additionally, the ascension of Jesus to heaven mirrors Frodo’s to the undying land. In other words, Tolkien mirrors the Christian belief without making any direct reference to the bible. </w:t>
      </w:r>
    </w:p>
    <w:p w:rsidR="005E372C" w:rsidRDefault="001B7D76" w:rsidP="00C42E56">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the themes, the characterization in the novel plays a critical role in building the plot and intended message to the readers. It is evident that Tolkien critically evaluated characters in the book and assigned them roles that contribute to th</w:t>
      </w:r>
      <w:r>
        <w:rPr>
          <w:rFonts w:ascii="Times New Roman" w:hAnsi="Times New Roman" w:cs="Times New Roman"/>
          <w:sz w:val="24"/>
          <w:szCs w:val="24"/>
        </w:rPr>
        <w:t>e flawless flow of the entire novel. Similarly, he uses them to build theme, tone, ad mood in the whole. For instance, Frodo plays an essential role in the entire book as the main character and contributes to various themes. Tolkien uses him to build the p</w:t>
      </w:r>
      <w:r>
        <w:rPr>
          <w:rFonts w:ascii="Times New Roman" w:hAnsi="Times New Roman" w:cs="Times New Roman"/>
          <w:sz w:val="24"/>
          <w:szCs w:val="24"/>
        </w:rPr>
        <w:t xml:space="preserve">arallelism </w:t>
      </w:r>
      <w:r w:rsidR="00077495">
        <w:rPr>
          <w:rFonts w:ascii="Times New Roman" w:hAnsi="Times New Roman" w:cs="Times New Roman"/>
          <w:sz w:val="24"/>
          <w:szCs w:val="24"/>
        </w:rPr>
        <w:t xml:space="preserve">between his story and the biblical Jesus story. He takes the Jesus role by carrying the world’s evil to Mount Doom just like he did with the cross to Golgotha. </w:t>
      </w:r>
      <w:r w:rsidR="000F7AEB">
        <w:rPr>
          <w:rFonts w:ascii="Times New Roman" w:hAnsi="Times New Roman" w:cs="Times New Roman"/>
          <w:sz w:val="24"/>
          <w:szCs w:val="24"/>
        </w:rPr>
        <w:t>Moreover, Frodo and Samwise are used in building the theme of power and its impact on the reader'</w:t>
      </w:r>
      <w:r w:rsidR="00D21442">
        <w:rPr>
          <w:rFonts w:ascii="Times New Roman" w:hAnsi="Times New Roman" w:cs="Times New Roman"/>
          <w:sz w:val="24"/>
          <w:szCs w:val="24"/>
        </w:rPr>
        <w:t xml:space="preserve">s mind. The two accepts the power ring and it significantly corrupts their mind. On the other hand, Galadriel and other hobbies seem reluctant to take the power ring fearing it would manipulate the ideals. These protagonists and antagonists depict Tolkien appreciation of different philosophies concerning the impact of power on an individual character. </w:t>
      </w:r>
      <w:r w:rsidR="00A3643C">
        <w:rPr>
          <w:rFonts w:ascii="Times New Roman" w:hAnsi="Times New Roman" w:cs="Times New Roman"/>
          <w:sz w:val="24"/>
          <w:szCs w:val="24"/>
        </w:rPr>
        <w:t xml:space="preserve">In essence, the whole story flows seamlessly due to the effective character building by the author. </w:t>
      </w:r>
    </w:p>
    <w:p w:rsidR="00A3643C" w:rsidRDefault="001B7D76" w:rsidP="00C42E5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w:t>
      </w:r>
      <w:r>
        <w:rPr>
          <w:rFonts w:ascii="Times New Roman" w:hAnsi="Times New Roman" w:cs="Times New Roman"/>
          <w:i/>
          <w:sz w:val="24"/>
          <w:szCs w:val="24"/>
        </w:rPr>
        <w:t xml:space="preserve">The </w:t>
      </w:r>
      <w:r w:rsidR="000A0292">
        <w:rPr>
          <w:rFonts w:ascii="Times New Roman" w:hAnsi="Times New Roman" w:cs="Times New Roman"/>
          <w:i/>
          <w:sz w:val="24"/>
          <w:szCs w:val="24"/>
        </w:rPr>
        <w:t xml:space="preserve">Lord of the Rings </w:t>
      </w:r>
      <w:r w:rsidR="000A0292">
        <w:rPr>
          <w:rFonts w:ascii="Times New Roman" w:hAnsi="Times New Roman" w:cs="Times New Roman"/>
          <w:sz w:val="24"/>
          <w:szCs w:val="24"/>
        </w:rPr>
        <w:t xml:space="preserve">as a great novel that covers issues in contemporary society in relation to medieval times. The author of the book draws a lot of inspiration from the folktales and uses them to effectively develop the themes of power and corruption of mind, </w:t>
      </w:r>
      <w:r w:rsidR="00183DCE">
        <w:rPr>
          <w:rFonts w:ascii="Times New Roman" w:hAnsi="Times New Roman" w:cs="Times New Roman"/>
          <w:sz w:val="24"/>
          <w:szCs w:val="24"/>
        </w:rPr>
        <w:t xml:space="preserve">immortality, and Christian parallelism. The plot of the novel adopts the biblical story of Jesus and uses Frodo and Samwise to symbolize. There is no doubt Tolkien was influenced by both his religious belief and philosophical ideology while writing the book. </w:t>
      </w: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p>
    <w:p w:rsidR="003E7615" w:rsidRDefault="003E7615" w:rsidP="00C42E5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3E7615" w:rsidRDefault="003E7615" w:rsidP="003E7615">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Jason, Fisher. "General Criticism: The Lord of the Rings and Tolkien's Work as a Whole." </w:t>
      </w:r>
      <w:r>
        <w:rPr>
          <w:i/>
          <w:iCs/>
          <w:noProof/>
        </w:rPr>
        <w:t>Tolkien Studies 13.1</w:t>
      </w:r>
      <w:r>
        <w:rPr>
          <w:noProof/>
        </w:rPr>
        <w:t xml:space="preserve"> (2016). 227-235.</w:t>
      </w:r>
    </w:p>
    <w:p w:rsidR="003E7615" w:rsidRDefault="003E7615" w:rsidP="003E7615">
      <w:pPr>
        <w:pStyle w:val="Bibliography"/>
        <w:ind w:left="720" w:hanging="720"/>
        <w:rPr>
          <w:noProof/>
        </w:rPr>
      </w:pPr>
      <w:r>
        <w:rPr>
          <w:noProof/>
        </w:rPr>
        <w:t xml:space="preserve">Kreeft, Peter J. </w:t>
      </w:r>
      <w:r>
        <w:rPr>
          <w:i/>
          <w:iCs/>
          <w:noProof/>
        </w:rPr>
        <w:t xml:space="preserve">The Philosophy of Tolkien: The worldview behind the Lord of Rings </w:t>
      </w:r>
      <w:r>
        <w:rPr>
          <w:noProof/>
        </w:rPr>
        <w:t>. Ignatius Insight, 2005.</w:t>
      </w:r>
    </w:p>
    <w:p w:rsidR="003E7615" w:rsidRDefault="003E7615" w:rsidP="003E7615">
      <w:pPr>
        <w:pStyle w:val="Bibliography"/>
        <w:ind w:left="720" w:hanging="720"/>
        <w:rPr>
          <w:noProof/>
        </w:rPr>
      </w:pPr>
      <w:r>
        <w:rPr>
          <w:noProof/>
        </w:rPr>
        <w:t xml:space="preserve">Paul, Kerry E. </w:t>
      </w:r>
      <w:r>
        <w:rPr>
          <w:i/>
          <w:iCs/>
          <w:noProof/>
        </w:rPr>
        <w:t>The Ring and the Cross: Christianity and the Lord of the Rings</w:t>
      </w:r>
      <w:r>
        <w:rPr>
          <w:noProof/>
        </w:rPr>
        <w:t>. Fairleigh Dickinson, 2010.</w:t>
      </w:r>
    </w:p>
    <w:p w:rsidR="003E7615" w:rsidRDefault="003E7615" w:rsidP="003E7615">
      <w:pPr>
        <w:pStyle w:val="Bibliography"/>
        <w:ind w:left="720" w:hanging="720"/>
        <w:rPr>
          <w:noProof/>
        </w:rPr>
      </w:pPr>
      <w:r>
        <w:rPr>
          <w:noProof/>
        </w:rPr>
        <w:t xml:space="preserve">Ravikumar, N. and R. Chandrasekar. "Frodo Baggins: Representative of the Human Aspects of Jesus Christ in JRR Tolkien's The Lord of the Rings." </w:t>
      </w:r>
      <w:r>
        <w:rPr>
          <w:i/>
          <w:iCs/>
          <w:noProof/>
        </w:rPr>
        <w:t xml:space="preserve">Language in India 18.10 </w:t>
      </w:r>
      <w:r>
        <w:rPr>
          <w:noProof/>
        </w:rPr>
        <w:t>(2018).</w:t>
      </w:r>
    </w:p>
    <w:p w:rsidR="003E7615" w:rsidRDefault="003E7615" w:rsidP="003E7615">
      <w:pPr>
        <w:pStyle w:val="Bibliography"/>
        <w:ind w:left="720" w:hanging="720"/>
        <w:rPr>
          <w:noProof/>
        </w:rPr>
      </w:pPr>
      <w:r>
        <w:rPr>
          <w:noProof/>
        </w:rPr>
        <w:t xml:space="preserve">WAGNER, VIT. </w:t>
      </w:r>
      <w:r>
        <w:rPr>
          <w:i/>
          <w:iCs/>
          <w:noProof/>
        </w:rPr>
        <w:t>Tolkien proves he's still the king</w:t>
      </w:r>
      <w:r>
        <w:rPr>
          <w:noProof/>
        </w:rPr>
        <w:t>. 16 April 2007. 08 March 2019. &lt;https://www.thestar.com/entertainment/2007/04/16/tolkien_proves_hes_still_the_king.html&gt;.</w:t>
      </w:r>
    </w:p>
    <w:p w:rsidR="003E7615" w:rsidRDefault="003E7615" w:rsidP="003E7615">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3E7615" w:rsidRPr="000A0292" w:rsidRDefault="003E7615" w:rsidP="00C42E56">
      <w:pPr>
        <w:spacing w:line="480" w:lineRule="auto"/>
        <w:ind w:firstLine="720"/>
        <w:rPr>
          <w:rFonts w:ascii="Times New Roman" w:hAnsi="Times New Roman" w:cs="Times New Roman"/>
          <w:sz w:val="24"/>
          <w:szCs w:val="24"/>
        </w:rPr>
      </w:pPr>
    </w:p>
    <w:p w:rsidR="00F34C46" w:rsidRPr="00C42E56" w:rsidRDefault="00F34C46" w:rsidP="00C42E56">
      <w:pPr>
        <w:spacing w:line="480" w:lineRule="auto"/>
        <w:ind w:firstLine="720"/>
        <w:rPr>
          <w:rFonts w:ascii="Times New Roman" w:hAnsi="Times New Roman" w:cs="Times New Roman"/>
          <w:sz w:val="24"/>
          <w:szCs w:val="24"/>
        </w:rPr>
      </w:pPr>
    </w:p>
    <w:p w:rsidR="00CD35BE" w:rsidRPr="00CD35BE" w:rsidRDefault="00CD35BE" w:rsidP="00CD35BE">
      <w:pPr>
        <w:spacing w:line="480" w:lineRule="auto"/>
        <w:ind w:firstLine="720"/>
        <w:rPr>
          <w:rFonts w:ascii="Times New Roman" w:hAnsi="Times New Roman" w:cs="Times New Roman"/>
          <w:sz w:val="24"/>
          <w:szCs w:val="24"/>
        </w:rPr>
      </w:pPr>
    </w:p>
    <w:sectPr w:rsidR="00CD35BE" w:rsidRPr="00CD35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D76" w:rsidRDefault="001B7D76">
      <w:pPr>
        <w:spacing w:after="0" w:line="240" w:lineRule="auto"/>
      </w:pPr>
      <w:r>
        <w:separator/>
      </w:r>
    </w:p>
  </w:endnote>
  <w:endnote w:type="continuationSeparator" w:id="0">
    <w:p w:rsidR="001B7D76" w:rsidRDefault="001B7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D76" w:rsidRDefault="001B7D76">
      <w:pPr>
        <w:spacing w:after="0" w:line="240" w:lineRule="auto"/>
      </w:pPr>
      <w:r>
        <w:separator/>
      </w:r>
    </w:p>
  </w:footnote>
  <w:footnote w:type="continuationSeparator" w:id="0">
    <w:p w:rsidR="001B7D76" w:rsidRDefault="001B7D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5BE" w:rsidRPr="00CD35BE" w:rsidRDefault="001B7D76" w:rsidP="00CD35B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CD35BE">
      <w:rPr>
        <w:rFonts w:ascii="Times New Roman" w:hAnsi="Times New Roman" w:cs="Times New Roman"/>
        <w:sz w:val="24"/>
        <w:szCs w:val="24"/>
      </w:rPr>
      <w:fldChar w:fldCharType="begin"/>
    </w:r>
    <w:r w:rsidRPr="00CD35BE">
      <w:rPr>
        <w:rFonts w:ascii="Times New Roman" w:hAnsi="Times New Roman" w:cs="Times New Roman"/>
        <w:sz w:val="24"/>
        <w:szCs w:val="24"/>
      </w:rPr>
      <w:instrText xml:space="preserve"> PAGE   \* MERGEFORMAT </w:instrText>
    </w:r>
    <w:r w:rsidRPr="00CD35BE">
      <w:rPr>
        <w:rFonts w:ascii="Times New Roman" w:hAnsi="Times New Roman" w:cs="Times New Roman"/>
        <w:sz w:val="24"/>
        <w:szCs w:val="24"/>
      </w:rPr>
      <w:fldChar w:fldCharType="separate"/>
    </w:r>
    <w:r w:rsidR="003E7615">
      <w:rPr>
        <w:rFonts w:ascii="Times New Roman" w:hAnsi="Times New Roman" w:cs="Times New Roman"/>
        <w:noProof/>
        <w:sz w:val="24"/>
        <w:szCs w:val="24"/>
      </w:rPr>
      <w:t>6</w:t>
    </w:r>
    <w:r w:rsidRPr="00CD35B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5BE"/>
    <w:rsid w:val="0001423C"/>
    <w:rsid w:val="00077495"/>
    <w:rsid w:val="000A0292"/>
    <w:rsid w:val="000F7AEB"/>
    <w:rsid w:val="00183DCE"/>
    <w:rsid w:val="001B7D76"/>
    <w:rsid w:val="001F30B2"/>
    <w:rsid w:val="002065E4"/>
    <w:rsid w:val="002105D4"/>
    <w:rsid w:val="00316897"/>
    <w:rsid w:val="003A6D79"/>
    <w:rsid w:val="003E4206"/>
    <w:rsid w:val="003E7615"/>
    <w:rsid w:val="004314FF"/>
    <w:rsid w:val="005032BC"/>
    <w:rsid w:val="005E372C"/>
    <w:rsid w:val="005F7406"/>
    <w:rsid w:val="00610D66"/>
    <w:rsid w:val="00634660"/>
    <w:rsid w:val="006A6F9F"/>
    <w:rsid w:val="006F02B9"/>
    <w:rsid w:val="00792B39"/>
    <w:rsid w:val="007F25D9"/>
    <w:rsid w:val="007F4551"/>
    <w:rsid w:val="007F5490"/>
    <w:rsid w:val="008203D6"/>
    <w:rsid w:val="0091278B"/>
    <w:rsid w:val="00922974"/>
    <w:rsid w:val="009C61E9"/>
    <w:rsid w:val="00A03893"/>
    <w:rsid w:val="00A3643C"/>
    <w:rsid w:val="00AB0EC1"/>
    <w:rsid w:val="00B00D02"/>
    <w:rsid w:val="00B04497"/>
    <w:rsid w:val="00B70B30"/>
    <w:rsid w:val="00BA67FF"/>
    <w:rsid w:val="00BE662C"/>
    <w:rsid w:val="00C42E56"/>
    <w:rsid w:val="00C7150D"/>
    <w:rsid w:val="00CA1E0E"/>
    <w:rsid w:val="00CA4831"/>
    <w:rsid w:val="00CB39F5"/>
    <w:rsid w:val="00CD35BE"/>
    <w:rsid w:val="00CF5056"/>
    <w:rsid w:val="00D21442"/>
    <w:rsid w:val="00E14FDA"/>
    <w:rsid w:val="00E23D8C"/>
    <w:rsid w:val="00E552DF"/>
    <w:rsid w:val="00E7261A"/>
    <w:rsid w:val="00E87A6B"/>
    <w:rsid w:val="00ED6ABF"/>
    <w:rsid w:val="00F045F5"/>
    <w:rsid w:val="00F260F8"/>
    <w:rsid w:val="00F336F8"/>
    <w:rsid w:val="00F34C46"/>
    <w:rsid w:val="00F63456"/>
    <w:rsid w:val="00F772D3"/>
    <w:rsid w:val="00F96FA1"/>
    <w:rsid w:val="00FA393F"/>
    <w:rsid w:val="00FE2AC1"/>
    <w:rsid w:val="00FF1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F1C5AA-C595-491F-ABC0-E0ADFB9C8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5BE"/>
  </w:style>
  <w:style w:type="paragraph" w:styleId="Footer">
    <w:name w:val="footer"/>
    <w:basedOn w:val="Normal"/>
    <w:link w:val="FooterChar"/>
    <w:uiPriority w:val="99"/>
    <w:unhideWhenUsed/>
    <w:rsid w:val="00CD3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5BE"/>
  </w:style>
  <w:style w:type="paragraph" w:styleId="Bibliography">
    <w:name w:val="Bibliography"/>
    <w:basedOn w:val="Normal"/>
    <w:next w:val="Normal"/>
    <w:uiPriority w:val="37"/>
    <w:unhideWhenUsed/>
    <w:rsid w:val="003E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234116">
      <w:bodyDiv w:val="1"/>
      <w:marLeft w:val="0"/>
      <w:marRight w:val="0"/>
      <w:marTop w:val="0"/>
      <w:marBottom w:val="0"/>
      <w:divBdr>
        <w:top w:val="none" w:sz="0" w:space="0" w:color="auto"/>
        <w:left w:val="none" w:sz="0" w:space="0" w:color="auto"/>
        <w:bottom w:val="none" w:sz="0" w:space="0" w:color="auto"/>
        <w:right w:val="none" w:sz="0" w:space="0" w:color="auto"/>
      </w:divBdr>
    </w:div>
    <w:div w:id="293603655">
      <w:bodyDiv w:val="1"/>
      <w:marLeft w:val="0"/>
      <w:marRight w:val="0"/>
      <w:marTop w:val="0"/>
      <w:marBottom w:val="0"/>
      <w:divBdr>
        <w:top w:val="none" w:sz="0" w:space="0" w:color="auto"/>
        <w:left w:val="none" w:sz="0" w:space="0" w:color="auto"/>
        <w:bottom w:val="none" w:sz="0" w:space="0" w:color="auto"/>
        <w:right w:val="none" w:sz="0" w:space="0" w:color="auto"/>
      </w:divBdr>
    </w:div>
    <w:div w:id="915822049">
      <w:bodyDiv w:val="1"/>
      <w:marLeft w:val="0"/>
      <w:marRight w:val="0"/>
      <w:marTop w:val="0"/>
      <w:marBottom w:val="0"/>
      <w:divBdr>
        <w:top w:val="none" w:sz="0" w:space="0" w:color="auto"/>
        <w:left w:val="none" w:sz="0" w:space="0" w:color="auto"/>
        <w:bottom w:val="none" w:sz="0" w:space="0" w:color="auto"/>
        <w:right w:val="none" w:sz="0" w:space="0" w:color="auto"/>
      </w:divBdr>
    </w:div>
    <w:div w:id="1063868070">
      <w:bodyDiv w:val="1"/>
      <w:marLeft w:val="0"/>
      <w:marRight w:val="0"/>
      <w:marTop w:val="0"/>
      <w:marBottom w:val="0"/>
      <w:divBdr>
        <w:top w:val="none" w:sz="0" w:space="0" w:color="auto"/>
        <w:left w:val="none" w:sz="0" w:space="0" w:color="auto"/>
        <w:bottom w:val="none" w:sz="0" w:space="0" w:color="auto"/>
        <w:right w:val="none" w:sz="0" w:space="0" w:color="auto"/>
      </w:divBdr>
    </w:div>
    <w:div w:id="1360622220">
      <w:bodyDiv w:val="1"/>
      <w:marLeft w:val="0"/>
      <w:marRight w:val="0"/>
      <w:marTop w:val="0"/>
      <w:marBottom w:val="0"/>
      <w:divBdr>
        <w:top w:val="none" w:sz="0" w:space="0" w:color="auto"/>
        <w:left w:val="none" w:sz="0" w:space="0" w:color="auto"/>
        <w:bottom w:val="none" w:sz="0" w:space="0" w:color="auto"/>
        <w:right w:val="none" w:sz="0" w:space="0" w:color="auto"/>
      </w:divBdr>
    </w:div>
    <w:div w:id="1761171880">
      <w:bodyDiv w:val="1"/>
      <w:marLeft w:val="0"/>
      <w:marRight w:val="0"/>
      <w:marTop w:val="0"/>
      <w:marBottom w:val="0"/>
      <w:divBdr>
        <w:top w:val="none" w:sz="0" w:space="0" w:color="auto"/>
        <w:left w:val="none" w:sz="0" w:space="0" w:color="auto"/>
        <w:bottom w:val="none" w:sz="0" w:space="0" w:color="auto"/>
        <w:right w:val="none" w:sz="0" w:space="0" w:color="auto"/>
      </w:divBdr>
    </w:div>
    <w:div w:id="1907639554">
      <w:bodyDiv w:val="1"/>
      <w:marLeft w:val="0"/>
      <w:marRight w:val="0"/>
      <w:marTop w:val="0"/>
      <w:marBottom w:val="0"/>
      <w:divBdr>
        <w:top w:val="none" w:sz="0" w:space="0" w:color="auto"/>
        <w:left w:val="none" w:sz="0" w:space="0" w:color="auto"/>
        <w:bottom w:val="none" w:sz="0" w:space="0" w:color="auto"/>
        <w:right w:val="none" w:sz="0" w:space="0" w:color="auto"/>
      </w:divBdr>
    </w:div>
    <w:div w:id="1985313273">
      <w:bodyDiv w:val="1"/>
      <w:marLeft w:val="0"/>
      <w:marRight w:val="0"/>
      <w:marTop w:val="0"/>
      <w:marBottom w:val="0"/>
      <w:divBdr>
        <w:top w:val="none" w:sz="0" w:space="0" w:color="auto"/>
        <w:left w:val="none" w:sz="0" w:space="0" w:color="auto"/>
        <w:bottom w:val="none" w:sz="0" w:space="0" w:color="auto"/>
        <w:right w:val="none" w:sz="0" w:space="0" w:color="auto"/>
      </w:divBdr>
    </w:div>
    <w:div w:id="202423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Ker10</b:Tag>
    <b:SourceType>Book</b:SourceType>
    <b:Guid>{E43F22A1-C216-4A67-8B3C-C12A7A5F4A49}</b:Guid>
    <b:Title> The Ring and the Cross: Christianity and the Lord of the Rings</b:Title>
    <b:Year>2010</b:Year>
    <b:Author>
      <b:Author>
        <b:NameList>
          <b:Person>
            <b:Last>Paul</b:Last>
            <b:First>Kerry</b:First>
            <b:Middle>E</b:Middle>
          </b:Person>
        </b:NameList>
      </b:Author>
    </b:Author>
    <b:Publisher>Fairleigh Dickinson</b:Publisher>
    <b:RefOrder>3</b:RefOrder>
  </b:Source>
  <b:Source>
    <b:Tag>Pet05</b:Tag>
    <b:SourceType>Book</b:SourceType>
    <b:Guid>{34FB1D56-08EA-4C99-9D05-505A37EFC682}</b:Guid>
    <b:Author>
      <b:Author>
        <b:NameList>
          <b:Person>
            <b:Last>Kreeft</b:Last>
            <b:First>Peter</b:First>
            <b:Middle>J.</b:Middle>
          </b:Person>
        </b:NameList>
      </b:Author>
    </b:Author>
    <b:Title>The Philosophy of Tolkien: The worldview behind the Lord of Rings </b:Title>
    <b:Year>2005</b:Year>
    <b:Publisher>Ignatius Insight</b:Publisher>
    <b:RefOrder>4</b:RefOrder>
  </b:Source>
  <b:Source>
    <b:Tag>WAG07</b:Tag>
    <b:SourceType>InternetSite</b:SourceType>
    <b:Guid>{221F1DA7-7DDD-4B5C-88B5-D507861E84B9}</b:Guid>
    <b:Title>Tolkien proves he's still the king</b:Title>
    <b:Year>2007</b:Year>
    <b:Author>
      <b:Author>
        <b:NameList>
          <b:Person>
            <b:Last>WAGNER</b:Last>
            <b:First>VIT</b:First>
          </b:Person>
        </b:NameList>
      </b:Author>
    </b:Author>
    <b:YearAccessed>2019</b:YearAccessed>
    <b:MonthAccessed>March</b:MonthAccessed>
    <b:DayAccessed>08</b:DayAccessed>
    <b:URL>https://www.thestar.com/entertainment/2007/04/16/tolkien_proves_hes_still_the_king.html</b:URL>
    <b:InternetSiteTitle>The Star</b:InternetSiteTitle>
    <b:Month>April</b:Month>
    <b:Day>16</b:Day>
    <b:RefOrder>1</b:RefOrder>
  </b:Source>
  <b:Source>
    <b:Tag>Fis16</b:Tag>
    <b:SourceType>JournalArticle</b:SourceType>
    <b:Guid>{22C0C699-5EF4-41DA-9B53-06DA993E3480}</b:Guid>
    <b:Title>General Criticism: The Lord of the Rings and Tolkien's Work as a Whole</b:Title>
    <b:Year>2016</b:Year>
    <b:Medium> 227-235</b:Medium>
    <b:Author>
      <b:Author>
        <b:NameList>
          <b:Person>
            <b:Last>Jason</b:Last>
            <b:First>Fisher</b:First>
          </b:Person>
        </b:NameList>
      </b:Author>
    </b:Author>
    <b:JournalName>Tolkien Studies 13.1</b:JournalName>
    <b:RefOrder>2</b:RefOrder>
  </b:Source>
  <b:Source>
    <b:Tag>NRa18</b:Tag>
    <b:SourceType>JournalArticle</b:SourceType>
    <b:Guid>{528C721F-BF33-4940-A059-F959720712BF}</b:Guid>
    <b:Author>
      <b:Author>
        <b:NameList>
          <b:Person>
            <b:Last>Ravikumar</b:Last>
            <b:First>N.</b:First>
          </b:Person>
          <b:Person>
            <b:Last>Chandrasekar</b:Last>
            <b:First>R.</b:First>
          </b:Person>
        </b:NameList>
      </b:Author>
    </b:Author>
    <b:Title>Frodo Baggins: Representative of the Human Aspects of Jesus Christ in JRR Tolkien's The Lord of the Rings</b:Title>
    <b:JournalName> Language in India 18.10 </b:JournalName>
    <b:Year>2018</b:Year>
    <b:RefOrder>5</b:RefOrder>
  </b:Source>
</b:Sources>
</file>

<file path=customXml/itemProps1.xml><?xml version="1.0" encoding="utf-8"?>
<ds:datastoreItem xmlns:ds="http://schemas.openxmlformats.org/officeDocument/2006/customXml" ds:itemID="{1B2FF8C9-27F1-4998-AA2C-97B5F447B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6</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37</cp:revision>
  <dcterms:created xsi:type="dcterms:W3CDTF">2019-03-07T18:29:00Z</dcterms:created>
  <dcterms:modified xsi:type="dcterms:W3CDTF">2019-03-08T01:46:00Z</dcterms:modified>
</cp:coreProperties>
</file>