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F008DF" w:rsidRPr="00731693" w:rsidP="00F008DF">
      <w:pPr>
        <w:spacing w:after="0" w:line="480" w:lineRule="auto"/>
        <w:ind w:firstLine="720"/>
        <w:contextualSpacing/>
        <w:jc w:val="center"/>
        <w:rPr>
          <w:rFonts w:ascii="Times New Roman" w:hAnsi="Times New Roman" w:cs="Times New Roman"/>
          <w:b/>
          <w:sz w:val="24"/>
          <w:szCs w:val="24"/>
        </w:rPr>
      </w:pPr>
    </w:p>
    <w:p w:rsidR="00F008DF" w:rsidRPr="00731693" w:rsidP="00F008DF">
      <w:pPr>
        <w:spacing w:after="0" w:line="480" w:lineRule="auto"/>
        <w:ind w:firstLine="720"/>
        <w:contextualSpacing/>
        <w:jc w:val="center"/>
        <w:rPr>
          <w:rFonts w:ascii="Times New Roman" w:hAnsi="Times New Roman" w:cs="Times New Roman"/>
          <w:b/>
          <w:sz w:val="24"/>
          <w:szCs w:val="24"/>
        </w:rPr>
      </w:pPr>
    </w:p>
    <w:p w:rsidR="00F008DF" w:rsidRPr="00731693" w:rsidP="00F008DF">
      <w:pPr>
        <w:spacing w:after="0" w:line="480" w:lineRule="auto"/>
        <w:ind w:firstLine="720"/>
        <w:contextualSpacing/>
        <w:jc w:val="center"/>
        <w:rPr>
          <w:rFonts w:ascii="Times New Roman" w:hAnsi="Times New Roman" w:cs="Times New Roman"/>
          <w:b/>
          <w:sz w:val="24"/>
          <w:szCs w:val="24"/>
        </w:rPr>
      </w:pPr>
    </w:p>
    <w:p w:rsidR="00F008DF" w:rsidRPr="00731693" w:rsidP="00F008DF">
      <w:pPr>
        <w:spacing w:after="0" w:line="480" w:lineRule="auto"/>
        <w:ind w:firstLine="720"/>
        <w:contextualSpacing/>
        <w:jc w:val="center"/>
        <w:rPr>
          <w:rFonts w:ascii="Times New Roman" w:hAnsi="Times New Roman" w:cs="Times New Roman"/>
          <w:b/>
          <w:sz w:val="24"/>
          <w:szCs w:val="24"/>
        </w:rPr>
      </w:pPr>
    </w:p>
    <w:p w:rsidR="00F008DF" w:rsidRPr="00731693" w:rsidP="00F008DF">
      <w:pPr>
        <w:spacing w:after="0" w:line="480" w:lineRule="auto"/>
        <w:ind w:firstLine="720"/>
        <w:contextualSpacing/>
        <w:jc w:val="center"/>
        <w:rPr>
          <w:rFonts w:ascii="Times New Roman" w:hAnsi="Times New Roman" w:cs="Times New Roman"/>
          <w:b/>
          <w:sz w:val="24"/>
          <w:szCs w:val="24"/>
        </w:rPr>
      </w:pPr>
    </w:p>
    <w:p w:rsidR="00F008DF" w:rsidRPr="00731693" w:rsidP="00F008DF">
      <w:pPr>
        <w:spacing w:after="0" w:line="480" w:lineRule="auto"/>
        <w:ind w:firstLine="720"/>
        <w:contextualSpacing/>
        <w:jc w:val="center"/>
        <w:rPr>
          <w:rFonts w:ascii="Times New Roman" w:hAnsi="Times New Roman" w:cs="Times New Roman"/>
          <w:b/>
          <w:sz w:val="24"/>
          <w:szCs w:val="24"/>
        </w:rPr>
      </w:pPr>
    </w:p>
    <w:p w:rsidR="00F008DF" w:rsidRPr="00731693" w:rsidP="00F008DF">
      <w:pPr>
        <w:spacing w:after="0" w:line="480" w:lineRule="auto"/>
        <w:contextualSpacing/>
        <w:jc w:val="center"/>
        <w:rPr>
          <w:rFonts w:ascii="Times New Roman" w:hAnsi="Times New Roman" w:cs="Times New Roman"/>
          <w:b/>
          <w:sz w:val="24"/>
          <w:szCs w:val="24"/>
        </w:rPr>
      </w:pPr>
      <w:r w:rsidRPr="00731693">
        <w:rPr>
          <w:rFonts w:ascii="Times New Roman" w:hAnsi="Times New Roman" w:cs="Times New Roman"/>
          <w:b/>
          <w:sz w:val="24"/>
          <w:szCs w:val="24"/>
        </w:rPr>
        <w:t>Disclosing Officer Untruthfulness to The Defense: Is a Liar’s Squad Coming to Your Town?</w:t>
      </w:r>
    </w:p>
    <w:p w:rsidR="00F008DF" w:rsidRPr="00731693" w:rsidP="00F008DF">
      <w:pPr>
        <w:spacing w:after="0" w:line="480" w:lineRule="auto"/>
        <w:contextualSpacing/>
        <w:jc w:val="center"/>
        <w:rPr>
          <w:rFonts w:ascii="Times New Roman" w:hAnsi="Times New Roman" w:cs="Times New Roman"/>
          <w:b/>
          <w:sz w:val="24"/>
          <w:szCs w:val="24"/>
        </w:rPr>
      </w:pPr>
    </w:p>
    <w:p w:rsidR="00F008DF" w:rsidRPr="00731693" w:rsidP="00F008DF">
      <w:pPr>
        <w:tabs>
          <w:tab w:val="left" w:pos="5160"/>
        </w:tabs>
        <w:spacing w:after="0" w:line="480" w:lineRule="auto"/>
        <w:contextualSpacing/>
        <w:jc w:val="center"/>
        <w:rPr>
          <w:rFonts w:ascii="Times New Roman" w:hAnsi="Times New Roman" w:cs="Times New Roman"/>
          <w:sz w:val="24"/>
          <w:szCs w:val="24"/>
        </w:rPr>
      </w:pPr>
      <w:r w:rsidRPr="00731693">
        <w:rPr>
          <w:rFonts w:ascii="Times New Roman" w:hAnsi="Times New Roman" w:cs="Times New Roman"/>
          <w:sz w:val="24"/>
          <w:szCs w:val="24"/>
        </w:rPr>
        <w:t>Student’s Name</w:t>
      </w:r>
    </w:p>
    <w:p w:rsidR="00F008DF" w:rsidRPr="00731693" w:rsidP="00F008DF">
      <w:pPr>
        <w:tabs>
          <w:tab w:val="left" w:pos="5160"/>
        </w:tabs>
        <w:spacing w:after="0" w:line="480" w:lineRule="auto"/>
        <w:contextualSpacing/>
        <w:jc w:val="center"/>
        <w:rPr>
          <w:rFonts w:ascii="Times New Roman" w:hAnsi="Times New Roman" w:cs="Times New Roman"/>
          <w:sz w:val="24"/>
          <w:szCs w:val="24"/>
        </w:rPr>
      </w:pPr>
      <w:r w:rsidRPr="00731693">
        <w:rPr>
          <w:rFonts w:ascii="Times New Roman" w:hAnsi="Times New Roman" w:cs="Times New Roman"/>
          <w:sz w:val="24"/>
          <w:szCs w:val="24"/>
        </w:rPr>
        <w:t>Institutional Affiliation</w:t>
      </w:r>
    </w:p>
    <w:p w:rsidR="00F008DF" w:rsidRPr="00731693" w:rsidP="00F008DF">
      <w:pPr>
        <w:tabs>
          <w:tab w:val="left" w:pos="5160"/>
        </w:tabs>
        <w:spacing w:after="0" w:line="480" w:lineRule="auto"/>
        <w:contextualSpacing/>
        <w:jc w:val="center"/>
        <w:rPr>
          <w:rFonts w:ascii="Times New Roman" w:hAnsi="Times New Roman" w:cs="Times New Roman"/>
          <w:sz w:val="24"/>
          <w:szCs w:val="24"/>
        </w:rPr>
      </w:pPr>
      <w:r w:rsidRPr="00731693">
        <w:rPr>
          <w:rFonts w:ascii="Times New Roman" w:hAnsi="Times New Roman" w:cs="Times New Roman"/>
          <w:sz w:val="24"/>
          <w:szCs w:val="24"/>
        </w:rPr>
        <w:t>Course Name &amp; Number</w:t>
      </w:r>
    </w:p>
    <w:p w:rsidR="00F008DF" w:rsidRPr="00731693" w:rsidP="00F008DF">
      <w:pPr>
        <w:tabs>
          <w:tab w:val="left" w:pos="5160"/>
        </w:tabs>
        <w:spacing w:after="0" w:line="480" w:lineRule="auto"/>
        <w:contextualSpacing/>
        <w:jc w:val="center"/>
        <w:rPr>
          <w:rFonts w:ascii="Times New Roman" w:hAnsi="Times New Roman" w:cs="Times New Roman"/>
          <w:sz w:val="24"/>
          <w:szCs w:val="24"/>
        </w:rPr>
      </w:pPr>
      <w:r w:rsidRPr="00731693">
        <w:rPr>
          <w:rFonts w:ascii="Times New Roman" w:hAnsi="Times New Roman" w:cs="Times New Roman"/>
          <w:sz w:val="24"/>
          <w:szCs w:val="24"/>
        </w:rPr>
        <w:t>Instructor’s Name</w:t>
      </w:r>
    </w:p>
    <w:p w:rsidR="00F008DF" w:rsidRPr="00731693" w:rsidP="00F008DF">
      <w:pPr>
        <w:tabs>
          <w:tab w:val="left" w:pos="5160"/>
        </w:tabs>
        <w:spacing w:after="0" w:line="480" w:lineRule="auto"/>
        <w:contextualSpacing/>
        <w:jc w:val="center"/>
        <w:rPr>
          <w:rFonts w:ascii="Times New Roman" w:hAnsi="Times New Roman" w:cs="Times New Roman"/>
          <w:sz w:val="24"/>
          <w:szCs w:val="24"/>
        </w:rPr>
      </w:pPr>
      <w:r w:rsidRPr="00731693">
        <w:rPr>
          <w:rFonts w:ascii="Times New Roman" w:hAnsi="Times New Roman" w:cs="Times New Roman"/>
          <w:sz w:val="24"/>
          <w:szCs w:val="24"/>
        </w:rPr>
        <w:t>Due Date</w:t>
      </w:r>
    </w:p>
    <w:p w:rsidR="00F008DF" w:rsidRPr="00731693" w:rsidP="00F008DF">
      <w:pPr>
        <w:tabs>
          <w:tab w:val="left" w:pos="5160"/>
        </w:tabs>
        <w:spacing w:after="0" w:line="480" w:lineRule="auto"/>
        <w:ind w:firstLine="720"/>
        <w:contextualSpacing/>
        <w:rPr>
          <w:rFonts w:ascii="Times New Roman" w:hAnsi="Times New Roman" w:cs="Times New Roman"/>
          <w:sz w:val="24"/>
          <w:szCs w:val="24"/>
        </w:rPr>
      </w:pPr>
    </w:p>
    <w:p w:rsidR="00F008DF" w:rsidRPr="00731693" w:rsidP="00F008DF">
      <w:pPr>
        <w:spacing w:after="0" w:line="480" w:lineRule="auto"/>
        <w:ind w:firstLine="720"/>
        <w:contextualSpacing/>
        <w:rPr>
          <w:rFonts w:ascii="Times New Roman" w:hAnsi="Times New Roman" w:cs="Times New Roman"/>
          <w:sz w:val="24"/>
          <w:szCs w:val="24"/>
        </w:rPr>
      </w:pPr>
      <w:r w:rsidRPr="00731693">
        <w:rPr>
          <w:rFonts w:ascii="Times New Roman" w:hAnsi="Times New Roman" w:cs="Times New Roman"/>
          <w:sz w:val="24"/>
          <w:szCs w:val="24"/>
        </w:rPr>
        <w:br w:type="page"/>
      </w:r>
    </w:p>
    <w:p w:rsidR="00F008DF" w:rsidRPr="00731693" w:rsidP="00F008DF">
      <w:pPr>
        <w:spacing w:after="0" w:line="480" w:lineRule="auto"/>
        <w:ind w:firstLine="720"/>
        <w:contextualSpacing/>
        <w:jc w:val="center"/>
        <w:rPr>
          <w:rFonts w:ascii="Times New Roman" w:hAnsi="Times New Roman" w:cs="Times New Roman"/>
          <w:b/>
          <w:sz w:val="24"/>
          <w:szCs w:val="24"/>
        </w:rPr>
      </w:pPr>
      <w:r w:rsidRPr="00731693">
        <w:rPr>
          <w:rFonts w:ascii="Times New Roman" w:hAnsi="Times New Roman" w:cs="Times New Roman"/>
          <w:b/>
          <w:sz w:val="24"/>
          <w:szCs w:val="24"/>
        </w:rPr>
        <w:t>Disclosing Officer Untruthfulness to the Defense</w:t>
      </w:r>
    </w:p>
    <w:p w:rsidR="00F008DF" w:rsidRPr="00731693" w:rsidP="00F008DF">
      <w:pPr>
        <w:spacing w:after="0" w:line="480" w:lineRule="auto"/>
        <w:ind w:firstLine="720"/>
        <w:contextualSpacing/>
        <w:rPr>
          <w:rFonts w:ascii="Times New Roman" w:hAnsi="Times New Roman" w:cs="Times New Roman"/>
          <w:sz w:val="24"/>
          <w:szCs w:val="24"/>
        </w:rPr>
      </w:pPr>
      <w:r w:rsidRPr="00B11E8F">
        <w:rPr>
          <w:rFonts w:ascii="Times New Roman" w:hAnsi="Times New Roman" w:cs="Times New Roman"/>
          <w:sz w:val="24"/>
          <w:szCs w:val="24"/>
        </w:rPr>
        <w:t xml:space="preserve">The difficulty of </w:t>
      </w:r>
      <w:r w:rsidRPr="00B11E8F">
        <w:rPr>
          <w:rFonts w:ascii="Times New Roman" w:hAnsi="Times New Roman" w:cs="Times New Roman"/>
          <w:sz w:val="24"/>
          <w:szCs w:val="24"/>
        </w:rPr>
        <w:t>concealing evidence when the outcome of the sentencing for the opposing party is at stake is the focus of this research paper. A police officer has been with the agency for fifteen years and had only faced one disciplinary action in the case at hand.</w:t>
      </w:r>
      <w:r w:rsidRPr="00731693" w:rsidR="00967CF6">
        <w:rPr>
          <w:rFonts w:ascii="Times New Roman" w:hAnsi="Times New Roman" w:cs="Times New Roman"/>
          <w:sz w:val="24"/>
          <w:szCs w:val="24"/>
        </w:rPr>
        <w:t xml:space="preserve"> </w:t>
      </w:r>
      <w:r w:rsidRPr="00731693" w:rsidR="00C85B58">
        <w:rPr>
          <w:rFonts w:ascii="Times New Roman" w:hAnsi="Times New Roman" w:cs="Times New Roman"/>
          <w:sz w:val="24"/>
          <w:szCs w:val="24"/>
        </w:rPr>
        <w:t xml:space="preserve">According to </w:t>
      </w:r>
      <w:r w:rsidRPr="00731693" w:rsidR="00C85B58">
        <w:rPr>
          <w:rFonts w:ascii="Times New Roman" w:hAnsi="Times New Roman" w:cs="Times New Roman"/>
          <w:sz w:val="24"/>
          <w:szCs w:val="24"/>
          <w:shd w:val="clear" w:color="auto" w:fill="FFFFFF"/>
        </w:rPr>
        <w:t>Judge (2005), h</w:t>
      </w:r>
      <w:r w:rsidRPr="00731693" w:rsidR="00967CF6">
        <w:rPr>
          <w:rFonts w:ascii="Times New Roman" w:hAnsi="Times New Roman" w:cs="Times New Roman"/>
          <w:sz w:val="24"/>
          <w:szCs w:val="24"/>
        </w:rPr>
        <w:t xml:space="preserve">e had been in a ten-year-old traffic accident where he was at fault. He first disputed the accusation, but the department later proved him incorrect after a thorough inquiry. He confessed right then and there. He rejected the charge; I assumed because he was ashamed. The question remains whether the cop should get fired for lying about pulling up the pornographic photos while on duty. </w:t>
      </w:r>
      <w:r w:rsidRPr="000445C7" w:rsidR="000445C7">
        <w:rPr>
          <w:rFonts w:ascii="Times New Roman" w:hAnsi="Times New Roman" w:cs="Times New Roman"/>
          <w:sz w:val="24"/>
          <w:szCs w:val="24"/>
        </w:rPr>
        <w:t>Many Supreme Court decisions have dealt with prosecutors releasing evidence that could aid the defendant, involving but not confined to facts that influence the credibility of witnesses, particularly police officers</w:t>
      </w:r>
      <w:r w:rsidRPr="00731693" w:rsidR="00967CF6">
        <w:rPr>
          <w:rFonts w:ascii="Times New Roman" w:hAnsi="Times New Roman" w:cs="Times New Roman"/>
          <w:sz w:val="24"/>
          <w:szCs w:val="24"/>
        </w:rPr>
        <w:t xml:space="preserve">. </w:t>
      </w:r>
    </w:p>
    <w:p w:rsidR="003D32B3" w:rsidRPr="00731693" w:rsidP="00F008DF">
      <w:pPr>
        <w:spacing w:after="0" w:line="480" w:lineRule="auto"/>
        <w:ind w:firstLine="720"/>
        <w:contextualSpacing/>
        <w:rPr>
          <w:rFonts w:ascii="Times New Roman" w:hAnsi="Times New Roman" w:cs="Times New Roman"/>
          <w:sz w:val="24"/>
          <w:szCs w:val="24"/>
        </w:rPr>
      </w:pPr>
      <w:r w:rsidRPr="000445C7">
        <w:rPr>
          <w:rFonts w:ascii="Times New Roman" w:hAnsi="Times New Roman" w:cs="Times New Roman"/>
          <w:sz w:val="24"/>
          <w:szCs w:val="24"/>
        </w:rPr>
        <w:t>Everyone, in my opinion, is worthy of a second chance, and I would gladly offer one to him. I would advise him to get therapy for his pornography addiction through the department's program. He would be told that his whole online activity would get tracked and that he would be put on probation for a certain period, with further monitoring after that.</w:t>
      </w:r>
      <w:r>
        <w:rPr>
          <w:rFonts w:ascii="Times New Roman" w:hAnsi="Times New Roman" w:cs="Times New Roman"/>
          <w:sz w:val="24"/>
          <w:szCs w:val="24"/>
        </w:rPr>
        <w:t xml:space="preserve"> </w:t>
      </w:r>
      <w:r w:rsidRPr="000445C7">
        <w:rPr>
          <w:rFonts w:ascii="Times New Roman" w:hAnsi="Times New Roman" w:cs="Times New Roman"/>
          <w:sz w:val="24"/>
          <w:szCs w:val="24"/>
        </w:rPr>
        <w:t>There have been several documented rulings involving police personnel falsifying in criminal cases, and the agency is held liable when this happens. Their credibility has been damaged as a result. The following instances show what happens when evidence is suppressed</w:t>
      </w:r>
      <w:r w:rsidRPr="00731693" w:rsidR="00967CF6">
        <w:rPr>
          <w:rFonts w:ascii="Times New Roman" w:hAnsi="Times New Roman" w:cs="Times New Roman"/>
          <w:sz w:val="24"/>
          <w:szCs w:val="24"/>
        </w:rPr>
        <w:t>.</w:t>
      </w:r>
    </w:p>
    <w:p w:rsidR="00DC2421" w:rsidRPr="00731693" w:rsidP="00F008DF">
      <w:pPr>
        <w:spacing w:after="0" w:line="480" w:lineRule="auto"/>
        <w:ind w:firstLine="720"/>
        <w:contextualSpacing/>
        <w:jc w:val="center"/>
        <w:rPr>
          <w:rFonts w:ascii="Times New Roman" w:hAnsi="Times New Roman" w:cs="Times New Roman"/>
          <w:b/>
          <w:sz w:val="24"/>
          <w:szCs w:val="24"/>
        </w:rPr>
      </w:pPr>
      <w:r w:rsidRPr="00731693">
        <w:rPr>
          <w:rFonts w:ascii="Times New Roman" w:hAnsi="Times New Roman" w:cs="Times New Roman"/>
          <w:b/>
          <w:sz w:val="24"/>
          <w:szCs w:val="24"/>
        </w:rPr>
        <w:t xml:space="preserve">Brady v. </w:t>
      </w:r>
      <w:r w:rsidRPr="00731693">
        <w:rPr>
          <w:rFonts w:ascii="Times New Roman" w:hAnsi="Times New Roman" w:cs="Times New Roman"/>
          <w:b/>
          <w:sz w:val="24"/>
          <w:szCs w:val="24"/>
        </w:rPr>
        <w:t>Maryland, 373 U.S. 83 (1963)</w:t>
      </w:r>
    </w:p>
    <w:p w:rsidR="008A5EC5" w:rsidRPr="00731693" w:rsidP="00F008DF">
      <w:pPr>
        <w:spacing w:after="0" w:line="480" w:lineRule="auto"/>
        <w:ind w:firstLine="720"/>
        <w:contextualSpacing/>
        <w:rPr>
          <w:rFonts w:ascii="Times New Roman" w:hAnsi="Times New Roman" w:cs="Times New Roman"/>
          <w:sz w:val="24"/>
          <w:szCs w:val="24"/>
        </w:rPr>
      </w:pPr>
      <w:r w:rsidRPr="00731693">
        <w:rPr>
          <w:rFonts w:ascii="Times New Roman" w:hAnsi="Times New Roman" w:cs="Times New Roman"/>
          <w:sz w:val="24"/>
          <w:szCs w:val="24"/>
        </w:rPr>
        <w:t xml:space="preserve">Due process rights are being infringed when a prosecutor suppresses evidence that might have favored the defendant. The suppression has had a significant impact on guilt determinations and penalty levels. </w:t>
      </w:r>
      <w:r w:rsidRPr="00FE3D3C" w:rsidR="00FE3D3C">
        <w:rPr>
          <w:rFonts w:ascii="Times New Roman" w:hAnsi="Times New Roman" w:cs="Times New Roman"/>
          <w:sz w:val="24"/>
          <w:szCs w:val="24"/>
        </w:rPr>
        <w:t xml:space="preserve">In the case of Brady v. Maryland, Brady and his co-conspirator Boblit were </w:t>
      </w:r>
      <w:r w:rsidR="009E1C3D">
        <w:rPr>
          <w:rFonts w:ascii="Times New Roman" w:hAnsi="Times New Roman" w:cs="Times New Roman"/>
          <w:sz w:val="24"/>
          <w:szCs w:val="24"/>
        </w:rPr>
        <w:t xml:space="preserve">sentenced to death upon getting </w:t>
      </w:r>
      <w:r w:rsidRPr="00FE3D3C" w:rsidR="00FE3D3C">
        <w:rPr>
          <w:rFonts w:ascii="Times New Roman" w:hAnsi="Times New Roman" w:cs="Times New Roman"/>
          <w:sz w:val="24"/>
          <w:szCs w:val="24"/>
        </w:rPr>
        <w:t xml:space="preserve">charged </w:t>
      </w:r>
      <w:r w:rsidR="009E1C3D">
        <w:rPr>
          <w:rFonts w:ascii="Times New Roman" w:hAnsi="Times New Roman" w:cs="Times New Roman"/>
          <w:sz w:val="24"/>
          <w:szCs w:val="24"/>
        </w:rPr>
        <w:t>for</w:t>
      </w:r>
      <w:r w:rsidRPr="00FE3D3C" w:rsidR="00FE3D3C">
        <w:rPr>
          <w:rFonts w:ascii="Times New Roman" w:hAnsi="Times New Roman" w:cs="Times New Roman"/>
          <w:sz w:val="24"/>
          <w:szCs w:val="24"/>
        </w:rPr>
        <w:t xml:space="preserve"> first-degree murder. Brady admitted to being a party to the crime but not the perpetrator. Before the jury, his attorney argued for a first-degree murder sentence with</w:t>
      </w:r>
      <w:r w:rsidR="009E1C3D">
        <w:rPr>
          <w:rFonts w:ascii="Times New Roman" w:hAnsi="Times New Roman" w:cs="Times New Roman"/>
          <w:sz w:val="24"/>
          <w:szCs w:val="24"/>
        </w:rPr>
        <w:t xml:space="preserve"> no</w:t>
      </w:r>
      <w:r w:rsidRPr="00FE3D3C" w:rsidR="00FE3D3C">
        <w:rPr>
          <w:rFonts w:ascii="Times New Roman" w:hAnsi="Times New Roman" w:cs="Times New Roman"/>
          <w:sz w:val="24"/>
          <w:szCs w:val="24"/>
        </w:rPr>
        <w:t xml:space="preserve"> death penalty. Brady's lawyer also </w:t>
      </w:r>
      <w:r w:rsidRPr="00FE3D3C" w:rsidR="00FE3D3C">
        <w:rPr>
          <w:rFonts w:ascii="Times New Roman" w:hAnsi="Times New Roman" w:cs="Times New Roman"/>
          <w:sz w:val="24"/>
          <w:szCs w:val="24"/>
        </w:rPr>
        <w:t>asked the prosecution to look into Brady's companion, Boblit, and his extrajudicial remarks, of which he got some but not all.</w:t>
      </w:r>
      <w:r w:rsidR="00FE3D3C">
        <w:rPr>
          <w:rFonts w:ascii="Times New Roman" w:hAnsi="Times New Roman" w:cs="Times New Roman"/>
          <w:sz w:val="24"/>
          <w:szCs w:val="24"/>
        </w:rPr>
        <w:t xml:space="preserve"> </w:t>
      </w:r>
      <w:r w:rsidRPr="00731693">
        <w:rPr>
          <w:rFonts w:ascii="Times New Roman" w:hAnsi="Times New Roman" w:cs="Times New Roman"/>
          <w:sz w:val="24"/>
          <w:szCs w:val="24"/>
        </w:rPr>
        <w:t xml:space="preserve">The far more crucial report not supplied to Brady's </w:t>
      </w:r>
      <w:r w:rsidRPr="00731693">
        <w:rPr>
          <w:rFonts w:ascii="Times New Roman" w:hAnsi="Times New Roman" w:cs="Times New Roman"/>
          <w:sz w:val="24"/>
          <w:szCs w:val="24"/>
        </w:rPr>
        <w:t xml:space="preserve">lawyer was where Boblit claimed responsibility for the murder. Brady's lawyer had not presented this information until the case </w:t>
      </w:r>
      <w:r w:rsidR="009E1C3D">
        <w:rPr>
          <w:rFonts w:ascii="Times New Roman" w:hAnsi="Times New Roman" w:cs="Times New Roman"/>
          <w:sz w:val="24"/>
          <w:szCs w:val="24"/>
        </w:rPr>
        <w:t>got</w:t>
      </w:r>
      <w:r w:rsidRPr="00731693">
        <w:rPr>
          <w:rFonts w:ascii="Times New Roman" w:hAnsi="Times New Roman" w:cs="Times New Roman"/>
          <w:sz w:val="24"/>
          <w:szCs w:val="24"/>
        </w:rPr>
        <w:t xml:space="preserve"> co</w:t>
      </w:r>
      <w:r w:rsidR="009E1C3D">
        <w:rPr>
          <w:rFonts w:ascii="Times New Roman" w:hAnsi="Times New Roman" w:cs="Times New Roman"/>
          <w:sz w:val="24"/>
          <w:szCs w:val="24"/>
        </w:rPr>
        <w:t>ncluded</w:t>
      </w:r>
      <w:r w:rsidRPr="00731693">
        <w:rPr>
          <w:rFonts w:ascii="Times New Roman" w:hAnsi="Times New Roman" w:cs="Times New Roman"/>
          <w:sz w:val="24"/>
          <w:szCs w:val="24"/>
        </w:rPr>
        <w:t xml:space="preserve"> and affirmed by the Maryland Court of Appeals</w:t>
      </w:r>
      <w:r w:rsidRPr="00731693" w:rsidR="00C85B58">
        <w:rPr>
          <w:rFonts w:ascii="Times New Roman" w:hAnsi="Times New Roman" w:cs="Times New Roman"/>
          <w:sz w:val="24"/>
          <w:szCs w:val="24"/>
        </w:rPr>
        <w:t xml:space="preserve"> (</w:t>
      </w:r>
      <w:r w:rsidRPr="00731693" w:rsidR="00C85B58">
        <w:rPr>
          <w:rFonts w:ascii="Times New Roman" w:hAnsi="Times New Roman" w:cs="Times New Roman"/>
          <w:sz w:val="24"/>
          <w:szCs w:val="24"/>
          <w:shd w:val="clear" w:color="auto" w:fill="FFFFFF"/>
        </w:rPr>
        <w:t>373 US 83)</w:t>
      </w:r>
      <w:r w:rsidRPr="00731693">
        <w:rPr>
          <w:rFonts w:ascii="Times New Roman" w:hAnsi="Times New Roman" w:cs="Times New Roman"/>
          <w:sz w:val="24"/>
          <w:szCs w:val="24"/>
        </w:rPr>
        <w:t>.</w:t>
      </w:r>
    </w:p>
    <w:p w:rsidR="008A5EC5" w:rsidRPr="00731693" w:rsidP="00F008DF">
      <w:pPr>
        <w:spacing w:after="0" w:line="480" w:lineRule="auto"/>
        <w:ind w:firstLine="720"/>
        <w:contextualSpacing/>
        <w:rPr>
          <w:rFonts w:ascii="Times New Roman" w:hAnsi="Times New Roman" w:cs="Times New Roman"/>
          <w:sz w:val="24"/>
          <w:szCs w:val="24"/>
        </w:rPr>
      </w:pPr>
      <w:r w:rsidRPr="00FE3D3C">
        <w:rPr>
          <w:rFonts w:ascii="Times New Roman" w:hAnsi="Times New Roman" w:cs="Times New Roman"/>
          <w:sz w:val="24"/>
          <w:szCs w:val="24"/>
        </w:rPr>
        <w:t>According to the appeal court, Brady's due process righ</w:t>
      </w:r>
      <w:r w:rsidRPr="00FE3D3C">
        <w:rPr>
          <w:rFonts w:ascii="Times New Roman" w:hAnsi="Times New Roman" w:cs="Times New Roman"/>
          <w:sz w:val="24"/>
          <w:szCs w:val="24"/>
        </w:rPr>
        <w:t xml:space="preserve">ts had been breached since evidence had been suppressed. The case was remanded for a fresh trial to redetermine the punishments. It was the only part of the case that the evidence had impacted. Brady was granted a writ of certiorari, which is a request </w:t>
      </w:r>
      <w:r w:rsidRPr="00FE3D3C">
        <w:rPr>
          <w:rFonts w:ascii="Times New Roman" w:hAnsi="Times New Roman" w:cs="Times New Roman"/>
          <w:sz w:val="24"/>
          <w:szCs w:val="24"/>
        </w:rPr>
        <w:t>from a lower court for case records to be sent to a higher court to get reviewed</w:t>
      </w:r>
      <w:r w:rsidRPr="00731693" w:rsidR="00967CF6">
        <w:rPr>
          <w:rFonts w:ascii="Times New Roman" w:hAnsi="Times New Roman" w:cs="Times New Roman"/>
          <w:sz w:val="24"/>
          <w:szCs w:val="24"/>
        </w:rPr>
        <w:t>.</w:t>
      </w:r>
    </w:p>
    <w:p w:rsidR="000B1BE3" w:rsidRPr="00731693" w:rsidP="00F008DF">
      <w:pPr>
        <w:spacing w:after="0" w:line="480" w:lineRule="auto"/>
        <w:ind w:firstLine="720"/>
        <w:contextualSpacing/>
        <w:jc w:val="center"/>
        <w:rPr>
          <w:rFonts w:ascii="Times New Roman" w:hAnsi="Times New Roman" w:cs="Times New Roman"/>
          <w:b/>
          <w:sz w:val="24"/>
          <w:szCs w:val="24"/>
        </w:rPr>
      </w:pPr>
      <w:r w:rsidRPr="00731693">
        <w:rPr>
          <w:rFonts w:ascii="Times New Roman" w:hAnsi="Times New Roman" w:cs="Times New Roman"/>
          <w:b/>
          <w:sz w:val="24"/>
          <w:szCs w:val="24"/>
        </w:rPr>
        <w:t>Giglio v. the United States, 405 U. S. 150 (1972)</w:t>
      </w:r>
    </w:p>
    <w:p w:rsidR="008A5EC5" w:rsidRPr="00731693" w:rsidP="00F008DF">
      <w:pPr>
        <w:spacing w:after="0" w:line="480" w:lineRule="auto"/>
        <w:ind w:firstLine="720"/>
        <w:contextualSpacing/>
        <w:rPr>
          <w:rFonts w:ascii="Times New Roman" w:hAnsi="Times New Roman" w:cs="Times New Roman"/>
          <w:sz w:val="24"/>
          <w:szCs w:val="24"/>
        </w:rPr>
      </w:pPr>
      <w:r w:rsidRPr="00FE3D3C">
        <w:rPr>
          <w:rFonts w:ascii="Times New Roman" w:hAnsi="Times New Roman" w:cs="Times New Roman"/>
          <w:sz w:val="24"/>
          <w:szCs w:val="24"/>
        </w:rPr>
        <w:t>After uncovering fresh evidence that had not been given to the court, the petitioner requested a new trial. According to the</w:t>
      </w:r>
      <w:r w:rsidRPr="00FE3D3C">
        <w:rPr>
          <w:rFonts w:ascii="Times New Roman" w:hAnsi="Times New Roman" w:cs="Times New Roman"/>
          <w:sz w:val="24"/>
          <w:szCs w:val="24"/>
        </w:rPr>
        <w:t xml:space="preserve"> evidence, the federal government failed to disclose that crucial witnesses had been offered leniency in return for their testimony (Neuschatz et al., 2008). The petitioner received a five-year prison term after being </w:t>
      </w:r>
      <w:r w:rsidR="009E1C3D">
        <w:rPr>
          <w:rFonts w:ascii="Times New Roman" w:hAnsi="Times New Roman" w:cs="Times New Roman"/>
          <w:sz w:val="24"/>
          <w:szCs w:val="24"/>
        </w:rPr>
        <w:t>charged</w:t>
      </w:r>
      <w:r w:rsidRPr="00FE3D3C">
        <w:rPr>
          <w:rFonts w:ascii="Times New Roman" w:hAnsi="Times New Roman" w:cs="Times New Roman"/>
          <w:sz w:val="24"/>
          <w:szCs w:val="24"/>
        </w:rPr>
        <w:t xml:space="preserve"> with fabricating money orders while </w:t>
      </w:r>
      <w:r w:rsidR="009E1C3D">
        <w:rPr>
          <w:rFonts w:ascii="Times New Roman" w:hAnsi="Times New Roman" w:cs="Times New Roman"/>
          <w:sz w:val="24"/>
          <w:szCs w:val="24"/>
        </w:rPr>
        <w:t>being a bank employee</w:t>
      </w:r>
      <w:r w:rsidRPr="00FE3D3C">
        <w:rPr>
          <w:rFonts w:ascii="Times New Roman" w:hAnsi="Times New Roman" w:cs="Times New Roman"/>
          <w:sz w:val="24"/>
          <w:szCs w:val="24"/>
        </w:rPr>
        <w:t xml:space="preserve">. </w:t>
      </w:r>
      <w:r w:rsidRPr="009E1C3D" w:rsidR="009E1C3D">
        <w:rPr>
          <w:rFonts w:ascii="Times New Roman" w:hAnsi="Times New Roman" w:cs="Times New Roman"/>
          <w:sz w:val="24"/>
          <w:szCs w:val="24"/>
        </w:rPr>
        <w:t>The Assistant United States Attorney that took the matter before the grand jury admitted telling the witness that he would not be prosecuted in exchange for his testimony and trial before the grand jury.</w:t>
      </w:r>
      <w:r>
        <w:rPr>
          <w:rFonts w:ascii="Times New Roman" w:hAnsi="Times New Roman" w:cs="Times New Roman"/>
          <w:sz w:val="24"/>
          <w:szCs w:val="24"/>
        </w:rPr>
        <w:t xml:space="preserve"> </w:t>
      </w:r>
      <w:r w:rsidRPr="00731693" w:rsidR="00967CF6">
        <w:rPr>
          <w:rFonts w:ascii="Times New Roman" w:hAnsi="Times New Roman" w:cs="Times New Roman"/>
          <w:sz w:val="24"/>
          <w:szCs w:val="24"/>
        </w:rPr>
        <w:t xml:space="preserve">The petitioner's due process rights got violated since the defense attorney was unaware of this arrangement. </w:t>
      </w:r>
    </w:p>
    <w:p w:rsidR="000B1BE3" w:rsidRPr="00731693" w:rsidP="00F008DF">
      <w:pPr>
        <w:spacing w:after="0" w:line="480" w:lineRule="auto"/>
        <w:ind w:firstLine="720"/>
        <w:contextualSpacing/>
        <w:jc w:val="center"/>
        <w:rPr>
          <w:rFonts w:ascii="Times New Roman" w:hAnsi="Times New Roman" w:cs="Times New Roman"/>
          <w:b/>
          <w:sz w:val="24"/>
          <w:szCs w:val="24"/>
        </w:rPr>
      </w:pPr>
      <w:r w:rsidRPr="00731693">
        <w:rPr>
          <w:rFonts w:ascii="Times New Roman" w:hAnsi="Times New Roman" w:cs="Times New Roman"/>
          <w:b/>
          <w:sz w:val="24"/>
          <w:szCs w:val="24"/>
        </w:rPr>
        <w:t>The United States v. Agurs, 427 U. S. 97 (1976)</w:t>
      </w:r>
    </w:p>
    <w:p w:rsidR="008A5EC5" w:rsidRPr="00731693" w:rsidP="00F008DF">
      <w:pPr>
        <w:spacing w:after="0" w:line="480" w:lineRule="auto"/>
        <w:ind w:firstLine="720"/>
        <w:contextualSpacing/>
        <w:rPr>
          <w:rFonts w:ascii="Times New Roman" w:hAnsi="Times New Roman" w:cs="Times New Roman"/>
          <w:sz w:val="24"/>
          <w:szCs w:val="24"/>
        </w:rPr>
      </w:pPr>
      <w:r w:rsidRPr="009E1C3D">
        <w:rPr>
          <w:rFonts w:ascii="Times New Roman" w:hAnsi="Times New Roman" w:cs="Times New Roman"/>
          <w:sz w:val="24"/>
          <w:szCs w:val="24"/>
        </w:rPr>
        <w:t>A victim was murdered with a knife in this instance of second-degree murder. According to the evidence presented at trial, the defendant, Sewell, possessed two knives when the respondent was stabbed.</w:t>
      </w:r>
      <w:r>
        <w:rPr>
          <w:rFonts w:ascii="Times New Roman" w:hAnsi="Times New Roman" w:cs="Times New Roman"/>
          <w:sz w:val="24"/>
          <w:szCs w:val="24"/>
        </w:rPr>
        <w:t xml:space="preserve"> </w:t>
      </w:r>
      <w:r w:rsidRPr="009E1C3D">
        <w:rPr>
          <w:rFonts w:ascii="Times New Roman" w:hAnsi="Times New Roman" w:cs="Times New Roman"/>
          <w:sz w:val="24"/>
          <w:szCs w:val="24"/>
        </w:rPr>
        <w:t xml:space="preserve">When it got established that Sewell had a criminal record, Neuschatz et al. (2008) confirmed that he had pled guilty to weapon and assault offences, </w:t>
      </w:r>
      <w:r w:rsidRPr="009E1C3D">
        <w:rPr>
          <w:rFonts w:ascii="Times New Roman" w:hAnsi="Times New Roman" w:cs="Times New Roman"/>
          <w:sz w:val="24"/>
          <w:szCs w:val="24"/>
        </w:rPr>
        <w:t>both of which he had claimed confessed to. The weapons offence was for a knife, which conformed with the incident's pattern</w:t>
      </w:r>
      <w:r w:rsidRPr="00731693" w:rsidR="00967CF6">
        <w:rPr>
          <w:rFonts w:ascii="Times New Roman" w:hAnsi="Times New Roman" w:cs="Times New Roman"/>
          <w:sz w:val="24"/>
          <w:szCs w:val="24"/>
        </w:rPr>
        <w:t xml:space="preserve">. </w:t>
      </w:r>
    </w:p>
    <w:p w:rsidR="0038789C" w:rsidRPr="00731693" w:rsidP="00F008DF">
      <w:pPr>
        <w:spacing w:after="0" w:line="480" w:lineRule="auto"/>
        <w:ind w:firstLine="720"/>
        <w:contextualSpacing/>
        <w:rPr>
          <w:rFonts w:ascii="Times New Roman" w:hAnsi="Times New Roman" w:cs="Times New Roman"/>
          <w:sz w:val="24"/>
          <w:szCs w:val="24"/>
        </w:rPr>
      </w:pPr>
      <w:r w:rsidRPr="00731693">
        <w:rPr>
          <w:rFonts w:ascii="Times New Roman" w:hAnsi="Times New Roman" w:cs="Times New Roman"/>
          <w:sz w:val="24"/>
          <w:szCs w:val="24"/>
        </w:rPr>
        <w:t>The respondent's self-defence plea was first denied because he had previous charges that were not admissible as evidence. Th</w:t>
      </w:r>
      <w:r w:rsidRPr="00731693">
        <w:rPr>
          <w:rFonts w:ascii="Times New Roman" w:hAnsi="Times New Roman" w:cs="Times New Roman"/>
          <w:sz w:val="24"/>
          <w:szCs w:val="24"/>
        </w:rPr>
        <w:t xml:space="preserve">e prosecutor withheld this information from the defense, as mandated by law. </w:t>
      </w:r>
      <w:r w:rsidRPr="009E1C3D" w:rsidR="009E1C3D">
        <w:rPr>
          <w:rFonts w:ascii="Times New Roman" w:hAnsi="Times New Roman" w:cs="Times New Roman"/>
          <w:sz w:val="24"/>
          <w:szCs w:val="24"/>
        </w:rPr>
        <w:t>The District Court first denied the request, stating that Sewell's criminal past did not affect the question of the self-defense plea. The Court of Appeals reversed the decision, citing Sewell's criminal history as a critical factor. Not divulging it would necessitate a fresh trial since the jury's decision could have been otherwise if the prosecution had been aware of it</w:t>
      </w:r>
      <w:r w:rsidRPr="00731693">
        <w:rPr>
          <w:rFonts w:ascii="Times New Roman" w:hAnsi="Times New Roman" w:cs="Times New Roman"/>
          <w:sz w:val="24"/>
          <w:szCs w:val="24"/>
        </w:rPr>
        <w:t>.</w:t>
      </w:r>
    </w:p>
    <w:p w:rsidR="000B1BE3" w:rsidRPr="00731693" w:rsidP="00F008DF">
      <w:pPr>
        <w:spacing w:after="0" w:line="480" w:lineRule="auto"/>
        <w:ind w:firstLine="720"/>
        <w:contextualSpacing/>
        <w:jc w:val="center"/>
        <w:rPr>
          <w:rFonts w:ascii="Times New Roman" w:hAnsi="Times New Roman" w:cs="Times New Roman"/>
          <w:b/>
          <w:sz w:val="24"/>
          <w:szCs w:val="24"/>
        </w:rPr>
      </w:pPr>
      <w:r w:rsidRPr="00731693">
        <w:rPr>
          <w:rFonts w:ascii="Times New Roman" w:hAnsi="Times New Roman" w:cs="Times New Roman"/>
          <w:b/>
          <w:sz w:val="24"/>
          <w:szCs w:val="24"/>
        </w:rPr>
        <w:t>Kyles v. Whitley, 514 U. S. 419 (1995)</w:t>
      </w:r>
    </w:p>
    <w:p w:rsidR="008A5EC5" w:rsidRPr="00731693" w:rsidP="00F008DF">
      <w:pPr>
        <w:spacing w:after="0" w:line="480" w:lineRule="auto"/>
        <w:ind w:firstLine="720"/>
        <w:contextualSpacing/>
        <w:rPr>
          <w:rFonts w:ascii="Times New Roman" w:hAnsi="Times New Roman" w:cs="Times New Roman"/>
          <w:sz w:val="24"/>
          <w:szCs w:val="24"/>
        </w:rPr>
      </w:pPr>
      <w:r w:rsidRPr="00731693">
        <w:rPr>
          <w:rFonts w:ascii="Times New Roman" w:hAnsi="Times New Roman" w:cs="Times New Roman"/>
          <w:sz w:val="24"/>
          <w:szCs w:val="24"/>
        </w:rPr>
        <w:t>The petitioner was foun</w:t>
      </w:r>
      <w:r w:rsidRPr="00731693">
        <w:rPr>
          <w:rFonts w:ascii="Times New Roman" w:hAnsi="Times New Roman" w:cs="Times New Roman"/>
          <w:sz w:val="24"/>
          <w:szCs w:val="24"/>
        </w:rPr>
        <w:t>d guilty of first-degree murder and condemned to death in this case</w:t>
      </w:r>
      <w:r w:rsidRPr="00731693" w:rsidR="00C85B58">
        <w:rPr>
          <w:rFonts w:ascii="Times New Roman" w:hAnsi="Times New Roman" w:cs="Times New Roman"/>
          <w:sz w:val="24"/>
          <w:szCs w:val="24"/>
        </w:rPr>
        <w:t xml:space="preserve"> (</w:t>
      </w:r>
      <w:r w:rsidRPr="00731693" w:rsidR="00C85B58">
        <w:rPr>
          <w:rFonts w:ascii="Times New Roman" w:hAnsi="Times New Roman" w:cs="Times New Roman"/>
          <w:sz w:val="24"/>
          <w:szCs w:val="24"/>
          <w:shd w:val="clear" w:color="auto" w:fill="FFFFFF"/>
        </w:rPr>
        <w:t>Smith, 1999)</w:t>
      </w:r>
      <w:r w:rsidRPr="00731693">
        <w:rPr>
          <w:rFonts w:ascii="Times New Roman" w:hAnsi="Times New Roman" w:cs="Times New Roman"/>
          <w:sz w:val="24"/>
          <w:szCs w:val="24"/>
        </w:rPr>
        <w:t xml:space="preserve">. </w:t>
      </w:r>
      <w:r w:rsidRPr="009E1C3D" w:rsidR="009E1C3D">
        <w:rPr>
          <w:rFonts w:ascii="Times New Roman" w:hAnsi="Times New Roman" w:cs="Times New Roman"/>
          <w:sz w:val="24"/>
          <w:szCs w:val="24"/>
        </w:rPr>
        <w:t>Following the affirmation of the conviction and direct appeal of the sentence, it was found that the State omitted to divulge crucial material that could have been beneficial to the petitioner.</w:t>
      </w:r>
      <w:r w:rsidR="009E1C3D">
        <w:rPr>
          <w:rFonts w:ascii="Times New Roman" w:hAnsi="Times New Roman" w:cs="Times New Roman"/>
          <w:sz w:val="24"/>
          <w:szCs w:val="24"/>
        </w:rPr>
        <w:t xml:space="preserve"> </w:t>
      </w:r>
      <w:r w:rsidRPr="009E1C3D" w:rsidR="009E1C3D">
        <w:rPr>
          <w:rFonts w:ascii="Times New Roman" w:hAnsi="Times New Roman" w:cs="Times New Roman"/>
          <w:sz w:val="24"/>
          <w:szCs w:val="24"/>
        </w:rPr>
        <w:t>Such material involves concurrent witness statements record obtained by police agencies after the murder and a myriad of concerns raised to police departments by an informant who was never allowed to testify. Besides, a computer print-out of license numbers of parked cars at the murder scene during the night of the incident, none of which included the respondent's car.</w:t>
      </w:r>
      <w:r w:rsidR="009E1C3D">
        <w:rPr>
          <w:rFonts w:ascii="Times New Roman" w:hAnsi="Times New Roman" w:cs="Times New Roman"/>
          <w:sz w:val="24"/>
          <w:szCs w:val="24"/>
        </w:rPr>
        <w:t xml:space="preserve"> </w:t>
      </w:r>
      <w:r w:rsidRPr="00FE3D3C" w:rsidR="00FE3D3C">
        <w:rPr>
          <w:rFonts w:ascii="Times New Roman" w:hAnsi="Times New Roman" w:cs="Times New Roman"/>
          <w:sz w:val="24"/>
          <w:szCs w:val="24"/>
        </w:rPr>
        <w:t>Due process rights were breached due to the suppression of this evidence, and a fresh trial was issued</w:t>
      </w:r>
      <w:r w:rsidRPr="00731693">
        <w:rPr>
          <w:rFonts w:ascii="Times New Roman" w:hAnsi="Times New Roman" w:cs="Times New Roman"/>
          <w:sz w:val="24"/>
          <w:szCs w:val="24"/>
        </w:rPr>
        <w:t>.</w:t>
      </w:r>
    </w:p>
    <w:p w:rsidR="000B1BE3" w:rsidRPr="00731693" w:rsidP="00F008DF">
      <w:pPr>
        <w:spacing w:after="0" w:line="480" w:lineRule="auto"/>
        <w:ind w:firstLine="720"/>
        <w:contextualSpacing/>
        <w:jc w:val="center"/>
        <w:rPr>
          <w:rFonts w:ascii="Times New Roman" w:hAnsi="Times New Roman" w:cs="Times New Roman"/>
          <w:b/>
          <w:sz w:val="24"/>
          <w:szCs w:val="24"/>
        </w:rPr>
      </w:pPr>
      <w:r w:rsidRPr="00731693">
        <w:rPr>
          <w:rFonts w:ascii="Times New Roman" w:eastAsia="Times New Roman" w:hAnsi="Times New Roman" w:cs="Times New Roman"/>
          <w:b/>
          <w:sz w:val="24"/>
          <w:szCs w:val="24"/>
        </w:rPr>
        <w:t>United States v. Bagley, 473 U. S.</w:t>
      </w:r>
      <w:r w:rsidRPr="00731693">
        <w:rPr>
          <w:rFonts w:ascii="Times New Roman" w:eastAsia="Times New Roman" w:hAnsi="Times New Roman" w:cs="Times New Roman"/>
          <w:b/>
          <w:sz w:val="24"/>
          <w:szCs w:val="24"/>
        </w:rPr>
        <w:t xml:space="preserve"> 667 (1985)</w:t>
      </w:r>
    </w:p>
    <w:p w:rsidR="0038789C" w:rsidRPr="00731693" w:rsidP="00F008DF">
      <w:pPr>
        <w:spacing w:after="0" w:line="480" w:lineRule="auto"/>
        <w:ind w:firstLine="720"/>
        <w:contextualSpacing/>
        <w:rPr>
          <w:rFonts w:ascii="Times New Roman" w:hAnsi="Times New Roman" w:cs="Times New Roman"/>
          <w:sz w:val="24"/>
          <w:szCs w:val="24"/>
        </w:rPr>
      </w:pPr>
      <w:r w:rsidRPr="00731693">
        <w:rPr>
          <w:rFonts w:ascii="Tahoma" w:hAnsi="Tahoma" w:cs="Tahoma"/>
          <w:sz w:val="24"/>
          <w:szCs w:val="24"/>
        </w:rPr>
        <w:t>﻿</w:t>
      </w:r>
      <w:r w:rsidRPr="00731693">
        <w:rPr>
          <w:rFonts w:ascii="Times New Roman" w:hAnsi="Times New Roman" w:cs="Times New Roman"/>
          <w:sz w:val="24"/>
          <w:szCs w:val="24"/>
        </w:rPr>
        <w:t xml:space="preserve"> The respondent, accused of drug and weapons violations, said he filed a discovery motion before the trial started</w:t>
      </w:r>
      <w:r w:rsidRPr="00731693" w:rsidR="00C85B58">
        <w:rPr>
          <w:rFonts w:ascii="Times New Roman" w:hAnsi="Times New Roman" w:cs="Times New Roman"/>
          <w:sz w:val="24"/>
          <w:szCs w:val="24"/>
        </w:rPr>
        <w:t xml:space="preserve"> (</w:t>
      </w:r>
      <w:r w:rsidRPr="00731693" w:rsidR="00C85B58">
        <w:rPr>
          <w:rFonts w:ascii="Times New Roman" w:hAnsi="Times New Roman" w:cs="Times New Roman"/>
          <w:sz w:val="24"/>
          <w:szCs w:val="24"/>
          <w:shd w:val="clear" w:color="auto" w:fill="FFFFFF"/>
        </w:rPr>
        <w:t>Kovac, 2020)</w:t>
      </w:r>
      <w:r w:rsidRPr="00731693">
        <w:rPr>
          <w:rFonts w:ascii="Times New Roman" w:hAnsi="Times New Roman" w:cs="Times New Roman"/>
          <w:sz w:val="24"/>
          <w:szCs w:val="24"/>
        </w:rPr>
        <w:t xml:space="preserve">. In this regard, he asked for any government's promises to be returned for his testimony in this </w:t>
      </w:r>
      <w:r w:rsidRPr="00731693">
        <w:rPr>
          <w:rFonts w:ascii="Times New Roman" w:hAnsi="Times New Roman" w:cs="Times New Roman"/>
          <w:sz w:val="24"/>
          <w:szCs w:val="24"/>
        </w:rPr>
        <w:t xml:space="preserve">discovery petition. The government denied promising or making any arrangements with the respondent. There had been no incentives or threats in this case, and merely written affidavits had been given to critical </w:t>
      </w:r>
      <w:r w:rsidRPr="00731693">
        <w:rPr>
          <w:rFonts w:ascii="Times New Roman" w:hAnsi="Times New Roman" w:cs="Times New Roman"/>
          <w:sz w:val="24"/>
          <w:szCs w:val="24"/>
        </w:rPr>
        <w:t>witnesses to claim they were operating underc</w:t>
      </w:r>
      <w:r w:rsidRPr="00731693">
        <w:rPr>
          <w:rFonts w:ascii="Times New Roman" w:hAnsi="Times New Roman" w:cs="Times New Roman"/>
          <w:sz w:val="24"/>
          <w:szCs w:val="24"/>
        </w:rPr>
        <w:t>over when dealing with the respondent. The respondent relinquished his right to a jury trial as a result of this action. Requests under the Freedom of Information Act and the Privacy Act were presented before the court.</w:t>
      </w:r>
      <w:r w:rsidRPr="00731693" w:rsidR="003D32B3">
        <w:rPr>
          <w:rFonts w:ascii="Times New Roman" w:hAnsi="Times New Roman" w:cs="Times New Roman"/>
          <w:sz w:val="24"/>
          <w:szCs w:val="24"/>
        </w:rPr>
        <w:t xml:space="preserve"> The respondent attempted to have his sentence overturned, arguing that the government had neglected to reply to his discovery motion to reveal these contracts. Because the respondent's due process rights had gotten violated, the respondent might have utilized this evidence to disqualify the witnesses. </w:t>
      </w:r>
    </w:p>
    <w:p w:rsidR="003D32B3" w:rsidRPr="00731693" w:rsidP="00F008DF">
      <w:pPr>
        <w:spacing w:after="0" w:line="480" w:lineRule="auto"/>
        <w:ind w:firstLine="720"/>
        <w:contextualSpacing/>
        <w:rPr>
          <w:rFonts w:ascii="Times New Roman" w:hAnsi="Times New Roman" w:cs="Times New Roman"/>
          <w:sz w:val="24"/>
          <w:szCs w:val="24"/>
        </w:rPr>
      </w:pPr>
      <w:r w:rsidRPr="00731693">
        <w:rPr>
          <w:rFonts w:ascii="Times New Roman" w:hAnsi="Times New Roman" w:cs="Times New Roman"/>
          <w:sz w:val="24"/>
          <w:szCs w:val="24"/>
        </w:rPr>
        <w:t>All of the cases investigated reveal indications of due process violations in various ways. Because due process is a legal obligation, a state owes it to an individual to respect and allow all legal rights—another instance of due process in ano</w:t>
      </w:r>
      <w:r w:rsidRPr="00731693">
        <w:rPr>
          <w:rFonts w:ascii="Times New Roman" w:hAnsi="Times New Roman" w:cs="Times New Roman"/>
          <w:sz w:val="24"/>
          <w:szCs w:val="24"/>
        </w:rPr>
        <w:t xml:space="preserve">ther example that I would like to share. </w:t>
      </w:r>
      <w:r w:rsidRPr="009D724B" w:rsidR="009D724B">
        <w:rPr>
          <w:rFonts w:ascii="Times New Roman" w:hAnsi="Times New Roman" w:cs="Times New Roman"/>
          <w:sz w:val="24"/>
          <w:szCs w:val="24"/>
        </w:rPr>
        <w:t>Gabriel Fernandez's case concerns child abuse, and in 2017, the case's social workers were charged with carelessness. Judge Mary found sufficient evidence to charge the social workers accountable for evidence mismanagement. By failing to document the issue and making misleading reports, they mismanaged the matter. There would have been a paper trail to demonstrate what was going on in Gabriel's family if the caseworkers had completed their records correctly, and he would have been pulled sooner.</w:t>
      </w:r>
      <w:bookmarkStart w:id="0" w:name="_GoBack"/>
      <w:bookmarkEnd w:id="0"/>
    </w:p>
    <w:p w:rsidR="003D32B3" w:rsidRPr="00731693" w:rsidP="00F008DF">
      <w:pPr>
        <w:spacing w:after="0" w:line="480" w:lineRule="auto"/>
        <w:ind w:firstLine="720"/>
        <w:contextualSpacing/>
        <w:rPr>
          <w:rFonts w:ascii="Times New Roman" w:hAnsi="Times New Roman" w:cs="Times New Roman"/>
          <w:sz w:val="24"/>
          <w:szCs w:val="24"/>
        </w:rPr>
      </w:pPr>
      <w:r w:rsidRPr="00731693">
        <w:rPr>
          <w:rFonts w:ascii="Times New Roman" w:hAnsi="Times New Roman" w:cs="Times New Roman"/>
          <w:sz w:val="24"/>
          <w:szCs w:val="24"/>
        </w:rPr>
        <w:t xml:space="preserve">Overall, due process does not imply they are exempt from the same penalties if they violate government workers' law. Under such conditions, they are unable to hold their employment. </w:t>
      </w:r>
      <w:r w:rsidRPr="00FE3D3C" w:rsidR="00FE3D3C">
        <w:rPr>
          <w:rFonts w:ascii="Times New Roman" w:hAnsi="Times New Roman" w:cs="Times New Roman"/>
          <w:sz w:val="24"/>
          <w:szCs w:val="24"/>
        </w:rPr>
        <w:t>The government is obligated to provide the employee with advance notice of their termination. At an administrative hearing, they will be able to be heard. The government will have to show that there was a valid reason for terminating the employee, and the employee will have the right to argue why they should not be fired. If an employee's due process rights get violated, the government may get sued. As shown, in rare instances, a lack of due process can result in more severe punishments, including death.</w:t>
      </w:r>
      <w:r w:rsidRPr="00731693">
        <w:rPr>
          <w:rFonts w:ascii="Times New Roman" w:hAnsi="Times New Roman" w:cs="Times New Roman"/>
          <w:sz w:val="24"/>
          <w:szCs w:val="24"/>
        </w:rPr>
        <w:t xml:space="preserve"> It is a precaution for individuals to e</w:t>
      </w:r>
      <w:r w:rsidRPr="00731693">
        <w:rPr>
          <w:rFonts w:ascii="Times New Roman" w:hAnsi="Times New Roman" w:cs="Times New Roman"/>
          <w:sz w:val="24"/>
          <w:szCs w:val="24"/>
        </w:rPr>
        <w:t xml:space="preserve">nsure that this does not occur, so measures must be taken to ensure that it does </w:t>
      </w:r>
      <w:r w:rsidRPr="00731693">
        <w:rPr>
          <w:rFonts w:ascii="Times New Roman" w:hAnsi="Times New Roman" w:cs="Times New Roman"/>
          <w:sz w:val="24"/>
          <w:szCs w:val="24"/>
        </w:rPr>
        <w:t>not happen regularly. The finest verse</w:t>
      </w:r>
      <w:r w:rsidRPr="00731693" w:rsidR="00C85B58">
        <w:rPr>
          <w:rFonts w:ascii="Times New Roman" w:hAnsi="Times New Roman" w:cs="Times New Roman"/>
          <w:sz w:val="24"/>
          <w:szCs w:val="24"/>
        </w:rPr>
        <w:t xml:space="preserve"> from the new king James version</w:t>
      </w:r>
      <w:r w:rsidRPr="00731693">
        <w:rPr>
          <w:rFonts w:ascii="Times New Roman" w:hAnsi="Times New Roman" w:cs="Times New Roman"/>
          <w:sz w:val="24"/>
          <w:szCs w:val="24"/>
        </w:rPr>
        <w:t xml:space="preserve"> about doing the right thing in all situations is Galatians 6:9. 9 </w:t>
      </w:r>
      <w:r w:rsidRPr="00731693" w:rsidR="00C85B58">
        <w:rPr>
          <w:rFonts w:ascii="Times New Roman" w:hAnsi="Times New Roman" w:cs="Times New Roman"/>
          <w:sz w:val="24"/>
          <w:szCs w:val="24"/>
        </w:rPr>
        <w:t>“</w:t>
      </w:r>
      <w:r w:rsidRPr="00731693">
        <w:rPr>
          <w:rFonts w:ascii="Times New Roman" w:hAnsi="Times New Roman" w:cs="Times New Roman"/>
          <w:sz w:val="24"/>
          <w:szCs w:val="24"/>
        </w:rPr>
        <w:t>Let us not get tired in doing good, f</w:t>
      </w:r>
      <w:r w:rsidRPr="00731693">
        <w:rPr>
          <w:rFonts w:ascii="Times New Roman" w:hAnsi="Times New Roman" w:cs="Times New Roman"/>
          <w:sz w:val="24"/>
          <w:szCs w:val="24"/>
        </w:rPr>
        <w:t>or if we do not give up, we shall reap a harvest at the appropriate time.</w:t>
      </w:r>
      <w:r w:rsidRPr="00731693" w:rsidR="00C85B58">
        <w:rPr>
          <w:rFonts w:ascii="Times New Roman" w:hAnsi="Times New Roman" w:cs="Times New Roman"/>
          <w:sz w:val="24"/>
          <w:szCs w:val="24"/>
        </w:rPr>
        <w:t>”</w:t>
      </w:r>
    </w:p>
    <w:p w:rsidR="00F008DF" w:rsidRPr="00731693" w:rsidP="00C85B58">
      <w:pPr>
        <w:spacing w:after="0" w:line="480" w:lineRule="auto"/>
        <w:ind w:firstLine="720"/>
        <w:contextualSpacing/>
        <w:jc w:val="center"/>
        <w:rPr>
          <w:rFonts w:ascii="Times New Roman" w:hAnsi="Times New Roman" w:cs="Times New Roman"/>
          <w:b/>
          <w:sz w:val="24"/>
          <w:szCs w:val="24"/>
        </w:rPr>
      </w:pPr>
      <w:r w:rsidRPr="00731693">
        <w:rPr>
          <w:rFonts w:ascii="Times New Roman" w:hAnsi="Times New Roman" w:cs="Times New Roman"/>
          <w:b/>
          <w:sz w:val="24"/>
          <w:szCs w:val="24"/>
        </w:rPr>
        <w:t>References</w:t>
      </w:r>
    </w:p>
    <w:p w:rsidR="00731693" w:rsidRPr="00731693" w:rsidP="00C85B58">
      <w:pPr>
        <w:spacing w:after="0" w:line="480" w:lineRule="auto"/>
        <w:ind w:left="720" w:hanging="720"/>
        <w:contextualSpacing/>
        <w:rPr>
          <w:rFonts w:ascii="Times New Roman" w:hAnsi="Times New Roman" w:cs="Times New Roman"/>
          <w:sz w:val="24"/>
          <w:szCs w:val="24"/>
        </w:rPr>
      </w:pPr>
      <w:r w:rsidRPr="00731693">
        <w:rPr>
          <w:rFonts w:ascii="Times New Roman" w:hAnsi="Times New Roman" w:cs="Times New Roman"/>
          <w:sz w:val="24"/>
          <w:szCs w:val="24"/>
          <w:shd w:val="clear" w:color="auto" w:fill="FFFFFF"/>
        </w:rPr>
        <w:t>Daniels, D. W. (2020). </w:t>
      </w:r>
      <w:r w:rsidRPr="00731693">
        <w:rPr>
          <w:rFonts w:ascii="Times New Roman" w:hAnsi="Times New Roman" w:cs="Times New Roman"/>
          <w:i/>
          <w:iCs/>
          <w:sz w:val="24"/>
          <w:szCs w:val="24"/>
          <w:shd w:val="clear" w:color="auto" w:fill="FFFFFF"/>
        </w:rPr>
        <w:t>New King James-The Bridge Bible</w:t>
      </w:r>
      <w:r w:rsidRPr="00731693">
        <w:rPr>
          <w:rFonts w:ascii="Times New Roman" w:hAnsi="Times New Roman" w:cs="Times New Roman"/>
          <w:sz w:val="24"/>
          <w:szCs w:val="24"/>
          <w:shd w:val="clear" w:color="auto" w:fill="FFFFFF"/>
        </w:rPr>
        <w:t>. Chick Publications.</w:t>
      </w:r>
    </w:p>
    <w:p w:rsidR="00731693" w:rsidRPr="00731693" w:rsidP="00C85B58">
      <w:pPr>
        <w:spacing w:after="0" w:line="480" w:lineRule="auto"/>
        <w:ind w:left="720" w:hanging="720"/>
        <w:contextualSpacing/>
        <w:rPr>
          <w:rFonts w:ascii="Times New Roman" w:hAnsi="Times New Roman" w:cs="Times New Roman"/>
          <w:sz w:val="24"/>
          <w:szCs w:val="24"/>
          <w:shd w:val="clear" w:color="auto" w:fill="FFFFFF"/>
        </w:rPr>
      </w:pPr>
      <w:r w:rsidRPr="00731693">
        <w:rPr>
          <w:rFonts w:ascii="Times New Roman" w:hAnsi="Times New Roman" w:cs="Times New Roman"/>
          <w:sz w:val="24"/>
          <w:szCs w:val="24"/>
          <w:shd w:val="clear" w:color="auto" w:fill="FFFFFF"/>
        </w:rPr>
        <w:t xml:space="preserve">Judge, L. A. (2005). Disclosing officer untruthfulness to the defense: Is a liars squad coming to your town. </w:t>
      </w:r>
      <w:r w:rsidRPr="00731693">
        <w:rPr>
          <w:rFonts w:ascii="Times New Roman" w:hAnsi="Times New Roman" w:cs="Times New Roman"/>
          <w:i/>
          <w:iCs/>
          <w:sz w:val="24"/>
          <w:szCs w:val="24"/>
          <w:shd w:val="clear" w:color="auto" w:fill="FFFFFF"/>
        </w:rPr>
        <w:t>Police Chief (Nov. 2005), http://www. policechiefmagazine. org/magazine/index. cfm</w:t>
      </w:r>
      <w:r w:rsidRPr="00731693">
        <w:rPr>
          <w:rFonts w:ascii="Times New Roman" w:hAnsi="Times New Roman" w:cs="Times New Roman"/>
          <w:sz w:val="24"/>
          <w:szCs w:val="24"/>
          <w:shd w:val="clear" w:color="auto" w:fill="FFFFFF"/>
        </w:rPr>
        <w:t>.</w:t>
      </w:r>
    </w:p>
    <w:p w:rsidR="00731693" w:rsidRPr="00731693" w:rsidP="00C85B58">
      <w:pPr>
        <w:spacing w:after="0" w:line="480" w:lineRule="auto"/>
        <w:ind w:left="720" w:hanging="720"/>
        <w:contextualSpacing/>
        <w:rPr>
          <w:rFonts w:ascii="Times New Roman" w:hAnsi="Times New Roman" w:cs="Times New Roman"/>
          <w:sz w:val="24"/>
          <w:szCs w:val="24"/>
          <w:shd w:val="clear" w:color="auto" w:fill="FFFFFF"/>
        </w:rPr>
      </w:pPr>
      <w:r w:rsidRPr="00731693">
        <w:rPr>
          <w:rFonts w:ascii="Times New Roman" w:hAnsi="Times New Roman" w:cs="Times New Roman"/>
          <w:sz w:val="24"/>
          <w:szCs w:val="24"/>
          <w:shd w:val="clear" w:color="auto" w:fill="FFFFFF"/>
        </w:rPr>
        <w:t>Kovac, M. C. (2020). The role of the public prosecutor in the U</w:t>
      </w:r>
      <w:r w:rsidRPr="00731693">
        <w:rPr>
          <w:rFonts w:ascii="Times New Roman" w:hAnsi="Times New Roman" w:cs="Times New Roman"/>
          <w:sz w:val="24"/>
          <w:szCs w:val="24"/>
          <w:shd w:val="clear" w:color="auto" w:fill="FFFFFF"/>
        </w:rPr>
        <w:t>nited States. </w:t>
      </w:r>
      <w:r w:rsidRPr="00731693">
        <w:rPr>
          <w:rFonts w:ascii="Times New Roman" w:hAnsi="Times New Roman" w:cs="Times New Roman"/>
          <w:i/>
          <w:iCs/>
          <w:sz w:val="24"/>
          <w:szCs w:val="24"/>
          <w:shd w:val="clear" w:color="auto" w:fill="FFFFFF"/>
        </w:rPr>
        <w:t>Revista Acadêmica Escola Superior do Ministério Público do Ceará</w:t>
      </w:r>
      <w:r w:rsidRPr="00731693">
        <w:rPr>
          <w:rFonts w:ascii="Times New Roman" w:hAnsi="Times New Roman" w:cs="Times New Roman"/>
          <w:sz w:val="24"/>
          <w:szCs w:val="24"/>
          <w:shd w:val="clear" w:color="auto" w:fill="FFFFFF"/>
        </w:rPr>
        <w:t>, </w:t>
      </w:r>
      <w:r w:rsidRPr="00731693">
        <w:rPr>
          <w:rFonts w:ascii="Times New Roman" w:hAnsi="Times New Roman" w:cs="Times New Roman"/>
          <w:i/>
          <w:iCs/>
          <w:sz w:val="24"/>
          <w:szCs w:val="24"/>
          <w:shd w:val="clear" w:color="auto" w:fill="FFFFFF"/>
        </w:rPr>
        <w:t>12</w:t>
      </w:r>
      <w:r w:rsidRPr="00731693">
        <w:rPr>
          <w:rFonts w:ascii="Times New Roman" w:hAnsi="Times New Roman" w:cs="Times New Roman"/>
          <w:sz w:val="24"/>
          <w:szCs w:val="24"/>
          <w:shd w:val="clear" w:color="auto" w:fill="FFFFFF"/>
        </w:rPr>
        <w:t>(1), 253-263.</w:t>
      </w:r>
    </w:p>
    <w:p w:rsidR="00731693" w:rsidRPr="00731693" w:rsidP="00C85B58">
      <w:pPr>
        <w:spacing w:after="0" w:line="480" w:lineRule="auto"/>
        <w:ind w:left="720" w:hanging="720"/>
        <w:contextualSpacing/>
        <w:rPr>
          <w:rFonts w:ascii="Times New Roman" w:hAnsi="Times New Roman" w:cs="Times New Roman"/>
          <w:sz w:val="24"/>
          <w:szCs w:val="24"/>
          <w:shd w:val="clear" w:color="auto" w:fill="FFFFFF"/>
        </w:rPr>
      </w:pPr>
      <w:r w:rsidRPr="00731693">
        <w:rPr>
          <w:rFonts w:ascii="Times New Roman" w:hAnsi="Times New Roman" w:cs="Times New Roman"/>
          <w:sz w:val="24"/>
          <w:szCs w:val="24"/>
          <w:shd w:val="clear" w:color="auto" w:fill="FFFFFF"/>
        </w:rPr>
        <w:t>Neuschatz, J. S., Lawson, D. S., Swanner, J. K., Meissner, C. A., &amp; Neuschatz, J. S. (2008). The effects of accomplice witnesses and jailhouse informants on jur</w:t>
      </w:r>
      <w:r w:rsidRPr="00731693">
        <w:rPr>
          <w:rFonts w:ascii="Times New Roman" w:hAnsi="Times New Roman" w:cs="Times New Roman"/>
          <w:sz w:val="24"/>
          <w:szCs w:val="24"/>
          <w:shd w:val="clear" w:color="auto" w:fill="FFFFFF"/>
        </w:rPr>
        <w:t xml:space="preserve">y decision-making. </w:t>
      </w:r>
      <w:r w:rsidRPr="00731693">
        <w:rPr>
          <w:rFonts w:ascii="Times New Roman" w:hAnsi="Times New Roman" w:cs="Times New Roman"/>
          <w:i/>
          <w:iCs/>
          <w:sz w:val="24"/>
          <w:szCs w:val="24"/>
          <w:shd w:val="clear" w:color="auto" w:fill="FFFFFF"/>
        </w:rPr>
        <w:t>Law and Human Behavior</w:t>
      </w:r>
      <w:r w:rsidRPr="00731693">
        <w:rPr>
          <w:rFonts w:ascii="Times New Roman" w:hAnsi="Times New Roman" w:cs="Times New Roman"/>
          <w:sz w:val="24"/>
          <w:szCs w:val="24"/>
          <w:shd w:val="clear" w:color="auto" w:fill="FFFFFF"/>
        </w:rPr>
        <w:t>, </w:t>
      </w:r>
      <w:r w:rsidRPr="00731693">
        <w:rPr>
          <w:rFonts w:ascii="Times New Roman" w:hAnsi="Times New Roman" w:cs="Times New Roman"/>
          <w:i/>
          <w:iCs/>
          <w:sz w:val="24"/>
          <w:szCs w:val="24"/>
          <w:shd w:val="clear" w:color="auto" w:fill="FFFFFF"/>
        </w:rPr>
        <w:t>32</w:t>
      </w:r>
      <w:r w:rsidRPr="00731693">
        <w:rPr>
          <w:rFonts w:ascii="Times New Roman" w:hAnsi="Times New Roman" w:cs="Times New Roman"/>
          <w:sz w:val="24"/>
          <w:szCs w:val="24"/>
          <w:shd w:val="clear" w:color="auto" w:fill="FFFFFF"/>
        </w:rPr>
        <w:t>(2), 137-149.</w:t>
      </w:r>
    </w:p>
    <w:p w:rsidR="00731693" w:rsidRPr="00731693" w:rsidP="00C85B58">
      <w:pPr>
        <w:spacing w:after="0" w:line="480" w:lineRule="auto"/>
        <w:ind w:left="720" w:hanging="720"/>
        <w:contextualSpacing/>
        <w:rPr>
          <w:rFonts w:ascii="Times New Roman" w:hAnsi="Times New Roman" w:cs="Times New Roman"/>
          <w:sz w:val="24"/>
          <w:szCs w:val="24"/>
          <w:shd w:val="clear" w:color="auto" w:fill="FFFFFF"/>
        </w:rPr>
      </w:pPr>
      <w:r w:rsidRPr="00731693">
        <w:rPr>
          <w:rFonts w:ascii="Times New Roman" w:hAnsi="Times New Roman" w:cs="Times New Roman"/>
          <w:sz w:val="24"/>
          <w:szCs w:val="24"/>
          <w:shd w:val="clear" w:color="auto" w:fill="FFFFFF"/>
        </w:rPr>
        <w:t>Smith, J. R. (1999). Kyles v. Whitley and the Price of Exculpatory Evidence. </w:t>
      </w:r>
      <w:r w:rsidRPr="00731693">
        <w:rPr>
          <w:rFonts w:ascii="Times New Roman" w:hAnsi="Times New Roman" w:cs="Times New Roman"/>
          <w:i/>
          <w:iCs/>
          <w:sz w:val="24"/>
          <w:szCs w:val="24"/>
          <w:shd w:val="clear" w:color="auto" w:fill="FFFFFF"/>
        </w:rPr>
        <w:t>New Eng. J. on Crim. &amp; Civ. Confinement</w:t>
      </w:r>
      <w:r w:rsidRPr="00731693">
        <w:rPr>
          <w:rFonts w:ascii="Times New Roman" w:hAnsi="Times New Roman" w:cs="Times New Roman"/>
          <w:sz w:val="24"/>
          <w:szCs w:val="24"/>
          <w:shd w:val="clear" w:color="auto" w:fill="FFFFFF"/>
        </w:rPr>
        <w:t>, </w:t>
      </w:r>
      <w:r w:rsidRPr="00731693">
        <w:rPr>
          <w:rFonts w:ascii="Times New Roman" w:hAnsi="Times New Roman" w:cs="Times New Roman"/>
          <w:i/>
          <w:iCs/>
          <w:sz w:val="24"/>
          <w:szCs w:val="24"/>
          <w:shd w:val="clear" w:color="auto" w:fill="FFFFFF"/>
        </w:rPr>
        <w:t>25</w:t>
      </w:r>
      <w:r w:rsidRPr="00731693">
        <w:rPr>
          <w:rFonts w:ascii="Times New Roman" w:hAnsi="Times New Roman" w:cs="Times New Roman"/>
          <w:sz w:val="24"/>
          <w:szCs w:val="24"/>
          <w:shd w:val="clear" w:color="auto" w:fill="FFFFFF"/>
        </w:rPr>
        <w:t>, 553.</w:t>
      </w:r>
    </w:p>
    <w:p w:rsidR="00731693" w:rsidRPr="00731693" w:rsidP="00C85B58">
      <w:pPr>
        <w:spacing w:after="0" w:line="480" w:lineRule="auto"/>
        <w:ind w:left="720" w:hanging="720"/>
        <w:contextualSpacing/>
        <w:rPr>
          <w:rFonts w:ascii="Times New Roman" w:hAnsi="Times New Roman" w:cs="Times New Roman"/>
          <w:sz w:val="24"/>
          <w:szCs w:val="24"/>
          <w:shd w:val="clear" w:color="auto" w:fill="FFFFFF"/>
        </w:rPr>
      </w:pPr>
      <w:r w:rsidRPr="00731693">
        <w:rPr>
          <w:rFonts w:ascii="Times New Roman" w:hAnsi="Times New Roman" w:cs="Times New Roman"/>
          <w:sz w:val="24"/>
          <w:szCs w:val="24"/>
          <w:shd w:val="clear" w:color="auto" w:fill="FFFFFF"/>
        </w:rPr>
        <w:t>v Maryland, B. 373 US 83 (1963). </w:t>
      </w:r>
      <w:r w:rsidRPr="00731693">
        <w:rPr>
          <w:rFonts w:ascii="Times New Roman" w:hAnsi="Times New Roman" w:cs="Times New Roman"/>
          <w:i/>
          <w:iCs/>
          <w:sz w:val="24"/>
          <w:szCs w:val="24"/>
          <w:shd w:val="clear" w:color="auto" w:fill="FFFFFF"/>
        </w:rPr>
        <w:t>Giglio v United States</w:t>
      </w:r>
      <w:r w:rsidRPr="00731693">
        <w:rPr>
          <w:rFonts w:ascii="Times New Roman" w:hAnsi="Times New Roman" w:cs="Times New Roman"/>
          <w:sz w:val="24"/>
          <w:szCs w:val="24"/>
          <w:shd w:val="clear" w:color="auto" w:fill="FFFFFF"/>
        </w:rPr>
        <w:t>, </w:t>
      </w:r>
      <w:r w:rsidRPr="00731693">
        <w:rPr>
          <w:rFonts w:ascii="Times New Roman" w:hAnsi="Times New Roman" w:cs="Times New Roman"/>
          <w:i/>
          <w:iCs/>
          <w:sz w:val="24"/>
          <w:szCs w:val="24"/>
          <w:shd w:val="clear" w:color="auto" w:fill="FFFFFF"/>
        </w:rPr>
        <w:t>405</w:t>
      </w:r>
      <w:r w:rsidRPr="00731693">
        <w:rPr>
          <w:rFonts w:ascii="Times New Roman" w:hAnsi="Times New Roman" w:cs="Times New Roman"/>
          <w:sz w:val="24"/>
          <w:szCs w:val="24"/>
          <w:shd w:val="clear" w:color="auto" w:fill="FFFFFF"/>
        </w:rPr>
        <w:t>.</w:t>
      </w:r>
    </w:p>
    <w:p w:rsidR="003D32B3" w:rsidRPr="00731693" w:rsidP="00F008DF">
      <w:pPr>
        <w:spacing w:after="0" w:line="480" w:lineRule="auto"/>
        <w:ind w:firstLine="720"/>
        <w:contextualSpacing/>
        <w:rPr>
          <w:rFonts w:ascii="Times New Roman" w:hAnsi="Times New Roman" w:cs="Times New Roman"/>
          <w:sz w:val="24"/>
          <w:szCs w:val="24"/>
        </w:rPr>
      </w:pPr>
      <w:r w:rsidRPr="00731693">
        <w:rPr>
          <w:rFonts w:ascii="Times New Roman" w:hAnsi="Times New Roman" w:cs="Times New Roman"/>
          <w:sz w:val="24"/>
          <w:szCs w:val="24"/>
        </w:rPr>
        <w:t xml:space="preserve"> </w:t>
      </w:r>
    </w:p>
    <w:sectPr>
      <w:headerReference w:type="default" r:id="rI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03599979"/>
      <w:docPartObj>
        <w:docPartGallery w:val="Page Numbers (Top of Page)"/>
        <w:docPartUnique/>
      </w:docPartObj>
    </w:sdtPr>
    <w:sdtEndPr>
      <w:rPr>
        <w:rFonts w:ascii="Times New Roman" w:hAnsi="Times New Roman" w:cs="Times New Roman"/>
        <w:noProof/>
        <w:sz w:val="28"/>
      </w:rPr>
    </w:sdtEndPr>
    <w:sdtContent>
      <w:p w:rsidR="00F008DF" w:rsidRPr="00F008DF">
        <w:pPr>
          <w:pStyle w:val="Header"/>
          <w:jc w:val="right"/>
          <w:rPr>
            <w:rFonts w:ascii="Times New Roman" w:hAnsi="Times New Roman" w:cs="Times New Roman"/>
            <w:sz w:val="24"/>
          </w:rPr>
        </w:pPr>
        <w:r w:rsidRPr="00F008DF">
          <w:rPr>
            <w:rFonts w:ascii="Times New Roman" w:hAnsi="Times New Roman" w:cs="Times New Roman"/>
            <w:sz w:val="24"/>
          </w:rPr>
          <w:fldChar w:fldCharType="begin"/>
        </w:r>
        <w:r w:rsidRPr="00F008DF">
          <w:rPr>
            <w:rFonts w:ascii="Times New Roman" w:hAnsi="Times New Roman" w:cs="Times New Roman"/>
            <w:sz w:val="24"/>
          </w:rPr>
          <w:instrText xml:space="preserve"> PAGE   \* MERGEFORMAT </w:instrText>
        </w:r>
        <w:r w:rsidRPr="00F008DF">
          <w:rPr>
            <w:rFonts w:ascii="Times New Roman" w:hAnsi="Times New Roman" w:cs="Times New Roman"/>
            <w:sz w:val="24"/>
          </w:rPr>
          <w:fldChar w:fldCharType="separate"/>
        </w:r>
        <w:r w:rsidRPr="00F008DF">
          <w:rPr>
            <w:rFonts w:ascii="Times New Roman" w:hAnsi="Times New Roman" w:cs="Times New Roman"/>
            <w:noProof/>
            <w:sz w:val="24"/>
          </w:rPr>
          <w:t>2</w:t>
        </w:r>
        <w:r w:rsidRPr="00F008DF">
          <w:rPr>
            <w:rFonts w:ascii="Times New Roman" w:hAnsi="Times New Roman" w:cs="Times New Roman"/>
            <w:noProof/>
            <w:sz w:val="24"/>
          </w:rPr>
          <w:fldChar w:fldCharType="end"/>
        </w:r>
      </w:p>
    </w:sdtContent>
  </w:sdt>
  <w:p w:rsidR="00F008D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421"/>
    <w:rsid w:val="000445C7"/>
    <w:rsid w:val="000B1BE3"/>
    <w:rsid w:val="002C3F0B"/>
    <w:rsid w:val="0038789C"/>
    <w:rsid w:val="003D32B3"/>
    <w:rsid w:val="00731693"/>
    <w:rsid w:val="008A5EC5"/>
    <w:rsid w:val="00924225"/>
    <w:rsid w:val="00967CF6"/>
    <w:rsid w:val="009D724B"/>
    <w:rsid w:val="009E1C3D"/>
    <w:rsid w:val="00B11E8F"/>
    <w:rsid w:val="00C85B58"/>
    <w:rsid w:val="00DC2421"/>
    <w:rsid w:val="00F008DF"/>
    <w:rsid w:val="00FE3D3C"/>
  </w:rsids>
  <m:mathPr>
    <m:mathFont m:val="Cambria Math"/>
  </m:mathPr>
  <w:clrSchemeMapping w:bg1="light1" w:t1="dark1" w:bg2="light2" w:t2="dark2" w:accent1="accent1" w:accent2="accent2" w:accent3="accent3" w:accent4="accent4" w:accent5="accent5" w:accent6="accent6" w:hyperlink="hyperlink" w:followedHyperlink="followedHyperlink"/>
  <w14:docId w14:val="7BD3433E"/>
  <w15:chartTrackingRefBased/>
  <w15:docId w15:val="{1108CE39-C765-4AFD-8B0D-0B4A58A3C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8DF"/>
  </w:style>
  <w:style w:type="paragraph" w:styleId="Footer">
    <w:name w:val="footer"/>
    <w:basedOn w:val="Normal"/>
    <w:link w:val="FooterChar"/>
    <w:uiPriority w:val="99"/>
    <w:unhideWhenUsed/>
    <w:rsid w:val="00F00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8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6</Pages>
  <Words>1421</Words>
  <Characters>8100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dc:creator>
  <cp:lastModifiedBy>steve</cp:lastModifiedBy>
  <cp:revision>3</cp:revision>
  <dcterms:created xsi:type="dcterms:W3CDTF">2021-08-20T01:03:00Z</dcterms:created>
  <dcterms:modified xsi:type="dcterms:W3CDTF">2021-08-20T04:34:00Z</dcterms:modified>
</cp:coreProperties>
</file>