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ab/>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7</w:t>
      </w:r>
      <w:r>
        <w:rPr>
          <w:rFonts w:ascii="Times New Roman" w:cs="Times New Roman" w:hAnsi="Times New Roman"/>
          <w:sz w:val="24"/>
          <w:szCs w:val="24"/>
        </w:rPr>
        <w:t>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(Authors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bookmarkStart w:id="0" w:name="_GoBack"/>
      <w:bookmarkEnd w:id="0"/>
      <w:r>
        <w:rPr>
          <w:rFonts w:ascii="Times New Roman" w:cs="Times New Roman" w:hAnsi="Times New Roman"/>
          <w:b/>
          <w:sz w:val="24"/>
          <w:szCs w:val="24"/>
        </w:rPr>
        <w:t>I</w:t>
      </w:r>
      <w:r>
        <w:rPr>
          <w:rFonts w:ascii="Times New Roman" w:cs="Times New Roman" w:hAnsi="Times New Roman"/>
          <w:b/>
          <w:sz w:val="24"/>
          <w:szCs w:val="24"/>
        </w:rPr>
        <w:t>ntroduction</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purpose of this policy is to prevent unauthorized access to this healthcare facility’s information system. </w:t>
      </w:r>
      <w:r>
        <w:rPr>
          <w:rFonts w:ascii="Times New Roman" w:cs="Times New Roman" w:hAnsi="Times New Roman"/>
          <w:sz w:val="24"/>
          <w:szCs w:val="24"/>
        </w:rPr>
        <w:t xml:space="preserve">Information and data are valuable assets in this facility and must thus be protected. </w:t>
      </w:r>
      <w:r>
        <w:rPr>
          <w:rFonts w:ascii="Times New Roman" w:cs="Times New Roman" w:hAnsi="Times New Roman"/>
          <w:sz w:val="24"/>
          <w:szCs w:val="24"/>
        </w:rPr>
        <w:t xml:space="preserve">This policy outlines those who are granted access </w:t>
      </w:r>
      <w:r>
        <w:rPr>
          <w:rFonts w:ascii="Times New Roman" w:cs="Times New Roman" w:hAnsi="Times New Roman"/>
          <w:sz w:val="24"/>
          <w:szCs w:val="24"/>
        </w:rPr>
        <w:t xml:space="preserve">and their rights </w:t>
      </w:r>
      <w:r>
        <w:rPr>
          <w:rFonts w:ascii="Times New Roman" w:cs="Times New Roman" w:hAnsi="Times New Roman"/>
          <w:sz w:val="24"/>
          <w:szCs w:val="24"/>
        </w:rPr>
        <w:t>and what they can access. This policy is mea</w:t>
      </w:r>
      <w:r>
        <w:rPr>
          <w:rFonts w:ascii="Times New Roman" w:cs="Times New Roman" w:hAnsi="Times New Roman"/>
          <w:sz w:val="24"/>
          <w:szCs w:val="24"/>
        </w:rPr>
        <w:t xml:space="preserve">nt to protect data, information and resources which are owned by this healthcare facility and ensure that total integrity is maintained. </w:t>
      </w:r>
      <w:r>
        <w:rPr>
          <w:rFonts w:ascii="Times New Roman" w:cs="Times New Roman" w:hAnsi="Times New Roman"/>
          <w:sz w:val="24"/>
          <w:szCs w:val="24"/>
        </w:rPr>
        <w:t>This policy also ensures that staff members are granted a least privilege in order for the facility to prevent itself from threats wh</w:t>
      </w:r>
      <w:r>
        <w:rPr>
          <w:rFonts w:ascii="Times New Roman" w:cs="Times New Roman" w:hAnsi="Times New Roman"/>
          <w:sz w:val="24"/>
          <w:szCs w:val="24"/>
        </w:rPr>
        <w:t xml:space="preserve">ich may be caused by insiders.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Scope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w:t>
      </w:r>
      <w:r>
        <w:rPr>
          <w:rFonts w:ascii="Times New Roman" w:cs="Times New Roman" w:hAnsi="Times New Roman"/>
          <w:sz w:val="24"/>
          <w:szCs w:val="24"/>
        </w:rPr>
        <w:t xml:space="preserve">policy applies to all the staff who work in this healthcare facility.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policy also applies to contractors, vendors and third parties who may work in the organization. This includes external auditors and consultants.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policy also applies to software and applications which are used by the facility.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 xml:space="preserve">User </w:t>
      </w:r>
      <w:r>
        <w:rPr>
          <w:rFonts w:ascii="Times New Roman" w:cs="Times New Roman" w:hAnsi="Times New Roman"/>
          <w:b/>
          <w:sz w:val="24"/>
          <w:szCs w:val="24"/>
        </w:rPr>
        <w:t>r</w:t>
      </w:r>
      <w:r>
        <w:rPr>
          <w:rFonts w:ascii="Times New Roman" w:cs="Times New Roman" w:hAnsi="Times New Roman"/>
          <w:b/>
          <w:sz w:val="24"/>
          <w:szCs w:val="24"/>
        </w:rPr>
        <w:t>egistration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human resource department should be forwarding the names of employees who have been hired to the IT department. The human resource department should also be forwarding names of employees who have been suspended, or fired so that their access can be revoked. The system administrator will be responsible for</w:t>
      </w:r>
      <w:r>
        <w:rPr>
          <w:rFonts w:ascii="Times New Roman" w:cs="Times New Roman" w:hAnsi="Times New Roman"/>
          <w:sz w:val="24"/>
          <w:szCs w:val="24"/>
        </w:rPr>
        <w:t xml:space="preserve"> creation of user accounts,</w:t>
      </w:r>
      <w:r>
        <w:rPr>
          <w:rFonts w:ascii="Times New Roman" w:cs="Times New Roman" w:hAnsi="Times New Roman"/>
          <w:sz w:val="24"/>
          <w:szCs w:val="24"/>
        </w:rPr>
        <w:t xml:space="preserve"> granting access or revoking access</w:t>
      </w:r>
      <w:r>
        <w:rPr>
          <w:rFonts w:ascii="Times New Roman" w:cs="Times New Roman" w:hAnsi="Times New Roman"/>
          <w:sz w:val="24"/>
          <w:szCs w:val="24"/>
        </w:rPr>
        <w:t xml:space="preserve"> to staff members. The system administrator will also be responsible for creation of third-party accounts such as those belonging to contractors and consultants. The system administrator must also ensure that access privileges which are granted to third party accounts do not </w:t>
      </w:r>
      <w:r>
        <w:rPr>
          <w:rFonts w:ascii="Times New Roman" w:cs="Times New Roman" w:hAnsi="Times New Roman"/>
          <w:sz w:val="24"/>
          <w:szCs w:val="24"/>
        </w:rPr>
        <w:t xml:space="preserve">compromise on the security of the facility. Third party account user access must be revoked immediately their contract with the hospital ends.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Access control re</w:t>
      </w:r>
      <w:r>
        <w:rPr>
          <w:rFonts w:ascii="Times New Roman" w:cs="Times New Roman" w:hAnsi="Times New Roman"/>
          <w:b/>
          <w:sz w:val="24"/>
          <w:szCs w:val="24"/>
        </w:rPr>
        <w:t>quirements</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Each</w:t>
      </w:r>
      <w:r>
        <w:rPr>
          <w:rFonts w:ascii="Times New Roman" w:cs="Times New Roman" w:hAnsi="Times New Roman"/>
          <w:sz w:val="24"/>
          <w:szCs w:val="24"/>
        </w:rPr>
        <w:t xml:space="preserve"> user must have a unique ID and a password in order to have access to the hospital’s systems, database and applications.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Remote access should be done on secure networks.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Passwords and password policy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Use of weak passwords </w:t>
      </w:r>
      <w:r>
        <w:rPr>
          <w:rFonts w:ascii="Times New Roman" w:cs="Times New Roman" w:hAnsi="Times New Roman"/>
          <w:sz w:val="24"/>
          <w:szCs w:val="24"/>
        </w:rPr>
        <w:t>increases the threat of access by attackers who may guess or crack passwords. In order to improve security, strong passwords should be used</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Yıldırım</w:t>
      </w:r>
      <w:r>
        <w:rPr>
          <w:rFonts w:ascii="Times New Roman" w:cs="Times New Roman" w:hAnsi="Times New Roman"/>
          <w:sz w:val="24"/>
          <w:szCs w:val="24"/>
        </w:rPr>
        <w:t xml:space="preserve"> &amp; Mackie, 2019)</w:t>
      </w:r>
      <w:r>
        <w:rPr>
          <w:rFonts w:ascii="Times New Roman" w:cs="Times New Roman" w:hAnsi="Times New Roman"/>
          <w:sz w:val="24"/>
          <w:szCs w:val="24"/>
        </w:rPr>
        <w:t>. Passwords should consist of:</w:t>
      </w:r>
    </w:p>
    <w:p>
      <w:pPr>
        <w:pStyle w:val="style179"/>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A minimum of 8 characters</w:t>
      </w:r>
    </w:p>
    <w:p>
      <w:pPr>
        <w:pStyle w:val="style179"/>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 mixture of uppercase and lowercase letters. </w:t>
      </w:r>
    </w:p>
    <w:p>
      <w:pPr>
        <w:pStyle w:val="style179"/>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 mixture of letters and alphanumeric characters.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 xml:space="preserve">Protecting </w:t>
      </w:r>
      <w:r>
        <w:rPr>
          <w:rFonts w:ascii="Times New Roman" w:cs="Times New Roman" w:hAnsi="Times New Roman"/>
          <w:b/>
          <w:sz w:val="24"/>
          <w:szCs w:val="24"/>
        </w:rPr>
        <w:t>passwords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w:t>
      </w:r>
      <w:r>
        <w:rPr>
          <w:rFonts w:ascii="Times New Roman" w:cs="Times New Roman" w:hAnsi="Times New Roman"/>
          <w:sz w:val="24"/>
          <w:szCs w:val="24"/>
        </w:rPr>
        <w:t xml:space="preserve"> order to ensure that passwords are safe, employees should ensure that:</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Passwords</w:t>
      </w:r>
      <w:r>
        <w:rPr>
          <w:rFonts w:ascii="Times New Roman" w:cs="Times New Roman" w:hAnsi="Times New Roman"/>
          <w:sz w:val="24"/>
          <w:szCs w:val="24"/>
        </w:rPr>
        <w:t xml:space="preserve"> are</w:t>
      </w:r>
      <w:r>
        <w:rPr>
          <w:rFonts w:ascii="Times New Roman" w:cs="Times New Roman" w:hAnsi="Times New Roman"/>
          <w:sz w:val="24"/>
          <w:szCs w:val="24"/>
        </w:rPr>
        <w:t xml:space="preserve"> changed after every 3 months</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Passwords are never saved as plain text on their computers</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Passwords do not consist of parts of the username</w:t>
      </w:r>
    </w:p>
    <w:p>
      <w:pPr>
        <w:pStyle w:val="style179"/>
        <w:numPr>
          <w:ilvl w:val="0"/>
          <w:numId w:val="4"/>
        </w:numPr>
        <w:spacing w:lineRule="auto" w:line="480"/>
        <w:rPr>
          <w:rFonts w:ascii="Times New Roman" w:cs="Times New Roman" w:hAnsi="Times New Roman"/>
          <w:sz w:val="24"/>
          <w:szCs w:val="24"/>
        </w:rPr>
      </w:pPr>
      <w:r>
        <w:rPr>
          <w:rFonts w:ascii="Times New Roman" w:cs="Times New Roman" w:hAnsi="Times New Roman"/>
          <w:sz w:val="24"/>
          <w:szCs w:val="24"/>
        </w:rPr>
        <w:t>Passwords are never disclosed to other staff members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Privilege management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system administrator is responsible for managing user privileges. Temporary privileges may be granted after approval of the request. Temporary privileges must be revoked immediately the task at hand is completed.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Roles and responsibilities</w:t>
      </w:r>
    </w:p>
    <w:tbl>
      <w:tblPr>
        <w:tblStyle w:val="style154"/>
        <w:tblW w:w="9844" w:type="dxa"/>
        <w:tblLook w:val="04A0" w:firstRow="1" w:lastRow="0" w:firstColumn="1" w:lastColumn="0" w:noHBand="0" w:noVBand="1"/>
      </w:tblPr>
      <w:tblGrid>
        <w:gridCol w:w="2932"/>
        <w:gridCol w:w="6912"/>
      </w:tblGrid>
      <w:tr>
        <w:trPr>
          <w:trHeight w:val="559" w:hRule="atLeast"/>
        </w:trPr>
        <w:tc>
          <w:tcPr>
            <w:tcW w:w="293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stakeholder</w:t>
            </w:r>
          </w:p>
        </w:tc>
        <w:tc>
          <w:tcPr>
            <w:tcW w:w="691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role</w:t>
            </w:r>
          </w:p>
        </w:tc>
      </w:tr>
      <w:tr>
        <w:tblPrEx/>
        <w:trPr>
          <w:trHeight w:val="559" w:hRule="atLeast"/>
        </w:trPr>
        <w:tc>
          <w:tcPr>
            <w:tcW w:w="293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board of directors</w:t>
            </w:r>
          </w:p>
        </w:tc>
        <w:tc>
          <w:tcPr>
            <w:tcW w:w="691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App</w:t>
            </w:r>
            <w:r>
              <w:rPr>
                <w:rFonts w:ascii="Times New Roman" w:cs="Times New Roman" w:hAnsi="Times New Roman"/>
                <w:sz w:val="24"/>
                <w:szCs w:val="24"/>
              </w:rPr>
              <w:t>rove the policy and provide oversight in its implementation</w:t>
            </w:r>
          </w:p>
        </w:tc>
      </w:tr>
      <w:tr>
        <w:tblPrEx/>
        <w:trPr>
          <w:trHeight w:val="2295" w:hRule="atLeast"/>
        </w:trPr>
        <w:tc>
          <w:tcPr>
            <w:tcW w:w="293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manager</w:t>
            </w:r>
          </w:p>
        </w:tc>
        <w:tc>
          <w:tcPr>
            <w:tcW w:w="6912" w:type="dxa"/>
            <w:tcBorders/>
          </w:tcPr>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Implement this policy</w:t>
            </w:r>
          </w:p>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Ensure that there is access control IT infrastructure</w:t>
            </w:r>
          </w:p>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Review the access control infrastructure regularly</w:t>
            </w:r>
          </w:p>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Propose changes to the policy</w:t>
            </w:r>
          </w:p>
        </w:tc>
      </w:tr>
      <w:tr>
        <w:tblPrEx/>
        <w:trPr>
          <w:trHeight w:val="2284" w:hRule="atLeast"/>
        </w:trPr>
        <w:tc>
          <w:tcPr>
            <w:tcW w:w="293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System administrator</w:t>
            </w:r>
          </w:p>
        </w:tc>
        <w:tc>
          <w:tcPr>
            <w:tcW w:w="6912" w:type="dxa"/>
            <w:tcBorders/>
          </w:tcPr>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Creating and deleting user accounts</w:t>
            </w:r>
          </w:p>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Granting and revoking privileges</w:t>
            </w:r>
          </w:p>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Working with the IT manager in the reviewing of access control infrastructure</w:t>
            </w:r>
          </w:p>
          <w:p>
            <w:pPr>
              <w:pStyle w:val="style0"/>
              <w:spacing w:lineRule="auto" w:line="480"/>
              <w:rPr>
                <w:rFonts w:ascii="Times New Roman" w:cs="Times New Roman" w:hAnsi="Times New Roman"/>
                <w:sz w:val="24"/>
                <w:szCs w:val="24"/>
              </w:rPr>
            </w:pPr>
          </w:p>
        </w:tc>
      </w:tr>
      <w:tr>
        <w:tblPrEx/>
        <w:trPr>
          <w:trHeight w:val="559" w:hRule="atLeast"/>
        </w:trPr>
        <w:tc>
          <w:tcPr>
            <w:tcW w:w="293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Human resource department</w:t>
            </w:r>
          </w:p>
        </w:tc>
        <w:tc>
          <w:tcPr>
            <w:tcW w:w="6912" w:type="dxa"/>
            <w:tcBorders/>
          </w:tcPr>
          <w:p>
            <w:pPr>
              <w:pStyle w:val="style179"/>
              <w:spacing w:lineRule="auto" w:line="480"/>
              <w:ind w:left="2943"/>
              <w:rPr>
                <w:rFonts w:ascii="Times New Roman" w:cs="Times New Roman" w:hAnsi="Times New Roman"/>
                <w:sz w:val="24"/>
                <w:szCs w:val="24"/>
              </w:rPr>
            </w:pP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Submitting names of employees who have been hired, fired or suspended to the system administrator</w:t>
            </w:r>
          </w:p>
        </w:tc>
      </w:tr>
      <w:tr>
        <w:tblPrEx/>
        <w:trPr>
          <w:trHeight w:val="559" w:hRule="atLeast"/>
        </w:trPr>
        <w:tc>
          <w:tcPr>
            <w:tcW w:w="293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Users </w:t>
            </w:r>
          </w:p>
        </w:tc>
        <w:tc>
          <w:tcPr>
            <w:tcW w:w="6912" w:type="dxa"/>
            <w:tcBorders/>
          </w:tcPr>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 xml:space="preserve">Respecting and guarding the </w:t>
            </w:r>
            <w:r>
              <w:rPr>
                <w:rFonts w:ascii="Times New Roman" w:cs="Times New Roman" w:hAnsi="Times New Roman"/>
                <w:sz w:val="24"/>
                <w:szCs w:val="24"/>
              </w:rPr>
              <w:t>confidentiality and</w:t>
            </w:r>
            <w:r>
              <w:rPr>
                <w:rFonts w:ascii="Times New Roman" w:cs="Times New Roman" w:hAnsi="Times New Roman"/>
                <w:sz w:val="24"/>
                <w:szCs w:val="24"/>
              </w:rPr>
              <w:t xml:space="preserve"> privacy of patient data</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Complying with the terms of this policy</w:t>
            </w:r>
          </w:p>
        </w:tc>
      </w:tr>
    </w:tbl>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Policies for access control should ensure that users do not have too much influence or yield too much power thus policies which provide for least privilege should be adopted. Access control policies should also address insider threats. By choosing policies which limit user privileges, insider threat ins minimized. </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rPr>
          <w:rFonts w:ascii="Times New Roman" w:cs="Times New Roman" w:hAnsi="Times New Roman"/>
          <w:b/>
          <w:sz w:val="24"/>
          <w:szCs w:val="24"/>
        </w:rPr>
      </w:pPr>
      <w:r>
        <w:rPr>
          <w:rStyle w:val="style4103"/>
          <w:rFonts w:ascii="Times New Roman" w:cs="Times New Roman" w:hAnsi="Times New Roman"/>
          <w:color w:val="000000"/>
          <w:sz w:val="24"/>
          <w:szCs w:val="24"/>
        </w:rPr>
        <w:t>Yıldırım</w:t>
      </w:r>
      <w:r>
        <w:rPr>
          <w:rStyle w:val="style4103"/>
          <w:rFonts w:ascii="Times New Roman" w:cs="Times New Roman" w:hAnsi="Times New Roman"/>
          <w:color w:val="000000"/>
          <w:sz w:val="24"/>
          <w:szCs w:val="24"/>
        </w:rPr>
        <w:t xml:space="preserve">, M., &amp; Mackie, I. (2019). Encouraging users to improve password security and memorability. </w:t>
      </w:r>
      <w:r>
        <w:rPr>
          <w:rStyle w:val="style4103"/>
          <w:rFonts w:ascii="Times New Roman" w:cs="Times New Roman" w:hAnsi="Times New Roman"/>
          <w:i/>
          <w:iCs/>
          <w:color w:val="000000"/>
          <w:sz w:val="24"/>
          <w:szCs w:val="24"/>
        </w:rPr>
        <w:t xml:space="preserve">International Journal </w:t>
      </w:r>
      <w:r>
        <w:rPr>
          <w:rStyle w:val="style4103"/>
          <w:rFonts w:ascii="Times New Roman" w:cs="Times New Roman" w:hAnsi="Times New Roman"/>
          <w:i/>
          <w:iCs/>
          <w:color w:val="000000"/>
          <w:sz w:val="24"/>
          <w:szCs w:val="24"/>
        </w:rPr>
        <w:t>Of</w:t>
      </w:r>
      <w:r>
        <w:rPr>
          <w:rStyle w:val="style4103"/>
          <w:rFonts w:ascii="Times New Roman" w:cs="Times New Roman" w:hAnsi="Times New Roman"/>
          <w:i/>
          <w:iCs/>
          <w:color w:val="000000"/>
          <w:sz w:val="24"/>
          <w:szCs w:val="24"/>
        </w:rPr>
        <w:t xml:space="preserve"> Information Security</w:t>
      </w:r>
      <w:r>
        <w:rPr>
          <w:rStyle w:val="style4103"/>
          <w:rFonts w:ascii="Times New Roman" w:cs="Times New Roman" w:hAnsi="Times New Roman"/>
          <w:color w:val="000000"/>
          <w:sz w:val="24"/>
          <w:szCs w:val="24"/>
        </w:rPr>
        <w:t xml:space="preserve">, </w:t>
      </w:r>
      <w:r>
        <w:rPr>
          <w:rStyle w:val="style4103"/>
          <w:rFonts w:ascii="Times New Roman" w:cs="Times New Roman" w:hAnsi="Times New Roman"/>
          <w:i/>
          <w:iCs/>
          <w:color w:val="000000"/>
          <w:sz w:val="24"/>
          <w:szCs w:val="24"/>
        </w:rPr>
        <w:t>18</w:t>
      </w:r>
      <w:r>
        <w:rPr>
          <w:rStyle w:val="style4103"/>
          <w:rFonts w:ascii="Times New Roman" w:cs="Times New Roman" w:hAnsi="Times New Roman"/>
          <w:color w:val="000000"/>
          <w:sz w:val="24"/>
          <w:szCs w:val="24"/>
        </w:rPr>
        <w:t xml:space="preserve">(6), 741-759. </w:t>
      </w:r>
      <w:r>
        <w:rPr>
          <w:rStyle w:val="style4103"/>
          <w:rFonts w:ascii="Times New Roman" w:cs="Times New Roman" w:hAnsi="Times New Roman"/>
          <w:color w:val="000000"/>
          <w:sz w:val="24"/>
          <w:szCs w:val="24"/>
        </w:rPr>
        <w:t>doi</w:t>
      </w:r>
      <w:r>
        <w:rPr>
          <w:rStyle w:val="style4103"/>
          <w:rFonts w:ascii="Times New Roman" w:cs="Times New Roman" w:hAnsi="Times New Roman"/>
          <w:color w:val="000000"/>
          <w:sz w:val="24"/>
          <w:szCs w:val="24"/>
        </w:rPr>
        <w:t>: 10.1007/s10207-019-00429-y</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4000ACFF" w:usb2="00000001"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7A</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7A</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950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8940F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2"/>
    <w:multiLevelType w:val="hybridMultilevel"/>
    <w:tmpl w:val="B780325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370A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7122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00E6E64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cs="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cs="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cs="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00000006"/>
    <w:multiLevelType w:val="hybridMultilevel"/>
    <w:tmpl w:val="5B70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C1D460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70C6D7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9"/>
    <w:multiLevelType w:val="hybridMultilevel"/>
    <w:tmpl w:val="A044E182"/>
    <w:lvl w:ilvl="0" w:tplc="04090001">
      <w:start w:val="1"/>
      <w:numFmt w:val="bullet"/>
      <w:lvlText w:val=""/>
      <w:lvlJc w:val="left"/>
      <w:pPr>
        <w:ind w:left="2943" w:hanging="360"/>
      </w:pPr>
      <w:rPr>
        <w:rFonts w:ascii="Symbol" w:hAnsi="Symbol" w:hint="default"/>
      </w:rPr>
    </w:lvl>
    <w:lvl w:ilvl="1" w:tplc="04090003" w:tentative="1">
      <w:start w:val="1"/>
      <w:numFmt w:val="bullet"/>
      <w:lvlText w:val="o"/>
      <w:lvlJc w:val="left"/>
      <w:pPr>
        <w:ind w:left="3663" w:hanging="360"/>
      </w:pPr>
      <w:rPr>
        <w:rFonts w:ascii="Courier New" w:cs="Courier New" w:hAnsi="Courier New" w:hint="default"/>
      </w:rPr>
    </w:lvl>
    <w:lvl w:ilvl="2" w:tplc="04090005" w:tentative="1">
      <w:start w:val="1"/>
      <w:numFmt w:val="bullet"/>
      <w:lvlText w:val=""/>
      <w:lvlJc w:val="left"/>
      <w:pPr>
        <w:ind w:left="4383" w:hanging="360"/>
      </w:pPr>
      <w:rPr>
        <w:rFonts w:ascii="Wingdings" w:hAnsi="Wingdings" w:hint="default"/>
      </w:rPr>
    </w:lvl>
    <w:lvl w:ilvl="3" w:tplc="04090001" w:tentative="1">
      <w:start w:val="1"/>
      <w:numFmt w:val="bullet"/>
      <w:lvlText w:val=""/>
      <w:lvlJc w:val="left"/>
      <w:pPr>
        <w:ind w:left="5103" w:hanging="360"/>
      </w:pPr>
      <w:rPr>
        <w:rFonts w:ascii="Symbol" w:hAnsi="Symbol" w:hint="default"/>
      </w:rPr>
    </w:lvl>
    <w:lvl w:ilvl="4" w:tplc="04090003" w:tentative="1">
      <w:start w:val="1"/>
      <w:numFmt w:val="bullet"/>
      <w:lvlText w:val="o"/>
      <w:lvlJc w:val="left"/>
      <w:pPr>
        <w:ind w:left="5823" w:hanging="360"/>
      </w:pPr>
      <w:rPr>
        <w:rFonts w:ascii="Courier New" w:cs="Courier New" w:hAnsi="Courier New" w:hint="default"/>
      </w:rPr>
    </w:lvl>
    <w:lvl w:ilvl="5" w:tplc="04090005" w:tentative="1">
      <w:start w:val="1"/>
      <w:numFmt w:val="bullet"/>
      <w:lvlText w:val=""/>
      <w:lvlJc w:val="left"/>
      <w:pPr>
        <w:ind w:left="6543" w:hanging="360"/>
      </w:pPr>
      <w:rPr>
        <w:rFonts w:ascii="Wingdings" w:hAnsi="Wingdings" w:hint="default"/>
      </w:rPr>
    </w:lvl>
    <w:lvl w:ilvl="6" w:tplc="04090001" w:tentative="1">
      <w:start w:val="1"/>
      <w:numFmt w:val="bullet"/>
      <w:lvlText w:val=""/>
      <w:lvlJc w:val="left"/>
      <w:pPr>
        <w:ind w:left="7263" w:hanging="360"/>
      </w:pPr>
      <w:rPr>
        <w:rFonts w:ascii="Symbol" w:hAnsi="Symbol" w:hint="default"/>
      </w:rPr>
    </w:lvl>
    <w:lvl w:ilvl="7" w:tplc="04090003" w:tentative="1">
      <w:start w:val="1"/>
      <w:numFmt w:val="bullet"/>
      <w:lvlText w:val="o"/>
      <w:lvlJc w:val="left"/>
      <w:pPr>
        <w:ind w:left="7983" w:hanging="360"/>
      </w:pPr>
      <w:rPr>
        <w:rFonts w:ascii="Courier New" w:cs="Courier New" w:hAnsi="Courier New" w:hint="default"/>
      </w:rPr>
    </w:lvl>
    <w:lvl w:ilvl="8" w:tplc="04090005" w:tentative="1">
      <w:start w:val="1"/>
      <w:numFmt w:val="bullet"/>
      <w:lvlText w:val=""/>
      <w:lvlJc w:val="left"/>
      <w:pPr>
        <w:ind w:left="8703" w:hanging="360"/>
      </w:pPr>
      <w:rPr>
        <w:rFonts w:ascii="Wingdings" w:hAnsi="Wingdings" w:hint="default"/>
      </w:rPr>
    </w:lvl>
  </w:abstractNum>
  <w:abstractNum w:abstractNumId="10">
    <w:nsid w:val="0000000A"/>
    <w:multiLevelType w:val="hybridMultilevel"/>
    <w:tmpl w:val="93B27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000000B"/>
    <w:multiLevelType w:val="hybridMultilevel"/>
    <w:tmpl w:val="A0823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98BA97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7"/>
  </w:num>
  <w:num w:numId="3">
    <w:abstractNumId w:val="11"/>
  </w:num>
  <w:num w:numId="4">
    <w:abstractNumId w:val="4"/>
  </w:num>
  <w:num w:numId="5">
    <w:abstractNumId w:val="6"/>
  </w:num>
  <w:num w:numId="6">
    <w:abstractNumId w:val="3"/>
  </w:num>
  <w:num w:numId="7">
    <w:abstractNumId w:val="1"/>
  </w:num>
  <w:num w:numId="8">
    <w:abstractNumId w:val="10"/>
  </w:num>
  <w:num w:numId="9">
    <w:abstractNumId w:val="8"/>
  </w:num>
  <w:num w:numId="10">
    <w:abstractNumId w:val="12"/>
  </w:num>
  <w:num w:numId="11">
    <w:abstractNumId w:val="5"/>
  </w:num>
  <w:num w:numId="12">
    <w:abstractNumId w:val="0"/>
  </w:num>
  <w:num w:numId="13">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4dbbb4f-ea74-48a5-a586-b5f00ff6ad6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7b5cd60-82a7-4359-9828-0f38f127a58a"/>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099">
    <w:name w:val="Plain Table 1"/>
    <w:basedOn w:val="style105"/>
    <w:next w:val="style4099"/>
    <w:uiPriority w:val="41"/>
    <w:pPr>
      <w:spacing w:after="0" w:lineRule="auto" w:line="240"/>
    </w:pP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rPr>
        <w:b/>
        <w:bCs/>
      </w:rPr>
      <w:tcPr>
        <w:tcBorders/>
      </w:tcPr>
    </w:tblStylePr>
    <w:tblStylePr w:type="lastRow">
      <w:pPr/>
      <w:rPr>
        <w:b/>
        <w:bCs/>
      </w:rPr>
      <w:tblPr/>
      <w:tcPr>
        <w:tcBorders>
          <w:top w:val="double" w:sz="4" w:space="0" w:color="bfbfbf"/>
        </w:tcBorders>
      </w:tcPr>
    </w:tblStylePr>
    <w:tblStylePr w:type="band1Horz">
      <w:pPr/>
      <w:tblPr/>
      <w:tcPr>
        <w:tcBorders/>
        <w:shd w:val="clear" w:color="auto" w:fill="f2f2f2"/>
      </w:tcPr>
    </w:tblStylePr>
    <w:tblStylePr w:type="firstCol">
      <w:pPr/>
      <w:rPr>
        <w:b/>
        <w:bCs/>
      </w:rPr>
      <w:tcPr>
        <w:tcBorders/>
      </w:tcPr>
    </w:tblStylePr>
    <w:tblStylePr w:type="lastCol">
      <w:pPr/>
      <w:rPr>
        <w:b/>
        <w:bCs/>
      </w:rPr>
      <w:tcPr>
        <w:tcBorders/>
      </w:tcPr>
    </w:tblStylePr>
    <w:tblStylePr w:type="band1Vert">
      <w:pPr/>
      <w:tblPr/>
      <w:tcPr>
        <w:tcBorders/>
        <w:shd w:val="clear" w:color="auto" w:fill="f2f2f2"/>
      </w:tcPr>
    </w:tblStylePr>
    <w:tcPr>
      <w:tcBorders/>
    </w:tcPr>
  </w:style>
  <w:style w:type="table" w:customStyle="1" w:styleId="style4100">
    <w:name w:val="Grid Table Light"/>
    <w:basedOn w:val="style105"/>
    <w:next w:val="style4100"/>
    <w:uiPriority w:val="40"/>
    <w:pPr>
      <w:spacing w:after="0" w:lineRule="auto" w:line="240"/>
    </w:pP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cPr>
  </w:style>
  <w:style w:type="table" w:customStyle="1" w:styleId="style4101">
    <w:name w:val="Plain Table 2"/>
    <w:basedOn w:val="style105"/>
    <w:next w:val="style4101"/>
    <w:uiPriority w:val="42"/>
    <w:pPr>
      <w:spacing w:after="0" w:lineRule="auto" w:line="240"/>
    </w:pPr>
    <w:rPr/>
    <w:tblPr>
      <w:tblStyleRowBandSize w:val="1"/>
      <w:tblStyleColBandSize w:val="1"/>
      <w:tblBorders>
        <w:top w:val="single" w:sz="4" w:space="0" w:color="7f7f7f"/>
        <w:bottom w:val="single" w:sz="4" w:space="0" w:color="7f7f7f"/>
      </w:tblBorders>
    </w:tblPr>
    <w:tblStylePr w:type="firstRow">
      <w:pPr/>
      <w:rPr>
        <w:b/>
        <w:bCs/>
      </w:rPr>
      <w:tblPr/>
      <w:tcPr>
        <w:tcBorders>
          <w:bottom w:val="single" w:sz="4" w:space="0" w:color="7f7f7f"/>
        </w:tcBorders>
      </w:tcPr>
    </w:tblStylePr>
    <w:tblStylePr w:type="lastRow">
      <w:pPr/>
      <w:rPr>
        <w:b/>
        <w:bCs/>
      </w:rPr>
      <w:tblPr/>
      <w:tcPr>
        <w:tcBorders>
          <w:top w:val="single" w:sz="4" w:space="0" w:color="7f7f7f"/>
        </w:tcBorders>
      </w:tcPr>
    </w:tblStylePr>
    <w:tblStylePr w:type="band1Horz">
      <w:pPr/>
      <w:tblPr/>
      <w:tcPr>
        <w:tcBorders>
          <w:top w:val="single" w:sz="4" w:space="0" w:color="7f7f7f"/>
          <w:bottom w:val="single" w:sz="4" w:space="0" w:color="7f7f7f"/>
        </w:tcBorders>
      </w:tcPr>
    </w:tblStylePr>
    <w:tblStylePr w:type="firstCol">
      <w:pPr/>
      <w:rPr>
        <w:b/>
        <w:bCs/>
      </w:rPr>
      <w:tcPr>
        <w:tcBorders/>
      </w:tcPr>
    </w:tblStylePr>
    <w:tblStylePr w:type="lastCol">
      <w:pPr/>
      <w:rPr>
        <w:b/>
        <w:bCs/>
      </w:rPr>
      <w:tcPr>
        <w:tcBorders/>
      </w:tcPr>
    </w:tblStylePr>
    <w:tblStylePr w:type="band1Vert">
      <w:pPr/>
      <w:tblPr/>
      <w:tcPr>
        <w:tcBorders>
          <w:left w:val="single" w:sz="4" w:space="0" w:color="7f7f7f"/>
          <w:right w:val="single" w:sz="4" w:space="0" w:color="7f7f7f"/>
        </w:tcBorders>
      </w:tcPr>
    </w:tblStylePr>
    <w:tblStylePr w:type="band2Vert">
      <w:pPr/>
      <w:tblPr/>
      <w:tcPr>
        <w:tcBorders>
          <w:left w:val="single" w:sz="4" w:space="0" w:color="7f7f7f"/>
          <w:right w:val="single" w:sz="4" w:space="0" w:color="7f7f7f"/>
        </w:tcBorders>
      </w:tcPr>
    </w:tblStylePr>
    <w:tcPr>
      <w:tcBorders/>
    </w:tcPr>
  </w:style>
  <w:style w:type="table" w:customStyle="1" w:styleId="style4102">
    <w:name w:val="Plain Table 3"/>
    <w:basedOn w:val="style105"/>
    <w:next w:val="style4102"/>
    <w:uiPriority w:val="43"/>
    <w:pPr>
      <w:spacing w:after="0" w:lineRule="auto" w:line="240"/>
    </w:pPr>
    <w:rPr/>
    <w:tblPr>
      <w:tblStyleRowBandSize w:val="1"/>
      <w:tblStyleColBandSize w:val="1"/>
    </w:tblPr>
    <w:tblStylePr w:type="firstRow">
      <w:pPr/>
      <w:rPr>
        <w:b/>
        <w:bCs/>
        <w:caps/>
      </w:rPr>
      <w:tblPr/>
      <w:tcPr>
        <w:tcBorders>
          <w:bottom w:val="single" w:sz="4" w:space="0" w:color="7f7f7f"/>
        </w:tcBorders>
      </w:tcPr>
    </w:tblStylePr>
    <w:tblStylePr w:type="lastRow">
      <w:pPr/>
      <w:rPr>
        <w:b/>
        <w:bCs/>
        <w:caps/>
      </w:rPr>
      <w:tblPr/>
      <w:tcPr>
        <w:tcBorders>
          <w:top w:val="nil"/>
        </w:tcBorders>
      </w:tcPr>
    </w:tblStylePr>
    <w:tblStylePr w:type="band1Horz">
      <w:pPr/>
      <w:tblPr/>
      <w:tcPr>
        <w:tcBorders/>
        <w:shd w:val="clear" w:color="auto" w:fill="f2f2f2"/>
      </w:tcPr>
    </w:tblStylePr>
    <w:tblStylePr w:type="firstCol">
      <w:pPr/>
      <w:rPr>
        <w:b/>
        <w:bCs/>
        <w:caps/>
      </w:rPr>
      <w:tblPr/>
      <w:tcPr>
        <w:tcBorders>
          <w:right w:val="single" w:sz="4" w:space="0" w:color="7f7f7f"/>
        </w:tcBorders>
      </w:tcPr>
    </w:tblStylePr>
    <w:tblStylePr w:type="lastCol">
      <w:pPr/>
      <w:rPr>
        <w:b/>
        <w:bCs/>
        <w:caps/>
      </w:rPr>
      <w:tblPr/>
      <w:tcPr>
        <w:tcBorders>
          <w:left w:val="nil"/>
        </w:tcBorders>
      </w:tcPr>
    </w:tblStylePr>
    <w:tblStylePr w:type="band1Vert">
      <w:pPr/>
      <w:tblPr/>
      <w:tcPr>
        <w:tcBorders/>
        <w:shd w:val="clear" w:color="auto" w:fill="f2f2f2"/>
      </w:tcPr>
    </w:tblStylePr>
    <w:tblStylePr w:type="neCell">
      <w:pPr/>
      <w:tblPr/>
      <w:tcPr>
        <w:tcBorders>
          <w:left w:val="nil"/>
        </w:tcBorders>
      </w:tcPr>
    </w:tblStylePr>
    <w:tblStylePr w:type="nwCell">
      <w:pPr/>
      <w:tblPr/>
      <w:tcPr>
        <w:tcBorders>
          <w:right w:val="nil"/>
        </w:tcBorders>
      </w:tcPr>
    </w:tblStylePr>
    <w:tcPr>
      <w:tcBorders/>
    </w:tcPr>
  </w:style>
  <w:style w:type="character" w:customStyle="1" w:styleId="style4103">
    <w:name w:val="selectable"/>
    <w:basedOn w:val="style65"/>
    <w:next w:val="style4103"/>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630</Words>
  <Pages>6</Pages>
  <Characters>3539</Characters>
  <Application>WPS Office</Application>
  <DocSecurity>0</DocSecurity>
  <Paragraphs>92</Paragraphs>
  <ScaleCrop>false</ScaleCrop>
  <LinksUpToDate>false</LinksUpToDate>
  <CharactersWithSpaces>4167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2019-12-07T16:21:00Z</dcterms:created>
  <dc:creator>HP</dc:creator>
  <lastModifiedBy>JKM-LX1</lastModifiedBy>
  <dcterms:modified xsi:type="dcterms:W3CDTF">2019-12-07T16:21:01Z</dcterms:modified>
  <revision>1</revision>
</coreProperties>
</file>

<file path=docProps/custom.xml><?xml version="1.0" encoding="utf-8"?>
<Properties xmlns="http://schemas.openxmlformats.org/officeDocument/2006/custom-properties" xmlns:vt="http://schemas.openxmlformats.org/officeDocument/2006/docPropsVTypes"/>
</file>