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FDE1E" w14:textId="77777777" w:rsidR="00B91DDF" w:rsidRDefault="00B91DDF">
      <w:pPr>
        <w:pStyle w:val="Heading2"/>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20C923D5" w14:textId="77777777" w:rsidR="00B91DDF" w:rsidRDefault="00B91DDF">
      <w:pPr>
        <w:pStyle w:val="NormalWeb"/>
        <w:rPr>
          <w:rFonts w:ascii="Arial" w:hAnsi="Arial" w:cs="Arial"/>
          <w:color w:val="000000"/>
          <w:sz w:val="27"/>
          <w:szCs w:val="27"/>
        </w:rPr>
      </w:pPr>
      <w:r>
        <w:rPr>
          <w:rFonts w:ascii="Arial" w:hAnsi="Arial" w:cs="Arial"/>
          <w:b/>
          <w:bCs/>
          <w:noProof/>
          <w:color w:val="000000"/>
          <w:sz w:val="36"/>
          <w:szCs w:val="36"/>
        </w:rPr>
        <mc:AlternateContent>
          <mc:Choice Requires="wps">
            <w:drawing>
              <wp:inline distT="0" distB="0" distL="0" distR="0" wp14:anchorId="403C6BD2" wp14:editId="69011D32">
                <wp:extent cx="8163560" cy="2695575"/>
                <wp:effectExtent l="0" t="0" r="0" b="8890"/>
                <wp:docPr id="1" name="Rectangle 1" descr="Calvin the Advoca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63560" cy="269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016342" id="Rectangle 1" o:spid="_x0000_s1026" alt="Calvin the Advocate" style="width:642.8pt;height:212.2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" filled="f" stroked="f">
                <o:lock v:ext="edit" aspectratio="t"/>
                <w10:anchorlock/>
              </v:rect>
            </w:pict>
          </mc:Fallback>
        </mc:AlternateContent>
      </w:r>
      <w:r>
        <w:rPr>
          <w:rStyle w:val="Emphasis"/>
          <w:rFonts w:ascii="Arial" w:hAnsi="Arial" w:cs="Arial"/>
          <w:color w:val="000000"/>
          <w:sz w:val="36"/>
          <w:szCs w:val="36"/>
        </w:rPr>
        <w:t>"</w:t>
      </w:r>
      <w:r>
        <w:rPr>
          <w:rStyle w:val="Emphasis"/>
          <w:rFonts w:ascii="Arial" w:hAnsi="Arial" w:cs="Arial"/>
          <w:color w:val="000000"/>
          <w:sz w:val="27"/>
          <w:szCs w:val="27"/>
        </w:rPr>
        <w:t>One of the most crucial kinds of intervention is in advocacy. We can think about charities in the context of delivering services, and indeed that is part of their job, but advocacy is also getting governments to step up to the plate. They can also give more voice to those who don't have one."</w:t>
      </w:r>
      <w:r>
        <w:rPr>
          <w:rFonts w:ascii="Arial" w:hAnsi="Arial" w:cs="Arial"/>
          <w:color w:val="000000"/>
          <w:sz w:val="27"/>
          <w:szCs w:val="27"/>
        </w:rPr>
        <w:t>                                                                                                                                ~ Nicholas Kristof </w:t>
      </w:r>
    </w:p>
    <w:p w14:paraId="5F706151" w14:textId="77777777" w:rsidR="00B91DDF" w:rsidRDefault="00B91DDF">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14:paraId="75525071" w14:textId="77777777" w:rsidR="00B91DDF" w:rsidRDefault="00B91DDF">
      <w:pPr>
        <w:pStyle w:val="NormalWeb"/>
        <w:rPr>
          <w:rFonts w:ascii="Arial" w:hAnsi="Arial" w:cs="Arial"/>
          <w:color w:val="000000"/>
          <w:sz w:val="27"/>
          <w:szCs w:val="27"/>
        </w:rPr>
      </w:pPr>
      <w:r>
        <w:rPr>
          <w:rFonts w:ascii="Arial" w:hAnsi="Arial" w:cs="Arial"/>
          <w:color w:val="000000"/>
          <w:sz w:val="27"/>
          <w:szCs w:val="27"/>
        </w:rPr>
        <w:t>One of the guiding principles of human services social work is advocating for social justice. Poverty and homelessness remain primary social problems. </w:t>
      </w:r>
    </w:p>
    <w:p w14:paraId="71E4EE18" w14:textId="77777777" w:rsidR="00B91DDF" w:rsidRDefault="00B91DDF">
      <w:pPr>
        <w:pStyle w:val="NormalWeb"/>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Assignment Instructions."</w:t>
      </w:r>
    </w:p>
    <w:p w14:paraId="768EF00C" w14:textId="77777777" w:rsidR="00B91DDF" w:rsidRDefault="00B91DDF">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sz w:val="36"/>
          <w:szCs w:val="36"/>
        </w:rPr>
        <w:t>The Prompt</w:t>
      </w:r>
    </w:p>
    <w:p w14:paraId="649BFAC3" w14:textId="77777777" w:rsidR="00B91DDF" w:rsidRDefault="00B91DDF">
      <w:pPr>
        <w:pStyle w:val="NormalWeb"/>
        <w:rPr>
          <w:rFonts w:ascii="Arial" w:hAnsi="Arial" w:cs="Arial"/>
          <w:color w:val="000000"/>
          <w:sz w:val="27"/>
          <w:szCs w:val="27"/>
        </w:rPr>
      </w:pPr>
      <w:r>
        <w:rPr>
          <w:rFonts w:ascii="Arial" w:hAnsi="Arial" w:cs="Arial"/>
          <w:color w:val="000000"/>
          <w:sz w:val="27"/>
          <w:szCs w:val="27"/>
        </w:rPr>
        <w:t> After the demise of </w:t>
      </w:r>
      <w:hyperlink r:id="rId5" w:tgtFrame="_blank" w:history="1">
        <w:r>
          <w:rPr>
            <w:rStyle w:val="Emphasis"/>
            <w:rFonts w:ascii="Arial" w:hAnsi="Arial" w:cs="Arial"/>
            <w:b/>
            <w:bCs/>
            <w:color w:val="0000FF"/>
            <w:sz w:val="27"/>
            <w:szCs w:val="27"/>
            <w:u w:val="single"/>
          </w:rPr>
          <w:t>feudalism</w:t>
        </w:r>
      </w:hyperlink>
      <w:r>
        <w:rPr>
          <w:rFonts w:ascii="Arial" w:hAnsi="Arial" w:cs="Arial"/>
          <w:color w:val="000000"/>
          <w:sz w:val="27"/>
          <w:szCs w:val="27"/>
        </w:rPr>
        <w:t>, those in poverty were seen as a direct threat to </w:t>
      </w:r>
      <w:hyperlink r:id="rId6" w:tgtFrame="_blank" w:history="1">
        <w:r>
          <w:rPr>
            <w:rStyle w:val="Emphasis"/>
            <w:rFonts w:ascii="Arial" w:hAnsi="Arial" w:cs="Arial"/>
            <w:b/>
            <w:bCs/>
            <w:color w:val="0000FF"/>
            <w:sz w:val="27"/>
            <w:szCs w:val="27"/>
            <w:u w:val="single"/>
          </w:rPr>
          <w:t>the social order</w:t>
        </w:r>
      </w:hyperlink>
      <w:r>
        <w:rPr>
          <w:rFonts w:ascii="Arial" w:hAnsi="Arial" w:cs="Arial"/>
          <w:color w:val="000000"/>
          <w:sz w:val="27"/>
          <w:szCs w:val="27"/>
        </w:rPr>
        <w:t>, so the government implemented the </w:t>
      </w:r>
      <w:hyperlink r:id="rId7" w:tgtFrame="_blank" w:history="1">
        <w:r>
          <w:rPr>
            <w:rStyle w:val="Strong"/>
            <w:rFonts w:ascii="Arial" w:hAnsi="Arial" w:cs="Arial"/>
            <w:i/>
            <w:iCs/>
            <w:color w:val="0000FF"/>
            <w:sz w:val="27"/>
            <w:szCs w:val="27"/>
            <w:u w:val="single"/>
          </w:rPr>
          <w:t>Poor Law</w:t>
        </w:r>
      </w:hyperlink>
      <w:r>
        <w:rPr>
          <w:rFonts w:ascii="Arial" w:hAnsi="Arial" w:cs="Arial"/>
          <w:color w:val="000000"/>
          <w:sz w:val="27"/>
          <w:szCs w:val="27"/>
        </w:rPr>
        <w:t> and created an organized system to provide care to the impoverished. Social work officially originated in the 19th century as </w:t>
      </w:r>
      <w:hyperlink r:id="rId8" w:tgtFrame="_blank" w:history="1">
        <w:r>
          <w:rPr>
            <w:rStyle w:val="Emphasis"/>
            <w:rFonts w:ascii="Arial" w:hAnsi="Arial" w:cs="Arial"/>
            <w:b/>
            <w:bCs/>
            <w:color w:val="0000FF"/>
            <w:sz w:val="27"/>
            <w:szCs w:val="27"/>
            <w:u w:val="single"/>
          </w:rPr>
          <w:t>a movement</w:t>
        </w:r>
      </w:hyperlink>
      <w:r>
        <w:rPr>
          <w:rFonts w:ascii="Arial" w:hAnsi="Arial" w:cs="Arial"/>
          <w:color w:val="000000"/>
          <w:sz w:val="27"/>
          <w:szCs w:val="27"/>
        </w:rPr>
        <w:t> that was primarily experienced within the United Kingdom and the United States, and, in many ways, </w:t>
      </w:r>
      <w:hyperlink r:id="rId9" w:tgtFrame="_blank" w:history="1">
        <w:r>
          <w:rPr>
            <w:rStyle w:val="Emphasis"/>
            <w:rFonts w:ascii="Arial" w:hAnsi="Arial" w:cs="Arial"/>
            <w:b/>
            <w:bCs/>
            <w:color w:val="0000FF"/>
            <w:sz w:val="27"/>
            <w:szCs w:val="27"/>
            <w:u w:val="single"/>
          </w:rPr>
          <w:t>Poor Laws still has influence</w:t>
        </w:r>
      </w:hyperlink>
      <w:r>
        <w:rPr>
          <w:rFonts w:ascii="Arial" w:hAnsi="Arial" w:cs="Arial"/>
          <w:color w:val="000000"/>
          <w:sz w:val="27"/>
          <w:szCs w:val="27"/>
        </w:rPr>
        <w:t> in the modern era. As a </w:t>
      </w:r>
      <w:hyperlink r:id="rId10" w:tgtFrame="_blank" w:history="1">
        <w:r>
          <w:rPr>
            <w:rStyle w:val="Emphasis"/>
            <w:rFonts w:ascii="Arial" w:hAnsi="Arial" w:cs="Arial"/>
            <w:b/>
            <w:bCs/>
            <w:color w:val="0000FF"/>
            <w:sz w:val="27"/>
            <w:szCs w:val="27"/>
            <w:u w:val="single"/>
          </w:rPr>
          <w:t>profession</w:t>
        </w:r>
        <w:r>
          <w:rPr>
            <w:rStyle w:val="Hyperlink"/>
            <w:rFonts w:ascii="Arial" w:hAnsi="Arial" w:cs="Arial"/>
            <w:sz w:val="27"/>
            <w:szCs w:val="27"/>
          </w:rPr>
          <w:t>,</w:t>
        </w:r>
      </w:hyperlink>
      <w:r>
        <w:rPr>
          <w:rFonts w:ascii="Arial" w:hAnsi="Arial" w:cs="Arial"/>
          <w:color w:val="000000"/>
          <w:sz w:val="27"/>
          <w:szCs w:val="27"/>
        </w:rPr>
        <w:t> one way social workers help the poor is by providing </w:t>
      </w:r>
      <w:hyperlink r:id="rId11" w:tgtFrame="_blank" w:history="1">
        <w:r>
          <w:rPr>
            <w:rStyle w:val="Strong"/>
            <w:rFonts w:ascii="Arial" w:hAnsi="Arial" w:cs="Arial"/>
            <w:i/>
            <w:iCs/>
            <w:color w:val="0000FF"/>
            <w:sz w:val="27"/>
            <w:szCs w:val="27"/>
            <w:u w:val="single"/>
          </w:rPr>
          <w:t>advocacy services</w:t>
        </w:r>
      </w:hyperlink>
      <w:r>
        <w:rPr>
          <w:rFonts w:ascii="Arial" w:hAnsi="Arial" w:cs="Arial"/>
          <w:color w:val="000000"/>
          <w:sz w:val="27"/>
          <w:szCs w:val="27"/>
        </w:rPr>
        <w:t xml:space="preserve"> that often require intervening directly with social services </w:t>
      </w:r>
      <w:r>
        <w:rPr>
          <w:rFonts w:ascii="Arial" w:hAnsi="Arial" w:cs="Arial"/>
          <w:color w:val="000000"/>
          <w:sz w:val="27"/>
          <w:szCs w:val="27"/>
        </w:rPr>
        <w:lastRenderedPageBreak/>
        <w:t>organizations or governmental agencies to help locate services for their client(s). Social workers also advocate for the poor on a </w:t>
      </w:r>
      <w:hyperlink r:id="rId12" w:tgtFrame="_blank" w:history="1">
        <w:r>
          <w:rPr>
            <w:rStyle w:val="Emphasis"/>
            <w:rFonts w:ascii="Arial" w:hAnsi="Arial" w:cs="Arial"/>
            <w:b/>
            <w:bCs/>
            <w:color w:val="0000FF"/>
            <w:sz w:val="27"/>
            <w:szCs w:val="27"/>
            <w:u w:val="single"/>
          </w:rPr>
          <w:t>macro level</w:t>
        </w:r>
      </w:hyperlink>
      <w:r>
        <w:rPr>
          <w:rFonts w:ascii="Arial" w:hAnsi="Arial" w:cs="Arial"/>
          <w:color w:val="000000"/>
          <w:sz w:val="27"/>
          <w:szCs w:val="27"/>
        </w:rPr>
        <w:t> by working to bring about change to social policies. They accomplish this goal in a variety of ways, including </w:t>
      </w:r>
      <w:hyperlink r:id="rId13" w:tgtFrame="_blank" w:history="1">
        <w:r>
          <w:rPr>
            <w:rStyle w:val="Emphasis"/>
            <w:rFonts w:ascii="Arial" w:hAnsi="Arial" w:cs="Arial"/>
            <w:b/>
            <w:bCs/>
            <w:color w:val="0000FF"/>
            <w:sz w:val="27"/>
            <w:szCs w:val="27"/>
            <w:u w:val="single"/>
          </w:rPr>
          <w:t>community organizing</w:t>
        </w:r>
      </w:hyperlink>
      <w:r>
        <w:rPr>
          <w:rFonts w:ascii="Arial" w:hAnsi="Arial" w:cs="Arial"/>
          <w:color w:val="000000"/>
          <w:sz w:val="27"/>
          <w:szCs w:val="27"/>
        </w:rPr>
        <w:t> or political action. As an </w:t>
      </w:r>
      <w:hyperlink r:id="rId14" w:tgtFrame="_blank" w:history="1">
        <w:r>
          <w:rPr>
            <w:rStyle w:val="Emphasis"/>
            <w:rFonts w:ascii="Arial" w:hAnsi="Arial" w:cs="Arial"/>
            <w:b/>
            <w:bCs/>
            <w:color w:val="0000FF"/>
            <w:sz w:val="27"/>
            <w:szCs w:val="27"/>
            <w:u w:val="single"/>
          </w:rPr>
          <w:t>advocate for social justice,</w:t>
        </w:r>
      </w:hyperlink>
      <w:r>
        <w:rPr>
          <w:rFonts w:ascii="Arial" w:hAnsi="Arial" w:cs="Arial"/>
          <w:color w:val="000000"/>
          <w:sz w:val="27"/>
          <w:szCs w:val="27"/>
        </w:rPr>
        <w:t>  social workers join committees or work directly with elected officials to discuss community needs or the change of social policies that disproportionately effect the marginalized and the impoverished. </w:t>
      </w:r>
    </w:p>
    <w:p w14:paraId="4EEFF52A" w14:textId="77777777" w:rsidR="00B91DDF" w:rsidRDefault="00B91DDF">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14:paraId="669D1C6E" w14:textId="77777777" w:rsidR="00B91DDF" w:rsidRDefault="00B91DDF">
      <w:pPr>
        <w:pStyle w:val="Heading1"/>
        <w:numPr>
          <w:ilvl w:val="0"/>
          <w:numId w:val="1"/>
        </w:numPr>
        <w:rPr>
          <w:rFonts w:ascii="Arial" w:eastAsia="Times New Roman" w:hAnsi="Arial" w:cs="Arial"/>
          <w:color w:val="000000"/>
        </w:rPr>
      </w:pPr>
      <w:r>
        <w:rPr>
          <w:rFonts w:ascii="Arial" w:eastAsia="Times New Roman" w:hAnsi="Arial" w:cs="Arial"/>
          <w:color w:val="000000"/>
          <w:sz w:val="24"/>
          <w:szCs w:val="24"/>
        </w:rPr>
        <w:t xml:space="preserve">Watch the "Social workers as super-heroes | Anna </w:t>
      </w:r>
      <w:proofErr w:type="spellStart"/>
      <w:r>
        <w:rPr>
          <w:rFonts w:ascii="Arial" w:eastAsia="Times New Roman" w:hAnsi="Arial" w:cs="Arial"/>
          <w:color w:val="000000"/>
          <w:sz w:val="24"/>
          <w:szCs w:val="24"/>
        </w:rPr>
        <w:t>Scheyett</w:t>
      </w:r>
      <w:proofErr w:type="spellEnd"/>
      <w:r>
        <w:rPr>
          <w:rFonts w:ascii="Arial" w:eastAsia="Times New Roman" w:hAnsi="Arial" w:cs="Arial"/>
          <w:color w:val="000000"/>
          <w:sz w:val="24"/>
          <w:szCs w:val="24"/>
        </w:rPr>
        <w:t xml:space="preserve"> | </w:t>
      </w:r>
      <w:proofErr w:type="spellStart"/>
      <w:r>
        <w:rPr>
          <w:rFonts w:ascii="Arial" w:eastAsia="Times New Roman" w:hAnsi="Arial" w:cs="Arial"/>
          <w:color w:val="000000"/>
          <w:sz w:val="24"/>
          <w:szCs w:val="24"/>
        </w:rPr>
        <w:t>TEDxColumbiaSC</w:t>
      </w:r>
      <w:proofErr w:type="spellEnd"/>
      <w:r>
        <w:rPr>
          <w:rFonts w:ascii="Arial" w:eastAsia="Times New Roman" w:hAnsi="Arial" w:cs="Arial"/>
          <w:color w:val="000000"/>
          <w:sz w:val="24"/>
          <w:szCs w:val="24"/>
        </w:rPr>
        <w:t>" </w:t>
      </w:r>
      <w:hyperlink r:id="rId15" w:tgtFrame="_blank" w:history="1">
        <w:r>
          <w:rPr>
            <w:rStyle w:val="Emphasis"/>
            <w:rFonts w:ascii="Arial" w:eastAsia="Times New Roman" w:hAnsi="Arial" w:cs="Arial"/>
            <w:color w:val="0000FF"/>
            <w:sz w:val="24"/>
            <w:szCs w:val="24"/>
            <w:u w:val="single"/>
          </w:rPr>
          <w:t>here.</w:t>
        </w:r>
      </w:hyperlink>
    </w:p>
    <w:p w14:paraId="34588F70" w14:textId="77777777" w:rsidR="00B91DDF" w:rsidRDefault="00B91DDF" w:rsidP="00B91DDF">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Using the video, your textbook, and other </w:t>
      </w:r>
      <w:hyperlink r:id="rId16" w:tgtFrame="_blank" w:history="1">
        <w:r>
          <w:rPr>
            <w:rStyle w:val="Hyperlink"/>
            <w:rFonts w:ascii="Arial" w:eastAsia="Times New Roman" w:hAnsi="Arial" w:cs="Arial"/>
            <w:b/>
            <w:bCs/>
            <w:i/>
            <w:iCs/>
            <w:sz w:val="27"/>
            <w:szCs w:val="27"/>
          </w:rPr>
          <w:t>resources,</w:t>
        </w:r>
      </w:hyperlink>
      <w:r>
        <w:rPr>
          <w:rStyle w:val="Emphasis"/>
          <w:rFonts w:ascii="Arial" w:eastAsia="Times New Roman" w:hAnsi="Arial" w:cs="Arial"/>
          <w:b/>
          <w:bCs/>
          <w:color w:val="000000"/>
          <w:sz w:val="27"/>
          <w:szCs w:val="27"/>
        </w:rPr>
        <w:t> </w:t>
      </w:r>
      <w:r>
        <w:rPr>
          <w:rFonts w:ascii="Arial" w:eastAsia="Times New Roman" w:hAnsi="Arial" w:cs="Arial"/>
          <w:color w:val="000000"/>
          <w:sz w:val="27"/>
          <w:szCs w:val="27"/>
        </w:rPr>
        <w:t>discuss the importance of advocacy and empowerment in establishing self-determination with / in your client(s).</w:t>
      </w:r>
    </w:p>
    <w:p w14:paraId="44838F9B" w14:textId="77777777" w:rsidR="00B91DDF" w:rsidRDefault="00B91DDF" w:rsidP="00B91DDF">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As an ally, how might you "</w:t>
      </w:r>
      <w:r>
        <w:rPr>
          <w:rStyle w:val="Emphasis"/>
          <w:rFonts w:ascii="Arial" w:eastAsia="Times New Roman" w:hAnsi="Arial" w:cs="Arial"/>
          <w:b/>
          <w:bCs/>
          <w:color w:val="000000"/>
          <w:sz w:val="27"/>
          <w:szCs w:val="27"/>
        </w:rPr>
        <w:t>advocate for social justice</w:t>
      </w:r>
      <w:r>
        <w:rPr>
          <w:rFonts w:ascii="Arial" w:eastAsia="Times New Roman" w:hAnsi="Arial" w:cs="Arial"/>
          <w:color w:val="000000"/>
          <w:sz w:val="27"/>
          <w:szCs w:val="27"/>
        </w:rPr>
        <w:t>" when agency, organizational, or governmental  policies are not in your favor?</w:t>
      </w:r>
    </w:p>
    <w:p w14:paraId="062917EF" w14:textId="77777777" w:rsidR="00B91DDF" w:rsidRDefault="00B91DDF">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14:paraId="7187F181" w14:textId="77777777" w:rsidR="00B91DDF" w:rsidRDefault="00B91DDF" w:rsidP="00B91DDF">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For this assignment, your submission should be two complete and thorough paragraphs.</w:t>
      </w:r>
    </w:p>
    <w:p w14:paraId="0748DF39" w14:textId="77777777" w:rsidR="00B91DDF" w:rsidRDefault="00B91DDF" w:rsidP="00B91DDF">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September 26, 2021 at 11:59 pm</w:t>
      </w:r>
    </w:p>
    <w:p w14:paraId="11A83CD7" w14:textId="77777777" w:rsidR="00B91DDF" w:rsidRDefault="00B91DDF">
      <w:pPr>
        <w:pStyle w:val="Heading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7E32C13E" w14:textId="77777777" w:rsidR="00B91DDF" w:rsidRDefault="00B91DDF"/>
    <w:sectPr w:rsidR="00B91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206C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66E5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DDF"/>
    <w:rsid w:val="00B9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7E75DE"/>
  <w15:chartTrackingRefBased/>
  <w15:docId w15:val="{E99A5BFF-365A-714B-87D5-7BEE701BB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D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1D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1D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91DD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91D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91DDF"/>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91DD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B91DDF"/>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B91DDF"/>
    <w:rPr>
      <w:b/>
      <w:bCs/>
    </w:rPr>
  </w:style>
  <w:style w:type="paragraph" w:styleId="NormalWeb">
    <w:name w:val="Normal (Web)"/>
    <w:basedOn w:val="Normal"/>
    <w:uiPriority w:val="99"/>
    <w:semiHidden/>
    <w:unhideWhenUsed/>
    <w:rsid w:val="00B91DDF"/>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B91DDF"/>
    <w:rPr>
      <w:i/>
      <w:iCs/>
    </w:rPr>
  </w:style>
  <w:style w:type="character" w:styleId="Hyperlink">
    <w:name w:val="Hyperlink"/>
    <w:basedOn w:val="DefaultParagraphFont"/>
    <w:uiPriority w:val="99"/>
    <w:semiHidden/>
    <w:unhideWhenUsed/>
    <w:rsid w:val="00B91D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indaklewis.com/2010/03/08/social-workers-and-social-movements/" TargetMode="External" /><Relationship Id="rId13" Type="http://schemas.openxmlformats.org/officeDocument/2006/relationships/hyperlink" Target="https://socialworklicensure.org/types-of-social-workers/community-social-workers/" TargetMode="Externa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omeka.hrvh.org/exhibits/show/history-of-poverty-new-paltz/history-of-poverty/english-poor-laws" TargetMode="External" /><Relationship Id="rId12" Type="http://schemas.openxmlformats.org/officeDocument/2006/relationships/hyperlink" Target="https://online.yu.edu/wurzweiler/blog/understanding-macro-social-work" TargetMode="External"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us.sagepub.com/sites/default/files/upm-assets/90577_book_item_90577.pdf" TargetMode="External" /><Relationship Id="rId1" Type="http://schemas.openxmlformats.org/officeDocument/2006/relationships/numbering" Target="numbering.xml" /><Relationship Id="rId6" Type="http://schemas.openxmlformats.org/officeDocument/2006/relationships/hyperlink" Target="http://blog.yalebooks.com/2020/05/07/social-order-in-the-new-world/" TargetMode="External" /><Relationship Id="rId11" Type="http://schemas.openxmlformats.org/officeDocument/2006/relationships/hyperlink" Target="https://socialwork.tulane.edu/blog/policy-advocacy" TargetMode="External" /><Relationship Id="rId5" Type="http://schemas.openxmlformats.org/officeDocument/2006/relationships/hyperlink" Target="http://www.historyworld.net/wrldhis/PlainTextHistories.asp?ParagraphID=eoa" TargetMode="External" /><Relationship Id="rId15" Type="http://schemas.openxmlformats.org/officeDocument/2006/relationships/hyperlink" Target="https://youtu.be/A27QjpQ_Ieo" TargetMode="External" /><Relationship Id="rId10" Type="http://schemas.openxmlformats.org/officeDocument/2006/relationships/hyperlink" Target="https://www.etsu.edu/crhs/socialwork/what_is_social_work.php" TargetMode="External" /><Relationship Id="rId4" Type="http://schemas.openxmlformats.org/officeDocument/2006/relationships/webSettings" Target="webSettings.xml" /><Relationship Id="rId9" Type="http://schemas.openxmlformats.org/officeDocument/2006/relationships/hyperlink" Target="https://scholarlycommons.law.case.edu/cgi/viewcontent.cgi?article=2675&amp;context=caselrev" TargetMode="External" /><Relationship Id="rId14" Type="http://schemas.openxmlformats.org/officeDocument/2006/relationships/hyperlink" Target="https://www.socialworker.com/feature-articles/practice/social-workers-allies-justi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2021-09-27T05:39:00Z</dcterms:created>
  <dcterms:modified xsi:type="dcterms:W3CDTF">2021-09-27T05:39:00Z</dcterms:modified>
</cp:coreProperties>
</file>