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3B9" w:rsidRDefault="00B653B9" w:rsidP="00B653B9">
      <w:pPr>
        <w:ind w:hanging="360"/>
        <w:rPr>
          <w:rFonts w:ascii="Arial" w:hAnsi="Arial" w:cs="Arial"/>
          <w:sz w:val="28"/>
          <w:szCs w:val="28"/>
        </w:rPr>
      </w:pPr>
      <w:r>
        <w:rPr>
          <w:rFonts w:ascii="Arial" w:hAnsi="Arial" w:cs="Arial"/>
          <w:b/>
          <w:bCs/>
          <w:sz w:val="28"/>
          <w:szCs w:val="28"/>
        </w:rPr>
        <w:t>9-</w:t>
      </w:r>
      <w:proofErr w:type="gramStart"/>
      <w:r>
        <w:rPr>
          <w:rFonts w:ascii="Arial" w:hAnsi="Arial" w:cs="Arial"/>
          <w:b/>
          <w:bCs/>
          <w:sz w:val="28"/>
          <w:szCs w:val="28"/>
        </w:rPr>
        <w:t>44  CVP</w:t>
      </w:r>
      <w:proofErr w:type="gramEnd"/>
      <w:r>
        <w:rPr>
          <w:rFonts w:ascii="Arial" w:hAnsi="Arial" w:cs="Arial"/>
          <w:b/>
          <w:bCs/>
          <w:sz w:val="28"/>
          <w:szCs w:val="28"/>
        </w:rPr>
        <w:t xml:space="preserve"> Analysis; Uncertainty/Sensitivity Analysis</w:t>
      </w:r>
    </w:p>
    <w:p w:rsidR="00B653B9" w:rsidRDefault="00B653B9" w:rsidP="00B653B9">
      <w:pPr>
        <w:pStyle w:val="BodyText3"/>
        <w:ind w:left="720"/>
        <w:jc w:val="both"/>
        <w:rPr>
          <w:rFonts w:cs="Times New Roman"/>
        </w:rPr>
      </w:pPr>
    </w:p>
    <w:p w:rsidR="00B653B9" w:rsidRDefault="00B653B9" w:rsidP="00B653B9">
      <w:pPr>
        <w:pStyle w:val="BodyText3"/>
        <w:ind w:left="504" w:hanging="324"/>
        <w:jc w:val="both"/>
      </w:pPr>
      <w:r>
        <w:t xml:space="preserve">1. In order to break even, during the first year of operations, </w:t>
      </w:r>
      <w:r w:rsidRPr="00BB61A0">
        <w:rPr>
          <w:b/>
          <w:bCs/>
        </w:rPr>
        <w:t>3,649 clients</w:t>
      </w:r>
      <w:r>
        <w:t xml:space="preserve"> (rounded up) must visit the law office being considered by Don Carson and his colleagues as calculated below. </w:t>
      </w:r>
    </w:p>
    <w:p w:rsidR="00B653B9" w:rsidRDefault="00B653B9" w:rsidP="00B653B9">
      <w:pPr>
        <w:widowControl/>
        <w:rPr>
          <w:rFonts w:cs="Times New Roman"/>
          <w:sz w:val="18"/>
          <w:szCs w:val="18"/>
        </w:rPr>
      </w:pPr>
      <w:r>
        <w:rPr>
          <w:noProof/>
        </w:rPr>
        <w:drawing>
          <wp:anchor distT="0" distB="0" distL="114300" distR="114300" simplePos="0" relativeHeight="251659264" behindDoc="0" locked="0" layoutInCell="1" allowOverlap="1">
            <wp:simplePos x="0" y="0"/>
            <wp:positionH relativeFrom="column">
              <wp:posOffset>71120</wp:posOffset>
            </wp:positionH>
            <wp:positionV relativeFrom="paragraph">
              <wp:posOffset>138430</wp:posOffset>
            </wp:positionV>
            <wp:extent cx="5862955" cy="2830195"/>
            <wp:effectExtent l="0" t="0" r="4445" b="0"/>
            <wp:wrapSquare wrapText="bothSides"/>
            <wp:docPr id="24"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62955" cy="2830195"/>
                    </a:xfrm>
                    <a:prstGeom prst="rect">
                      <a:avLst/>
                    </a:prstGeom>
                    <a:noFill/>
                  </pic:spPr>
                </pic:pic>
              </a:graphicData>
            </a:graphic>
          </wp:anchor>
        </w:drawing>
      </w:r>
    </w:p>
    <w:p w:rsidR="00B653B9" w:rsidRDefault="00B653B9" w:rsidP="00B653B9">
      <w:pPr>
        <w:widowControl/>
        <w:tabs>
          <w:tab w:val="left" w:pos="540"/>
        </w:tabs>
        <w:rPr>
          <w:sz w:val="28"/>
          <w:szCs w:val="28"/>
        </w:rPr>
      </w:pPr>
      <w:r>
        <w:rPr>
          <w:rFonts w:ascii="Arial" w:hAnsi="Arial" w:cs="Arial"/>
          <w:sz w:val="28"/>
          <w:szCs w:val="28"/>
        </w:rPr>
        <w:tab/>
      </w:r>
      <w:r>
        <w:rPr>
          <w:sz w:val="28"/>
          <w:szCs w:val="28"/>
        </w:rPr>
        <w:t>Breakeven Calculation:</w:t>
      </w:r>
    </w:p>
    <w:p w:rsidR="00B653B9" w:rsidRPr="00DF446F" w:rsidRDefault="00B653B9" w:rsidP="00B653B9">
      <w:pPr>
        <w:widowControl/>
        <w:tabs>
          <w:tab w:val="left" w:pos="540"/>
        </w:tabs>
        <w:rPr>
          <w:sz w:val="18"/>
          <w:szCs w:val="18"/>
        </w:rPr>
      </w:pPr>
    </w:p>
    <w:p w:rsidR="00B653B9" w:rsidRDefault="00B653B9" w:rsidP="00B653B9">
      <w:pPr>
        <w:widowControl/>
        <w:tabs>
          <w:tab w:val="left" w:pos="540"/>
        </w:tabs>
        <w:ind w:left="1260" w:hanging="1260"/>
        <w:rPr>
          <w:sz w:val="28"/>
          <w:szCs w:val="28"/>
        </w:rPr>
      </w:pPr>
      <w:r>
        <w:rPr>
          <w:sz w:val="28"/>
          <w:szCs w:val="28"/>
        </w:rPr>
        <w:tab/>
        <w:t xml:space="preserve">$0 = Total revenue </w:t>
      </w:r>
      <w:r>
        <w:rPr>
          <w:rFonts w:ascii="Tahoma" w:hAnsi="Tahoma" w:cs="Tahoma"/>
          <w:sz w:val="28"/>
          <w:szCs w:val="28"/>
        </w:rPr>
        <w:t>−</w:t>
      </w:r>
      <w:r>
        <w:rPr>
          <w:sz w:val="28"/>
          <w:szCs w:val="28"/>
        </w:rPr>
        <w:t xml:space="preserve"> variable cost (supplies) </w:t>
      </w:r>
      <w:r>
        <w:rPr>
          <w:rFonts w:ascii="Tahoma" w:hAnsi="Tahoma" w:cs="Tahoma"/>
          <w:sz w:val="28"/>
          <w:szCs w:val="28"/>
        </w:rPr>
        <w:t>−</w:t>
      </w:r>
      <w:r>
        <w:rPr>
          <w:sz w:val="28"/>
          <w:szCs w:val="28"/>
        </w:rPr>
        <w:t xml:space="preserve"> fixed cost (from above)</w:t>
      </w:r>
    </w:p>
    <w:p w:rsidR="00B653B9" w:rsidRPr="00ED3573" w:rsidRDefault="00B653B9" w:rsidP="00B653B9">
      <w:pPr>
        <w:widowControl/>
        <w:ind w:left="720"/>
        <w:rPr>
          <w:rFonts w:cs="Times New Roman"/>
          <w:sz w:val="16"/>
          <w:szCs w:val="16"/>
        </w:rPr>
      </w:pPr>
    </w:p>
    <w:p w:rsidR="00B653B9" w:rsidRDefault="00B653B9" w:rsidP="00B653B9">
      <w:pPr>
        <w:widowControl/>
        <w:rPr>
          <w:sz w:val="28"/>
          <w:szCs w:val="28"/>
        </w:rPr>
      </w:pPr>
      <w:r>
        <w:rPr>
          <w:sz w:val="28"/>
          <w:szCs w:val="28"/>
        </w:rPr>
        <w:t xml:space="preserve">      $0 = (Initial consultation fees + Settlement fees) </w:t>
      </w:r>
      <w:r>
        <w:rPr>
          <w:rFonts w:ascii="Tahoma" w:hAnsi="Tahoma" w:cs="Tahoma"/>
          <w:sz w:val="28"/>
          <w:szCs w:val="28"/>
        </w:rPr>
        <w:t>−</w:t>
      </w:r>
      <w:r>
        <w:rPr>
          <w:sz w:val="28"/>
          <w:szCs w:val="28"/>
        </w:rPr>
        <w:t xml:space="preserve"> VC </w:t>
      </w:r>
      <w:r>
        <w:rPr>
          <w:rFonts w:ascii="Tahoma" w:hAnsi="Tahoma" w:cs="Tahoma"/>
          <w:sz w:val="28"/>
          <w:szCs w:val="28"/>
        </w:rPr>
        <w:t>−</w:t>
      </w:r>
      <w:r>
        <w:rPr>
          <w:sz w:val="28"/>
          <w:szCs w:val="28"/>
        </w:rPr>
        <w:t xml:space="preserve"> F</w:t>
      </w:r>
    </w:p>
    <w:p w:rsidR="00B653B9" w:rsidRPr="00ED3573" w:rsidRDefault="00B653B9" w:rsidP="00B653B9">
      <w:pPr>
        <w:widowControl/>
        <w:ind w:left="720"/>
        <w:rPr>
          <w:rFonts w:cs="Times New Roman"/>
          <w:sz w:val="16"/>
          <w:szCs w:val="16"/>
        </w:rPr>
      </w:pPr>
    </w:p>
    <w:p w:rsidR="00B653B9" w:rsidRDefault="00B653B9" w:rsidP="00B653B9">
      <w:pPr>
        <w:widowControl/>
        <w:ind w:left="540"/>
        <w:rPr>
          <w:sz w:val="28"/>
          <w:szCs w:val="28"/>
        </w:rPr>
      </w:pPr>
      <w:r>
        <w:rPr>
          <w:sz w:val="28"/>
          <w:szCs w:val="28"/>
        </w:rPr>
        <w:t xml:space="preserve">$0 = ($30Q + ($15,000 </w:t>
      </w:r>
      <w:r>
        <w:rPr>
          <w:rFonts w:ascii="Tahoma" w:hAnsi="Tahoma" w:cs="Tahoma"/>
          <w:sz w:val="28"/>
          <w:szCs w:val="28"/>
        </w:rPr>
        <w:t>×</w:t>
      </w:r>
      <w:r>
        <w:rPr>
          <w:sz w:val="28"/>
          <w:szCs w:val="28"/>
        </w:rPr>
        <w:t xml:space="preserve"> 0.3 </w:t>
      </w:r>
      <w:r>
        <w:rPr>
          <w:rFonts w:ascii="Tahoma" w:hAnsi="Tahoma" w:cs="Tahoma"/>
          <w:sz w:val="28"/>
          <w:szCs w:val="28"/>
        </w:rPr>
        <w:t>×</w:t>
      </w:r>
      <w:r>
        <w:rPr>
          <w:sz w:val="28"/>
          <w:szCs w:val="28"/>
        </w:rPr>
        <w:t xml:space="preserve"> 0.2) </w:t>
      </w:r>
      <w:r>
        <w:rPr>
          <w:rFonts w:ascii="Tahoma" w:hAnsi="Tahoma" w:cs="Tahoma"/>
          <w:sz w:val="28"/>
          <w:szCs w:val="28"/>
        </w:rPr>
        <w:t xml:space="preserve">× </w:t>
      </w:r>
      <w:r>
        <w:rPr>
          <w:sz w:val="28"/>
          <w:szCs w:val="28"/>
        </w:rPr>
        <w:t xml:space="preserve">Q) </w:t>
      </w:r>
      <w:r>
        <w:rPr>
          <w:rFonts w:ascii="Tahoma" w:hAnsi="Tahoma" w:cs="Tahoma"/>
          <w:sz w:val="28"/>
          <w:szCs w:val="28"/>
        </w:rPr>
        <w:t>−</w:t>
      </w:r>
      <w:r>
        <w:rPr>
          <w:sz w:val="28"/>
          <w:szCs w:val="28"/>
        </w:rPr>
        <w:t xml:space="preserve"> $10Q </w:t>
      </w:r>
      <w:r>
        <w:rPr>
          <w:rFonts w:ascii="Tahoma" w:hAnsi="Tahoma" w:cs="Tahoma"/>
          <w:sz w:val="28"/>
          <w:szCs w:val="28"/>
        </w:rPr>
        <w:t>−</w:t>
      </w:r>
      <w:r>
        <w:rPr>
          <w:sz w:val="28"/>
          <w:szCs w:val="28"/>
        </w:rPr>
        <w:t xml:space="preserve"> $3,356,240</w:t>
      </w:r>
    </w:p>
    <w:p w:rsidR="00B653B9" w:rsidRPr="00A73305" w:rsidRDefault="00B653B9" w:rsidP="00B653B9">
      <w:pPr>
        <w:widowControl/>
        <w:ind w:left="540"/>
        <w:rPr>
          <w:rFonts w:cs="Times New Roman"/>
          <w:sz w:val="16"/>
          <w:szCs w:val="16"/>
        </w:rPr>
      </w:pPr>
    </w:p>
    <w:p w:rsidR="00B653B9" w:rsidRPr="00A73305" w:rsidRDefault="00B653B9" w:rsidP="00B653B9">
      <w:pPr>
        <w:widowControl/>
        <w:ind w:left="540"/>
        <w:rPr>
          <w:rFonts w:cs="Times New Roman"/>
          <w:sz w:val="28"/>
          <w:szCs w:val="28"/>
        </w:rPr>
      </w:pPr>
      <w:r w:rsidRPr="00A73305">
        <w:rPr>
          <w:sz w:val="28"/>
          <w:szCs w:val="28"/>
        </w:rPr>
        <w:t xml:space="preserve">Q = $3,356,240 </w:t>
      </w:r>
      <w:r>
        <w:rPr>
          <w:rFonts w:ascii="Tahoma" w:hAnsi="Tahoma" w:cs="Tahoma"/>
          <w:sz w:val="28"/>
          <w:szCs w:val="28"/>
        </w:rPr>
        <w:t>÷</w:t>
      </w:r>
      <w:r w:rsidRPr="00A73305">
        <w:rPr>
          <w:sz w:val="28"/>
          <w:szCs w:val="28"/>
        </w:rPr>
        <w:t>$900 =</w:t>
      </w:r>
      <w:r w:rsidRPr="00A73305">
        <w:rPr>
          <w:b/>
          <w:bCs/>
          <w:sz w:val="28"/>
          <w:szCs w:val="28"/>
          <w:u w:val="double"/>
        </w:rPr>
        <w:t>3,64</w:t>
      </w:r>
      <w:r>
        <w:rPr>
          <w:b/>
          <w:bCs/>
          <w:sz w:val="28"/>
          <w:szCs w:val="28"/>
          <w:u w:val="double"/>
        </w:rPr>
        <w:t>9</w:t>
      </w:r>
      <w:r w:rsidRPr="004F31BA">
        <w:rPr>
          <w:b/>
          <w:sz w:val="28"/>
          <w:szCs w:val="28"/>
        </w:rPr>
        <w:t>clients per year</w:t>
      </w:r>
      <w:r>
        <w:rPr>
          <w:sz w:val="28"/>
          <w:szCs w:val="28"/>
        </w:rPr>
        <w:t xml:space="preserve"> (rounded up)</w:t>
      </w:r>
    </w:p>
    <w:p w:rsidR="00B653B9" w:rsidRPr="00ED3573" w:rsidRDefault="00B653B9" w:rsidP="00B653B9">
      <w:pPr>
        <w:widowControl/>
        <w:ind w:left="720"/>
        <w:rPr>
          <w:rFonts w:cs="Times New Roman"/>
        </w:rPr>
      </w:pPr>
    </w:p>
    <w:p w:rsidR="00B653B9" w:rsidRDefault="00B653B9" w:rsidP="00B653B9">
      <w:pPr>
        <w:pStyle w:val="BodyText"/>
        <w:numPr>
          <w:ilvl w:val="0"/>
          <w:numId w:val="2"/>
        </w:numPr>
        <w:tabs>
          <w:tab w:val="clear" w:pos="720"/>
        </w:tabs>
        <w:ind w:left="540"/>
        <w:jc w:val="left"/>
        <w:rPr>
          <w:rFonts w:ascii="Arial" w:hAnsi="Arial" w:cs="Arial"/>
          <w:sz w:val="28"/>
          <w:szCs w:val="28"/>
        </w:rPr>
      </w:pPr>
      <w:r>
        <w:rPr>
          <w:rFonts w:ascii="Arial" w:hAnsi="Arial" w:cs="Arial"/>
          <w:sz w:val="28"/>
          <w:szCs w:val="28"/>
        </w:rPr>
        <w:t xml:space="preserve">Based on the report of the marketing consultant, the expected number of new clients during the first year is </w:t>
      </w:r>
      <w:r w:rsidRPr="001436B1">
        <w:rPr>
          <w:rFonts w:ascii="Arial" w:hAnsi="Arial" w:cs="Arial"/>
          <w:b/>
          <w:bCs/>
          <w:sz w:val="28"/>
          <w:szCs w:val="28"/>
        </w:rPr>
        <w:t>12,600</w:t>
      </w:r>
      <w:r>
        <w:rPr>
          <w:rFonts w:ascii="Arial" w:hAnsi="Arial" w:cs="Arial"/>
          <w:sz w:val="28"/>
          <w:szCs w:val="28"/>
        </w:rPr>
        <w:t xml:space="preserve"> as calculated below.  Therefore, it is entirely feasible for the law office to break even during the first year of operations as the breakeven point is </w:t>
      </w:r>
      <w:r w:rsidRPr="001436B1">
        <w:rPr>
          <w:rFonts w:ascii="Arial" w:hAnsi="Arial" w:cs="Arial"/>
          <w:b/>
          <w:bCs/>
          <w:sz w:val="28"/>
          <w:szCs w:val="28"/>
        </w:rPr>
        <w:t>3,64</w:t>
      </w:r>
      <w:r>
        <w:rPr>
          <w:rFonts w:ascii="Arial" w:hAnsi="Arial" w:cs="Arial"/>
          <w:b/>
          <w:bCs/>
          <w:sz w:val="28"/>
          <w:szCs w:val="28"/>
        </w:rPr>
        <w:t>9</w:t>
      </w:r>
      <w:r>
        <w:rPr>
          <w:rFonts w:ascii="Arial" w:hAnsi="Arial" w:cs="Arial"/>
          <w:sz w:val="28"/>
          <w:szCs w:val="28"/>
        </w:rPr>
        <w:t xml:space="preserve"> clients (see above).</w:t>
      </w:r>
    </w:p>
    <w:p w:rsidR="00B653B9" w:rsidRDefault="00B653B9" w:rsidP="00B653B9">
      <w:pPr>
        <w:widowControl/>
        <w:ind w:left="540"/>
        <w:jc w:val="both"/>
        <w:rPr>
          <w:rFonts w:ascii="Arial" w:hAnsi="Arial" w:cs="Arial"/>
          <w:sz w:val="28"/>
          <w:szCs w:val="28"/>
        </w:rPr>
      </w:pPr>
      <w:r>
        <w:rPr>
          <w:rFonts w:ascii="Arial" w:hAnsi="Arial" w:cs="Arial"/>
          <w:sz w:val="28"/>
          <w:szCs w:val="28"/>
        </w:rPr>
        <w:t>Expected value = (10 × 0.10) + (20 × 0.30) + (40 × 0.40) + (60 × 0.20)</w:t>
      </w:r>
    </w:p>
    <w:p w:rsidR="00B653B9" w:rsidRPr="00DF446F" w:rsidRDefault="00B653B9" w:rsidP="00B653B9">
      <w:pPr>
        <w:widowControl/>
        <w:ind w:left="720"/>
        <w:jc w:val="both"/>
        <w:rPr>
          <w:rFonts w:ascii="Arial" w:hAnsi="Arial" w:cs="Arial"/>
          <w:sz w:val="16"/>
          <w:szCs w:val="16"/>
        </w:rPr>
      </w:pPr>
    </w:p>
    <w:p w:rsidR="00B653B9" w:rsidRDefault="00B653B9" w:rsidP="00B653B9">
      <w:pPr>
        <w:widowControl/>
        <w:tabs>
          <w:tab w:val="left" w:pos="2700"/>
        </w:tabs>
        <w:jc w:val="both"/>
        <w:rPr>
          <w:rFonts w:ascii="Arial" w:hAnsi="Arial" w:cs="Arial"/>
          <w:sz w:val="28"/>
          <w:szCs w:val="28"/>
        </w:rPr>
      </w:pPr>
      <w:r>
        <w:rPr>
          <w:rFonts w:ascii="Arial" w:hAnsi="Arial" w:cs="Arial"/>
          <w:sz w:val="28"/>
          <w:szCs w:val="28"/>
        </w:rPr>
        <w:tab/>
        <w:t>= 35 clients per day</w:t>
      </w:r>
    </w:p>
    <w:p w:rsidR="00B653B9" w:rsidRPr="00DF446F" w:rsidRDefault="00B653B9" w:rsidP="00B653B9">
      <w:pPr>
        <w:widowControl/>
        <w:tabs>
          <w:tab w:val="left" w:pos="2700"/>
        </w:tabs>
        <w:jc w:val="both"/>
        <w:rPr>
          <w:rFonts w:ascii="Arial" w:hAnsi="Arial" w:cs="Arial"/>
          <w:sz w:val="18"/>
          <w:szCs w:val="18"/>
        </w:rPr>
      </w:pPr>
    </w:p>
    <w:p w:rsidR="00B653B9" w:rsidRDefault="00B653B9" w:rsidP="00B653B9">
      <w:pPr>
        <w:widowControl/>
        <w:tabs>
          <w:tab w:val="left" w:pos="2700"/>
        </w:tabs>
        <w:jc w:val="both"/>
        <w:rPr>
          <w:rFonts w:ascii="Arial" w:hAnsi="Arial" w:cs="Arial"/>
          <w:sz w:val="28"/>
          <w:szCs w:val="28"/>
        </w:rPr>
      </w:pPr>
      <w:r>
        <w:rPr>
          <w:rFonts w:ascii="Arial" w:hAnsi="Arial" w:cs="Arial"/>
          <w:sz w:val="28"/>
          <w:szCs w:val="28"/>
        </w:rPr>
        <w:tab/>
        <w:t xml:space="preserve">= 35 × 360 days = </w:t>
      </w:r>
      <w:r w:rsidRPr="001436B1">
        <w:rPr>
          <w:rFonts w:ascii="Arial" w:hAnsi="Arial" w:cs="Arial"/>
          <w:b/>
          <w:bCs/>
          <w:sz w:val="28"/>
          <w:szCs w:val="28"/>
          <w:u w:val="double"/>
        </w:rPr>
        <w:t>12,600</w:t>
      </w:r>
      <w:r>
        <w:rPr>
          <w:rFonts w:ascii="Arial" w:hAnsi="Arial" w:cs="Arial"/>
          <w:sz w:val="28"/>
          <w:szCs w:val="28"/>
        </w:rPr>
        <w:t>clients in year 1</w:t>
      </w:r>
    </w:p>
    <w:p w:rsidR="00B653B9" w:rsidRDefault="00B653B9" w:rsidP="00B653B9">
      <w:pPr>
        <w:pStyle w:val="BodyText"/>
        <w:ind w:hanging="360"/>
        <w:rPr>
          <w:rFonts w:ascii="Arial" w:hAnsi="Arial" w:cs="Arial"/>
          <w:sz w:val="28"/>
          <w:szCs w:val="28"/>
        </w:rPr>
      </w:pPr>
    </w:p>
    <w:p w:rsidR="00B653B9" w:rsidRDefault="00B653B9" w:rsidP="00B653B9">
      <w:pPr>
        <w:widowControl/>
        <w:ind w:left="720" w:firstLine="720"/>
        <w:jc w:val="both"/>
        <w:rPr>
          <w:rFonts w:ascii="Arial" w:hAnsi="Arial" w:cs="Arial"/>
          <w:sz w:val="28"/>
          <w:szCs w:val="28"/>
        </w:rPr>
      </w:pPr>
    </w:p>
    <w:p w:rsidR="00B653B9" w:rsidRDefault="00B653B9" w:rsidP="00B653B9">
      <w:pPr>
        <w:widowControl/>
        <w:ind w:left="720"/>
        <w:rPr>
          <w:rFonts w:ascii="Arial" w:hAnsi="Arial" w:cs="Arial"/>
          <w:sz w:val="28"/>
          <w:szCs w:val="28"/>
        </w:rPr>
      </w:pPr>
      <w:r>
        <w:rPr>
          <w:rFonts w:ascii="Arial" w:hAnsi="Arial" w:cs="Arial"/>
          <w:sz w:val="28"/>
          <w:szCs w:val="28"/>
        </w:rPr>
        <w:lastRenderedPageBreak/>
        <w:t>Since there is uncertainty in the prediction of the number of clients per year, based on a probability distribution, further sensitivity analysis should be considered, with the objective of determining the potential loss if in fact the number of clients falls short of the forecast.</w:t>
      </w:r>
    </w:p>
    <w:p w:rsidR="00B653B9" w:rsidRDefault="00B653B9" w:rsidP="00B653B9">
      <w:pPr>
        <w:widowControl/>
        <w:ind w:left="720" w:hanging="540"/>
        <w:rPr>
          <w:rFonts w:ascii="Arial" w:hAnsi="Arial" w:cs="Arial"/>
          <w:sz w:val="28"/>
          <w:szCs w:val="28"/>
        </w:rPr>
      </w:pPr>
    </w:p>
    <w:p w:rsidR="00B653B9" w:rsidRPr="00661202" w:rsidRDefault="00B653B9" w:rsidP="00B653B9">
      <w:pPr>
        <w:widowControl/>
        <w:ind w:left="720" w:hanging="540"/>
        <w:rPr>
          <w:rFonts w:ascii="Arial" w:hAnsi="Arial" w:cs="Arial"/>
          <w:sz w:val="28"/>
          <w:szCs w:val="28"/>
        </w:rPr>
      </w:pPr>
      <w:r>
        <w:rPr>
          <w:rFonts w:ascii="Arial" w:hAnsi="Arial" w:cs="Arial"/>
          <w:sz w:val="28"/>
          <w:szCs w:val="28"/>
        </w:rPr>
        <w:t>3.</w:t>
      </w:r>
      <w:r>
        <w:rPr>
          <w:rFonts w:ascii="Arial" w:hAnsi="Arial" w:cs="Arial"/>
          <w:sz w:val="28"/>
          <w:szCs w:val="28"/>
        </w:rPr>
        <w:tab/>
      </w:r>
      <w:r w:rsidRPr="002D73DB">
        <w:rPr>
          <w:rFonts w:ascii="Arial" w:hAnsi="Arial" w:cs="Arial"/>
          <w:b/>
          <w:bCs/>
          <w:sz w:val="28"/>
          <w:szCs w:val="28"/>
        </w:rPr>
        <w:t>Sensitivity Analysis</w:t>
      </w:r>
      <w:r w:rsidRPr="00661202">
        <w:rPr>
          <w:rFonts w:ascii="Arial" w:hAnsi="Arial" w:cs="Arial"/>
          <w:sz w:val="28"/>
          <w:szCs w:val="28"/>
        </w:rPr>
        <w:t>: Sensitivity analysis is used to deal more effecti</w:t>
      </w:r>
      <w:r>
        <w:rPr>
          <w:rFonts w:ascii="Arial" w:hAnsi="Arial" w:cs="Arial"/>
          <w:sz w:val="28"/>
          <w:szCs w:val="28"/>
        </w:rPr>
        <w:t xml:space="preserve">vely with uncertainty or risk. </w:t>
      </w:r>
      <w:r w:rsidRPr="00661202">
        <w:rPr>
          <w:rFonts w:ascii="Arial" w:hAnsi="Arial" w:cs="Arial"/>
          <w:sz w:val="28"/>
          <w:szCs w:val="28"/>
        </w:rPr>
        <w:t>Sensitivity analysis is a "what-if” type of analysis used to determine the outcomes if any parameters change</w:t>
      </w:r>
      <w:r>
        <w:rPr>
          <w:rFonts w:ascii="Arial" w:hAnsi="Arial" w:cs="Arial"/>
          <w:sz w:val="28"/>
          <w:szCs w:val="28"/>
        </w:rPr>
        <w:t xml:space="preserve"> from the initial assumptions. </w:t>
      </w:r>
      <w:r w:rsidRPr="00661202">
        <w:rPr>
          <w:rFonts w:ascii="Arial" w:hAnsi="Arial" w:cs="Arial"/>
          <w:sz w:val="28"/>
          <w:szCs w:val="28"/>
        </w:rPr>
        <w:t xml:space="preserve">For example, revenues or costs could be changed from the initial assumptions and a new break-even sales volume calculated. </w:t>
      </w:r>
    </w:p>
    <w:p w:rsidR="00B653B9" w:rsidRPr="00350D71" w:rsidRDefault="00B653B9" w:rsidP="00B653B9">
      <w:pPr>
        <w:widowControl/>
        <w:ind w:left="720"/>
        <w:rPr>
          <w:rFonts w:ascii="Arial" w:hAnsi="Arial" w:cs="Arial"/>
        </w:rPr>
      </w:pPr>
    </w:p>
    <w:p w:rsidR="00B653B9" w:rsidRDefault="00B653B9" w:rsidP="00B653B9">
      <w:pPr>
        <w:widowControl/>
        <w:ind w:left="720"/>
        <w:rPr>
          <w:rFonts w:ascii="Arial" w:hAnsi="Arial" w:cs="Arial"/>
          <w:sz w:val="28"/>
          <w:szCs w:val="28"/>
        </w:rPr>
      </w:pPr>
      <w:r>
        <w:rPr>
          <w:rFonts w:ascii="Arial" w:hAnsi="Arial" w:cs="Arial"/>
          <w:sz w:val="28"/>
          <w:szCs w:val="28"/>
        </w:rPr>
        <w:t>The availability of spreadsheet software has made it very quick and easy to compute the impact of changing one or more assumptions in a financial model. At least three factors that make sensitivity analysis prevalent in decision making include the following:</w:t>
      </w:r>
    </w:p>
    <w:p w:rsidR="00B653B9" w:rsidRPr="00350D71" w:rsidRDefault="00B653B9" w:rsidP="00B653B9">
      <w:pPr>
        <w:widowControl/>
        <w:ind w:left="720"/>
        <w:rPr>
          <w:rFonts w:ascii="Arial" w:hAnsi="Arial" w:cs="Arial"/>
        </w:rPr>
      </w:pPr>
    </w:p>
    <w:p w:rsidR="00B653B9" w:rsidRDefault="00B653B9" w:rsidP="00B653B9">
      <w:pPr>
        <w:pStyle w:val="ListParagraph"/>
        <w:widowControl/>
        <w:numPr>
          <w:ilvl w:val="0"/>
          <w:numId w:val="1"/>
        </w:numPr>
        <w:rPr>
          <w:rFonts w:ascii="Arial" w:hAnsi="Arial" w:cs="Arial"/>
          <w:sz w:val="28"/>
          <w:szCs w:val="28"/>
        </w:rPr>
      </w:pPr>
      <w:r w:rsidRPr="00ED3573">
        <w:rPr>
          <w:rFonts w:ascii="Arial" w:hAnsi="Arial" w:cs="Arial"/>
          <w:sz w:val="28"/>
          <w:szCs w:val="28"/>
        </w:rPr>
        <w:t>As the business environment is becoming more dynamic and competitive, sensitivity analysis provides management with an understanding of the impact of changes in the environment.  The increased emphasis on productivity, competitive marketplace, changing consumer demand, shorter product life cycle times, and faster obsolescence of technology makes sensitivity analysis more prevalent.</w:t>
      </w:r>
    </w:p>
    <w:p w:rsidR="00B653B9" w:rsidRPr="00350D71" w:rsidRDefault="00B653B9" w:rsidP="00B653B9">
      <w:pPr>
        <w:pStyle w:val="ListParagraph"/>
        <w:widowControl/>
        <w:ind w:left="1440"/>
        <w:rPr>
          <w:rFonts w:ascii="Arial" w:hAnsi="Arial" w:cs="Arial"/>
          <w:sz w:val="20"/>
          <w:szCs w:val="20"/>
        </w:rPr>
      </w:pPr>
    </w:p>
    <w:p w:rsidR="00B653B9" w:rsidRDefault="00B653B9" w:rsidP="00B653B9">
      <w:pPr>
        <w:pStyle w:val="ListParagraph"/>
        <w:widowControl/>
        <w:numPr>
          <w:ilvl w:val="0"/>
          <w:numId w:val="1"/>
        </w:numPr>
        <w:rPr>
          <w:rFonts w:ascii="Arial" w:hAnsi="Arial" w:cs="Arial"/>
          <w:sz w:val="28"/>
          <w:szCs w:val="28"/>
        </w:rPr>
      </w:pPr>
      <w:r w:rsidRPr="00ED3573">
        <w:rPr>
          <w:rFonts w:ascii="Arial" w:hAnsi="Arial" w:cs="Arial"/>
          <w:sz w:val="28"/>
          <w:szCs w:val="28"/>
        </w:rPr>
        <w:t>Sensitivity analysis aids management in identifying the key variables and assumptions, so the variables can be monitored or a decision made to obtain additional information</w:t>
      </w:r>
      <w:r>
        <w:rPr>
          <w:rFonts w:ascii="Arial" w:hAnsi="Arial" w:cs="Arial"/>
          <w:sz w:val="28"/>
          <w:szCs w:val="28"/>
        </w:rPr>
        <w:t>.</w:t>
      </w:r>
    </w:p>
    <w:p w:rsidR="00B653B9" w:rsidRPr="00350D71" w:rsidRDefault="00B653B9" w:rsidP="00B653B9">
      <w:pPr>
        <w:widowControl/>
        <w:rPr>
          <w:rFonts w:ascii="Arial" w:hAnsi="Arial" w:cs="Arial"/>
          <w:sz w:val="18"/>
          <w:szCs w:val="18"/>
        </w:rPr>
      </w:pPr>
    </w:p>
    <w:p w:rsidR="00B653B9" w:rsidRDefault="00B653B9" w:rsidP="00B653B9">
      <w:pPr>
        <w:pStyle w:val="ListParagraph"/>
        <w:widowControl/>
        <w:ind w:left="1440"/>
        <w:rPr>
          <w:rFonts w:ascii="Arial" w:hAnsi="Arial" w:cs="Arial"/>
          <w:sz w:val="28"/>
          <w:szCs w:val="28"/>
        </w:rPr>
      </w:pPr>
      <w:r w:rsidRPr="00ED3573">
        <w:rPr>
          <w:rFonts w:ascii="Arial" w:hAnsi="Arial" w:cs="Arial"/>
          <w:sz w:val="28"/>
          <w:szCs w:val="28"/>
        </w:rPr>
        <w:t>The use of probability distributions to determine expected values is an excellent way to conduct a sensitivity analysis.  This approach allows Carson to see the distribution of costs and profits, as they are affected by the distribution of potential dema</w:t>
      </w:r>
      <w:r>
        <w:rPr>
          <w:rFonts w:ascii="Arial" w:hAnsi="Arial" w:cs="Arial"/>
          <w:sz w:val="28"/>
          <w:szCs w:val="28"/>
        </w:rPr>
        <w:t xml:space="preserve">nd (number of clients). </w:t>
      </w:r>
      <w:r w:rsidRPr="00ED3573">
        <w:rPr>
          <w:rFonts w:ascii="Arial" w:hAnsi="Arial" w:cs="Arial"/>
          <w:sz w:val="28"/>
          <w:szCs w:val="28"/>
        </w:rPr>
        <w:t>Carson can enhance this analysis by using standard deviations to measure the dispersion of the distributions, as a means to g</w:t>
      </w:r>
      <w:r>
        <w:rPr>
          <w:rFonts w:ascii="Arial" w:hAnsi="Arial" w:cs="Arial"/>
          <w:sz w:val="28"/>
          <w:szCs w:val="28"/>
        </w:rPr>
        <w:t>et at the degree of uncertainty–</w:t>
      </w:r>
      <w:r w:rsidRPr="00ED3573">
        <w:rPr>
          <w:rFonts w:ascii="Arial" w:hAnsi="Arial" w:cs="Arial"/>
          <w:sz w:val="28"/>
          <w:szCs w:val="28"/>
        </w:rPr>
        <w:t>higher standard deviations for greater uncertain</w:t>
      </w:r>
    </w:p>
    <w:p w:rsidR="00B653B9" w:rsidRDefault="00B653B9" w:rsidP="00B653B9">
      <w:pPr>
        <w:pStyle w:val="ListParagraph"/>
        <w:widowControl/>
        <w:ind w:left="1440"/>
        <w:rPr>
          <w:rFonts w:ascii="Arial" w:hAnsi="Arial" w:cs="Arial"/>
          <w:b/>
          <w:bCs/>
          <w:sz w:val="28"/>
          <w:szCs w:val="28"/>
        </w:rPr>
      </w:pPr>
    </w:p>
    <w:p w:rsidR="00B653B9" w:rsidRPr="007D2587" w:rsidRDefault="00B653B9" w:rsidP="00B653B9">
      <w:pPr>
        <w:pStyle w:val="ListParagraph"/>
        <w:widowControl/>
        <w:ind w:left="0" w:hanging="360"/>
        <w:rPr>
          <w:rFonts w:ascii="Arial" w:hAnsi="Arial" w:cs="Arial"/>
          <w:b/>
          <w:bCs/>
          <w:sz w:val="28"/>
          <w:szCs w:val="28"/>
        </w:rPr>
      </w:pPr>
    </w:p>
    <w:p w:rsidR="00B653B9" w:rsidRPr="004850B5" w:rsidRDefault="00B653B9" w:rsidP="00B653B9">
      <w:pPr>
        <w:pStyle w:val="ListParagraph"/>
        <w:ind w:hanging="360"/>
        <w:rPr>
          <w:rFonts w:ascii="Arial" w:hAnsi="Arial" w:cs="Arial"/>
          <w:sz w:val="20"/>
          <w:szCs w:val="20"/>
        </w:rPr>
      </w:pPr>
    </w:p>
    <w:p w:rsidR="00B653B9" w:rsidRDefault="00B653B9" w:rsidP="00B653B9">
      <w:pPr>
        <w:pStyle w:val="ListParagraph"/>
        <w:ind w:left="360" w:hanging="360"/>
        <w:rPr>
          <w:rFonts w:ascii="Arial" w:hAnsi="Arial" w:cs="Arial"/>
          <w:color w:val="000000"/>
          <w:sz w:val="28"/>
          <w:szCs w:val="28"/>
        </w:rPr>
      </w:pPr>
      <w:r>
        <w:rPr>
          <w:rFonts w:ascii="Arial" w:hAnsi="Arial" w:cs="Arial"/>
          <w:sz w:val="28"/>
          <w:szCs w:val="28"/>
        </w:rPr>
        <w:t xml:space="preserve">4. </w:t>
      </w:r>
      <w:r>
        <w:rPr>
          <w:rFonts w:ascii="Arial" w:hAnsi="Arial" w:cs="Arial"/>
          <w:color w:val="000000"/>
          <w:sz w:val="28"/>
          <w:szCs w:val="28"/>
        </w:rPr>
        <w:t xml:space="preserve">Basic simulation analysis using the </w:t>
      </w:r>
      <w:r w:rsidRPr="000C29BF">
        <w:rPr>
          <w:rFonts w:ascii="Arial" w:hAnsi="Arial" w:cs="Arial"/>
          <w:b/>
          <w:bCs/>
          <w:color w:val="000000"/>
          <w:sz w:val="28"/>
          <w:szCs w:val="28"/>
        </w:rPr>
        <w:t>NORMDIST</w:t>
      </w:r>
      <w:r>
        <w:rPr>
          <w:rFonts w:ascii="Arial" w:hAnsi="Arial" w:cs="Arial"/>
          <w:color w:val="000000"/>
          <w:sz w:val="28"/>
          <w:szCs w:val="28"/>
        </w:rPr>
        <w:t xml:space="preserve"> </w:t>
      </w:r>
      <w:proofErr w:type="gramStart"/>
      <w:r>
        <w:rPr>
          <w:rFonts w:ascii="Arial" w:hAnsi="Arial" w:cs="Arial"/>
          <w:color w:val="000000"/>
          <w:sz w:val="28"/>
          <w:szCs w:val="28"/>
        </w:rPr>
        <w:t>function</w:t>
      </w:r>
      <w:proofErr w:type="gramEnd"/>
      <w:r>
        <w:rPr>
          <w:rFonts w:ascii="Arial" w:hAnsi="Arial" w:cs="Arial"/>
          <w:color w:val="000000"/>
          <w:sz w:val="28"/>
          <w:szCs w:val="28"/>
        </w:rPr>
        <w:t xml:space="preserve"> in Excel:</w:t>
      </w:r>
    </w:p>
    <w:p w:rsidR="00B653B9" w:rsidRPr="00190CB4" w:rsidRDefault="00B653B9" w:rsidP="00B653B9">
      <w:pPr>
        <w:widowControl/>
        <w:rPr>
          <w:rFonts w:ascii="Arial" w:hAnsi="Arial" w:cs="Arial"/>
          <w:b/>
          <w:bCs/>
          <w:color w:val="FF0000"/>
          <w:sz w:val="16"/>
          <w:szCs w:val="16"/>
        </w:rPr>
      </w:pPr>
    </w:p>
    <w:p w:rsidR="00B653B9" w:rsidRPr="00C46DFA" w:rsidRDefault="00B653B9" w:rsidP="00B653B9">
      <w:pPr>
        <w:widowControl/>
        <w:tabs>
          <w:tab w:val="left" w:pos="630"/>
        </w:tabs>
        <w:ind w:left="630" w:hanging="315"/>
        <w:rPr>
          <w:rFonts w:ascii="Arial" w:hAnsi="Arial" w:cs="Arial"/>
          <w:color w:val="000000"/>
        </w:rPr>
      </w:pPr>
      <w:proofErr w:type="gramStart"/>
      <w:r w:rsidRPr="00190CB4">
        <w:rPr>
          <w:rFonts w:ascii="Arial" w:hAnsi="Arial" w:cs="Arial"/>
          <w:color w:val="000000"/>
        </w:rPr>
        <w:t>a</w:t>
      </w:r>
      <w:proofErr w:type="gramEnd"/>
      <w:r w:rsidRPr="00190CB4">
        <w:rPr>
          <w:rFonts w:ascii="Arial" w:hAnsi="Arial" w:cs="Arial"/>
          <w:color w:val="000000"/>
        </w:rPr>
        <w:t>. probability that the firm will at least breakeven, given normally distributed operating income</w:t>
      </w:r>
      <w:r w:rsidRPr="00C46DFA">
        <w:rPr>
          <w:rFonts w:ascii="Arial" w:hAnsi="Arial" w:cs="Arial"/>
          <w:color w:val="000000"/>
        </w:rPr>
        <w:t xml:space="preserve"> and a standard deviation of $5,000,000, is ~ 95%</w:t>
      </w:r>
      <w:r w:rsidRPr="00190CB4">
        <w:rPr>
          <w:rFonts w:ascii="Arial" w:hAnsi="Arial" w:cs="Arial"/>
          <w:color w:val="000000"/>
        </w:rPr>
        <w:t>:</w:t>
      </w:r>
    </w:p>
    <w:p w:rsidR="00B653B9" w:rsidRPr="00190CB4" w:rsidRDefault="00B653B9" w:rsidP="00B653B9">
      <w:pPr>
        <w:widowControl/>
        <w:tabs>
          <w:tab w:val="left" w:pos="630"/>
        </w:tabs>
        <w:ind w:left="630" w:hanging="315"/>
        <w:rPr>
          <w:rFonts w:ascii="Arial" w:hAnsi="Arial" w:cs="Arial"/>
          <w:b/>
          <w:bCs/>
          <w:color w:val="FF0000"/>
          <w:sz w:val="16"/>
          <w:szCs w:val="16"/>
        </w:rPr>
      </w:pPr>
    </w:p>
    <w:p w:rsidR="00B653B9" w:rsidRDefault="00B653B9" w:rsidP="00B653B9">
      <w:pPr>
        <w:rPr>
          <w:rFonts w:ascii="Arial" w:hAnsi="Arial" w:cs="Arial"/>
          <w:noProof/>
          <w:color w:val="000000"/>
          <w:sz w:val="28"/>
          <w:szCs w:val="28"/>
        </w:rPr>
      </w:pPr>
      <w:r>
        <w:rPr>
          <w:rFonts w:cs="Times New Roman"/>
          <w:noProof/>
        </w:rPr>
        <w:drawing>
          <wp:inline distT="0" distB="0" distL="0" distR="0">
            <wp:extent cx="6197600" cy="3111500"/>
            <wp:effectExtent l="0" t="0" r="0" b="1270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7600" cy="3111500"/>
                    </a:xfrm>
                    <a:prstGeom prst="rect">
                      <a:avLst/>
                    </a:prstGeom>
                    <a:noFill/>
                    <a:ln>
                      <a:noFill/>
                    </a:ln>
                  </pic:spPr>
                </pic:pic>
              </a:graphicData>
            </a:graphic>
          </wp:inline>
        </w:drawing>
      </w:r>
    </w:p>
    <w:p w:rsidR="00B653B9" w:rsidRPr="00BC6A4D" w:rsidRDefault="00B653B9" w:rsidP="00B653B9">
      <w:pPr>
        <w:rPr>
          <w:rFonts w:ascii="Arial" w:hAnsi="Arial" w:cs="Arial"/>
          <w:noProof/>
          <w:color w:val="000000"/>
          <w:sz w:val="28"/>
          <w:szCs w:val="28"/>
        </w:rPr>
      </w:pPr>
      <w:r>
        <w:rPr>
          <w:noProof/>
        </w:rPr>
        <w:drawing>
          <wp:anchor distT="0" distB="0" distL="114300" distR="114300" simplePos="0" relativeHeight="251660288" behindDoc="1" locked="0" layoutInCell="1" allowOverlap="1">
            <wp:simplePos x="0" y="0"/>
            <wp:positionH relativeFrom="column">
              <wp:posOffset>0</wp:posOffset>
            </wp:positionH>
            <wp:positionV relativeFrom="paragraph">
              <wp:posOffset>99060</wp:posOffset>
            </wp:positionV>
            <wp:extent cx="6410325" cy="3009265"/>
            <wp:effectExtent l="0" t="0" r="0" b="0"/>
            <wp:wrapTight wrapText="bothSides">
              <wp:wrapPolygon edited="0">
                <wp:start x="257" y="0"/>
                <wp:lineTo x="257" y="2005"/>
                <wp:lineTo x="4279" y="3099"/>
                <wp:lineTo x="1541" y="3099"/>
                <wp:lineTo x="685" y="3282"/>
                <wp:lineTo x="685" y="8751"/>
                <wp:lineTo x="1284" y="9116"/>
                <wp:lineTo x="1284" y="11304"/>
                <wp:lineTo x="941" y="12215"/>
                <wp:lineTo x="941" y="13491"/>
                <wp:lineTo x="9243" y="14768"/>
                <wp:lineTo x="770" y="14950"/>
                <wp:lineTo x="770" y="20966"/>
                <wp:lineTo x="856" y="21331"/>
                <wp:lineTo x="941" y="21331"/>
                <wp:lineTo x="14207" y="21331"/>
                <wp:lineTo x="18829" y="21331"/>
                <wp:lineTo x="18487" y="20602"/>
                <wp:lineTo x="21054" y="19873"/>
                <wp:lineTo x="21054" y="17867"/>
                <wp:lineTo x="19171" y="17502"/>
                <wp:lineTo x="18829" y="16591"/>
                <wp:lineTo x="13523" y="14768"/>
                <wp:lineTo x="18059" y="14585"/>
                <wp:lineTo x="17973" y="12580"/>
                <wp:lineTo x="10784" y="11851"/>
                <wp:lineTo x="12068" y="11851"/>
                <wp:lineTo x="16433" y="9663"/>
                <wp:lineTo x="16689" y="6928"/>
                <wp:lineTo x="15834" y="6746"/>
                <wp:lineTo x="4365" y="6016"/>
                <wp:lineTo x="14807" y="5652"/>
                <wp:lineTo x="15063" y="3099"/>
                <wp:lineTo x="11297" y="3099"/>
                <wp:lineTo x="16689" y="1276"/>
                <wp:lineTo x="17032" y="365"/>
                <wp:lineTo x="16433" y="0"/>
                <wp:lineTo x="257" y="0"/>
              </wp:wrapPolygon>
            </wp:wrapTight>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10325" cy="3009265"/>
                    </a:xfrm>
                    <a:prstGeom prst="rect">
                      <a:avLst/>
                    </a:prstGeom>
                    <a:noFill/>
                  </pic:spPr>
                </pic:pic>
              </a:graphicData>
            </a:graphic>
          </wp:anchor>
        </w:drawing>
      </w:r>
    </w:p>
    <w:p w:rsidR="00B653B9" w:rsidRPr="000C29BF" w:rsidRDefault="00B653B9" w:rsidP="00B653B9">
      <w:pPr>
        <w:ind w:left="333" w:hanging="333"/>
        <w:rPr>
          <w:rFonts w:ascii="Arial" w:hAnsi="Arial" w:cs="Arial"/>
          <w:color w:val="000000"/>
          <w:sz w:val="28"/>
          <w:szCs w:val="28"/>
        </w:rPr>
      </w:pPr>
    </w:p>
    <w:p w:rsidR="00B653B9" w:rsidRPr="002D73DB" w:rsidRDefault="00B653B9" w:rsidP="00B653B9">
      <w:pPr>
        <w:pStyle w:val="ListParagraph"/>
        <w:ind w:left="0"/>
        <w:rPr>
          <w:rFonts w:ascii="Arial" w:hAnsi="Arial" w:cs="Arial"/>
          <w:color w:val="000000"/>
          <w:sz w:val="28"/>
          <w:szCs w:val="28"/>
        </w:rPr>
      </w:pPr>
    </w:p>
    <w:p w:rsidR="00B653B9" w:rsidRDefault="00B653B9" w:rsidP="00B653B9">
      <w:pPr>
        <w:pStyle w:val="ListParagraph"/>
        <w:widowControl/>
        <w:ind w:left="1440"/>
        <w:rPr>
          <w:rFonts w:ascii="Arial" w:hAnsi="Arial" w:cs="Arial"/>
          <w:sz w:val="28"/>
          <w:szCs w:val="28"/>
        </w:rPr>
      </w:pPr>
    </w:p>
    <w:p w:rsidR="00B653B9" w:rsidRDefault="00B653B9" w:rsidP="00B653B9">
      <w:pPr>
        <w:widowControl/>
        <w:ind w:left="720"/>
        <w:jc w:val="both"/>
        <w:rPr>
          <w:rFonts w:ascii="Arial" w:hAnsi="Arial" w:cs="Arial"/>
          <w:sz w:val="28"/>
          <w:szCs w:val="28"/>
        </w:rPr>
      </w:pPr>
      <w:r>
        <w:rPr>
          <w:rFonts w:ascii="Arial" w:hAnsi="Arial" w:cs="Arial"/>
          <w:sz w:val="28"/>
          <w:szCs w:val="28"/>
        </w:rPr>
        <w:tab/>
      </w: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Default="00B653B9" w:rsidP="00B653B9">
      <w:pPr>
        <w:widowControl/>
        <w:ind w:left="720"/>
        <w:jc w:val="both"/>
        <w:rPr>
          <w:rFonts w:ascii="Arial" w:hAnsi="Arial" w:cs="Arial"/>
          <w:sz w:val="28"/>
          <w:szCs w:val="28"/>
        </w:rPr>
      </w:pPr>
    </w:p>
    <w:p w:rsidR="00B653B9" w:rsidRPr="00F5188B" w:rsidRDefault="00B653B9" w:rsidP="00B653B9">
      <w:pPr>
        <w:widowControl/>
        <w:jc w:val="both"/>
        <w:rPr>
          <w:rFonts w:ascii="Arial" w:hAnsi="Arial" w:cs="Arial"/>
          <w:sz w:val="28"/>
          <w:szCs w:val="28"/>
        </w:rPr>
      </w:pPr>
    </w:p>
    <w:p w:rsidR="00B653B9" w:rsidRDefault="00B653B9" w:rsidP="00B653B9">
      <w:pPr>
        <w:widowControl/>
        <w:rPr>
          <w:rFonts w:ascii="Arial" w:hAnsi="Arial" w:cs="Arial"/>
          <w:b/>
          <w:bCs/>
          <w:sz w:val="28"/>
          <w:szCs w:val="28"/>
        </w:rPr>
      </w:pPr>
    </w:p>
    <w:p w:rsidR="00B653B9" w:rsidRDefault="00B653B9" w:rsidP="00B653B9">
      <w:pPr>
        <w:widowControl/>
        <w:rPr>
          <w:rFonts w:ascii="Arial" w:hAnsi="Arial" w:cs="Arial"/>
          <w:b/>
          <w:bCs/>
          <w:sz w:val="28"/>
          <w:szCs w:val="28"/>
        </w:rPr>
      </w:pPr>
    </w:p>
    <w:p w:rsidR="00B653B9" w:rsidRDefault="00B653B9" w:rsidP="00B653B9">
      <w:pPr>
        <w:pStyle w:val="ListParagraph"/>
        <w:widowControl/>
        <w:ind w:left="0" w:hanging="360"/>
        <w:rPr>
          <w:rFonts w:ascii="Arial" w:hAnsi="Arial" w:cs="Arial"/>
          <w:b/>
          <w:bCs/>
          <w:sz w:val="28"/>
          <w:szCs w:val="28"/>
        </w:rPr>
      </w:pPr>
      <w:r>
        <w:rPr>
          <w:noProof/>
        </w:rPr>
        <w:lastRenderedPageBreak/>
        <w:drawing>
          <wp:anchor distT="0" distB="0" distL="114300" distR="114300" simplePos="0" relativeHeight="251661312" behindDoc="0" locked="0" layoutInCell="1" allowOverlap="1">
            <wp:simplePos x="0" y="0"/>
            <wp:positionH relativeFrom="column">
              <wp:posOffset>-323850</wp:posOffset>
            </wp:positionH>
            <wp:positionV relativeFrom="paragraph">
              <wp:posOffset>333375</wp:posOffset>
            </wp:positionV>
            <wp:extent cx="6572250" cy="3703955"/>
            <wp:effectExtent l="0" t="0" r="0" b="4445"/>
            <wp:wrapSquare wrapText="bothSides"/>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0" cy="3703955"/>
                    </a:xfrm>
                    <a:prstGeom prst="rect">
                      <a:avLst/>
                    </a:prstGeom>
                    <a:noFill/>
                  </pic:spPr>
                </pic:pic>
              </a:graphicData>
            </a:graphic>
          </wp:anchor>
        </w:drawing>
      </w:r>
    </w:p>
    <w:p w:rsidR="00B653B9" w:rsidRDefault="00B653B9" w:rsidP="00B653B9">
      <w:pPr>
        <w:pStyle w:val="ListParagraph"/>
        <w:widowControl/>
        <w:ind w:left="0"/>
        <w:rPr>
          <w:rFonts w:ascii="Arial" w:hAnsi="Arial" w:cs="Arial"/>
          <w:b/>
          <w:bCs/>
          <w:sz w:val="28"/>
          <w:szCs w:val="28"/>
        </w:rPr>
      </w:pPr>
      <w:r>
        <w:rPr>
          <w:noProof/>
        </w:rPr>
        <w:drawing>
          <wp:anchor distT="0" distB="0" distL="114300" distR="114300" simplePos="0" relativeHeight="251662336" behindDoc="0" locked="0" layoutInCell="1" allowOverlap="1">
            <wp:simplePos x="0" y="0"/>
            <wp:positionH relativeFrom="column">
              <wp:posOffset>-295275</wp:posOffset>
            </wp:positionH>
            <wp:positionV relativeFrom="paragraph">
              <wp:posOffset>4062730</wp:posOffset>
            </wp:positionV>
            <wp:extent cx="6276975" cy="2838450"/>
            <wp:effectExtent l="0" t="0" r="0" b="6350"/>
            <wp:wrapSquare wrapText="bothSides"/>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6975" cy="2838450"/>
                    </a:xfrm>
                    <a:prstGeom prst="rect">
                      <a:avLst/>
                    </a:prstGeom>
                    <a:noFill/>
                  </pic:spPr>
                </pic:pic>
              </a:graphicData>
            </a:graphic>
          </wp:anchor>
        </w:drawing>
      </w:r>
    </w:p>
    <w:p w:rsidR="00B653B9" w:rsidRDefault="00B653B9" w:rsidP="00B653B9">
      <w:pPr>
        <w:pStyle w:val="ListParagraph"/>
        <w:widowControl/>
        <w:ind w:left="0" w:hanging="360"/>
        <w:rPr>
          <w:rFonts w:ascii="Arial" w:hAnsi="Arial" w:cs="Arial"/>
          <w:b/>
          <w:bCs/>
          <w:sz w:val="28"/>
          <w:szCs w:val="28"/>
        </w:rPr>
      </w:pPr>
    </w:p>
    <w:p w:rsidR="00B653B9" w:rsidRPr="007D2587" w:rsidRDefault="00B653B9" w:rsidP="00B653B9">
      <w:pPr>
        <w:pStyle w:val="ListParagraph"/>
        <w:widowControl/>
        <w:ind w:left="0"/>
        <w:rPr>
          <w:rFonts w:ascii="Arial" w:hAnsi="Arial" w:cs="Arial"/>
          <w:b/>
          <w:bCs/>
          <w:sz w:val="28"/>
          <w:szCs w:val="28"/>
        </w:rPr>
      </w:pPr>
    </w:p>
    <w:p w:rsidR="00B653B9" w:rsidRDefault="00B653B9" w:rsidP="00B653B9">
      <w:pPr>
        <w:widowControl/>
        <w:rPr>
          <w:rFonts w:ascii="Arial" w:hAnsi="Arial" w:cs="Arial"/>
          <w:b/>
          <w:bCs/>
          <w:sz w:val="28"/>
          <w:szCs w:val="28"/>
        </w:rPr>
      </w:pPr>
    </w:p>
    <w:p w:rsidR="003F0C9A" w:rsidRPr="00CF17B3" w:rsidRDefault="00B653B9" w:rsidP="00CF17B3">
      <w:pPr>
        <w:widowControl/>
        <w:rPr>
          <w:rFonts w:ascii="Arial" w:hAnsi="Arial" w:cs="Arial"/>
          <w:b/>
          <w:bCs/>
          <w:sz w:val="28"/>
          <w:szCs w:val="28"/>
        </w:rPr>
      </w:pPr>
      <w:r>
        <w:rPr>
          <w:noProof/>
        </w:rPr>
        <w:lastRenderedPageBreak/>
        <w:drawing>
          <wp:anchor distT="0" distB="0" distL="114300" distR="114300" simplePos="0" relativeHeight="251663360" behindDoc="0" locked="0" layoutInCell="1" allowOverlap="1">
            <wp:simplePos x="0" y="0"/>
            <wp:positionH relativeFrom="column">
              <wp:posOffset>-723900</wp:posOffset>
            </wp:positionH>
            <wp:positionV relativeFrom="paragraph">
              <wp:posOffset>243205</wp:posOffset>
            </wp:positionV>
            <wp:extent cx="6743700" cy="2004695"/>
            <wp:effectExtent l="0" t="0" r="0" b="1905"/>
            <wp:wrapSquare wrapText="bothSides"/>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43700" cy="2004695"/>
                    </a:xfrm>
                    <a:prstGeom prst="rect">
                      <a:avLst/>
                    </a:prstGeom>
                    <a:noFill/>
                  </pic:spPr>
                </pic:pic>
              </a:graphicData>
            </a:graphic>
          </wp:anchor>
        </w:drawing>
      </w:r>
    </w:p>
    <w:sectPr w:rsidR="003F0C9A" w:rsidRPr="00CF17B3" w:rsidSect="00DF19F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ickType">
    <w:panose1 w:val="020B0603020004020203"/>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40C0A"/>
    <w:multiLevelType w:val="hybridMultilevel"/>
    <w:tmpl w:val="30D830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3AE06490"/>
    <w:multiLevelType w:val="hybridMultilevel"/>
    <w:tmpl w:val="79F048F0"/>
    <w:lvl w:ilvl="0" w:tplc="2D6E64A4">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53B9"/>
    <w:rsid w:val="00125848"/>
    <w:rsid w:val="003F0C9A"/>
    <w:rsid w:val="006A6FB9"/>
    <w:rsid w:val="009B540B"/>
    <w:rsid w:val="00B00DDF"/>
    <w:rsid w:val="00B653B9"/>
    <w:rsid w:val="00CF17B3"/>
    <w:rsid w:val="00DF19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3B9"/>
    <w:pPr>
      <w:widowControl w:val="0"/>
      <w:spacing w:after="0" w:line="240" w:lineRule="auto"/>
    </w:pPr>
    <w:rPr>
      <w:rFonts w:ascii="QuickType" w:eastAsia="SimSun" w:hAnsi="QuickType" w:cs="QuickTyp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653B9"/>
    <w:pPr>
      <w:jc w:val="both"/>
    </w:pPr>
    <w:rPr>
      <w:rFonts w:ascii="Times New Roman" w:hAnsi="Times New Roman" w:cs="Times New Roman"/>
    </w:rPr>
  </w:style>
  <w:style w:type="character" w:customStyle="1" w:styleId="BodyTextChar">
    <w:name w:val="Body Text Char"/>
    <w:basedOn w:val="DefaultParagraphFont"/>
    <w:link w:val="BodyText"/>
    <w:uiPriority w:val="99"/>
    <w:rsid w:val="00B653B9"/>
    <w:rPr>
      <w:rFonts w:ascii="Times New Roman" w:eastAsia="SimSun" w:hAnsi="Times New Roman" w:cs="Times New Roman"/>
      <w:sz w:val="24"/>
      <w:szCs w:val="24"/>
    </w:rPr>
  </w:style>
  <w:style w:type="paragraph" w:styleId="BodyText3">
    <w:name w:val="Body Text 3"/>
    <w:basedOn w:val="Normal"/>
    <w:link w:val="BodyText3Char"/>
    <w:uiPriority w:val="99"/>
    <w:rsid w:val="00B653B9"/>
    <w:pPr>
      <w:widowControl/>
    </w:pPr>
    <w:rPr>
      <w:rFonts w:ascii="Arial" w:hAnsi="Arial" w:cs="Arial"/>
      <w:sz w:val="28"/>
      <w:szCs w:val="28"/>
    </w:rPr>
  </w:style>
  <w:style w:type="character" w:customStyle="1" w:styleId="BodyText3Char">
    <w:name w:val="Body Text 3 Char"/>
    <w:basedOn w:val="DefaultParagraphFont"/>
    <w:link w:val="BodyText3"/>
    <w:uiPriority w:val="99"/>
    <w:rsid w:val="00B653B9"/>
    <w:rPr>
      <w:rFonts w:ascii="Arial" w:eastAsia="SimSun" w:hAnsi="Arial" w:cs="Arial"/>
      <w:sz w:val="28"/>
      <w:szCs w:val="28"/>
    </w:rPr>
  </w:style>
  <w:style w:type="paragraph" w:styleId="ListParagraph">
    <w:name w:val="List Paragraph"/>
    <w:basedOn w:val="Normal"/>
    <w:uiPriority w:val="99"/>
    <w:qFormat/>
    <w:rsid w:val="00B653B9"/>
    <w:pPr>
      <w:ind w:left="720"/>
    </w:pPr>
  </w:style>
  <w:style w:type="paragraph" w:styleId="BalloonText">
    <w:name w:val="Balloon Text"/>
    <w:basedOn w:val="Normal"/>
    <w:link w:val="BalloonTextChar"/>
    <w:uiPriority w:val="99"/>
    <w:semiHidden/>
    <w:unhideWhenUsed/>
    <w:rsid w:val="00B653B9"/>
    <w:rPr>
      <w:rFonts w:ascii="Tahoma" w:hAnsi="Tahoma" w:cs="Tahoma"/>
      <w:sz w:val="16"/>
      <w:szCs w:val="16"/>
    </w:rPr>
  </w:style>
  <w:style w:type="character" w:customStyle="1" w:styleId="BalloonTextChar">
    <w:name w:val="Balloon Text Char"/>
    <w:basedOn w:val="DefaultParagraphFont"/>
    <w:link w:val="BalloonText"/>
    <w:uiPriority w:val="99"/>
    <w:semiHidden/>
    <w:rsid w:val="00B653B9"/>
    <w:rPr>
      <w:rFonts w:ascii="Tahoma" w:eastAsia="SimSu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2</cp:revision>
  <dcterms:created xsi:type="dcterms:W3CDTF">2020-03-29T14:03:00Z</dcterms:created>
  <dcterms:modified xsi:type="dcterms:W3CDTF">2020-03-29T14:07:00Z</dcterms:modified>
</cp:coreProperties>
</file>