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695B" w:rsidRDefault="00645EAA">
      <w:pPr>
        <w:pStyle w:val="BodyText"/>
        <w:ind w:left="266"/>
        <w:rPr>
          <w:sz w:val="20"/>
        </w:rPr>
      </w:pPr>
      <w:r>
        <w:rPr>
          <w:noProof/>
          <w:sz w:val="20"/>
        </w:rPr>
        <w:drawing>
          <wp:inline distT="0" distB="0" distL="0" distR="0">
            <wp:extent cx="2480968" cy="401383"/>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stretch>
                      <a:fillRect/>
                    </a:stretch>
                  </pic:blipFill>
                  <pic:spPr>
                    <a:xfrm>
                      <a:off x="0" y="0"/>
                      <a:ext cx="2480968" cy="401383"/>
                    </a:xfrm>
                    <a:prstGeom prst="rect">
                      <a:avLst/>
                    </a:prstGeom>
                  </pic:spPr>
                </pic:pic>
              </a:graphicData>
            </a:graphic>
          </wp:inline>
        </w:drawing>
      </w:r>
    </w:p>
    <w:p w:rsidR="00DF695B" w:rsidRDefault="00DF695B">
      <w:pPr>
        <w:pStyle w:val="BodyText"/>
        <w:rPr>
          <w:sz w:val="20"/>
        </w:rPr>
      </w:pPr>
    </w:p>
    <w:p w:rsidR="00DF695B" w:rsidRDefault="00645EAA">
      <w:pPr>
        <w:pStyle w:val="BodyText"/>
        <w:rPr>
          <w:sz w:val="14"/>
        </w:rPr>
      </w:pPr>
      <w:r>
        <w:pict>
          <v:line id="_x0000_s1065" style="position:absolute;z-index:-251649024;mso-wrap-distance-left:0;mso-wrap-distance-right:0;mso-position-horizontal-relative:page" from="70.55pt,11.15pt" to="541.45pt,11.15pt" strokeweight="2.16pt">
            <w10:wrap type="topAndBottom" anchorx="page"/>
          </v:line>
        </w:pict>
      </w:r>
    </w:p>
    <w:p w:rsidR="00DF695B" w:rsidRDefault="00645EAA">
      <w:pPr>
        <w:spacing w:line="242" w:lineRule="exact"/>
        <w:ind w:right="1439"/>
        <w:jc w:val="right"/>
        <w:rPr>
          <w:rFonts w:ascii="Arial"/>
          <w:b/>
          <w:sz w:val="24"/>
        </w:rPr>
      </w:pPr>
      <w:r>
        <w:rPr>
          <w:rFonts w:ascii="Arial"/>
          <w:b/>
          <w:sz w:val="24"/>
        </w:rPr>
        <w:t>9B14A023</w:t>
      </w:r>
    </w:p>
    <w:p w:rsidR="00DF695B" w:rsidRDefault="00DF695B">
      <w:pPr>
        <w:pStyle w:val="BodyText"/>
        <w:rPr>
          <w:rFonts w:ascii="Arial"/>
          <w:b/>
          <w:sz w:val="20"/>
        </w:rPr>
      </w:pPr>
    </w:p>
    <w:p w:rsidR="00DF695B" w:rsidRDefault="00DF695B">
      <w:pPr>
        <w:pStyle w:val="BodyText"/>
        <w:spacing w:before="2"/>
        <w:rPr>
          <w:rFonts w:ascii="Arial"/>
          <w:b/>
          <w:sz w:val="28"/>
        </w:rPr>
      </w:pPr>
    </w:p>
    <w:p w:rsidR="00DF695B" w:rsidRDefault="00645EAA">
      <w:pPr>
        <w:spacing w:before="92"/>
        <w:ind w:left="140"/>
        <w:rPr>
          <w:rFonts w:ascii="Arial"/>
          <w:b/>
          <w:sz w:val="28"/>
        </w:rPr>
      </w:pPr>
      <w:r>
        <w:rPr>
          <w:rFonts w:ascii="Arial"/>
          <w:b/>
          <w:sz w:val="28"/>
        </w:rPr>
        <w:t>D.LIGHT DESIGN</w:t>
      </w:r>
    </w:p>
    <w:p w:rsidR="00DF695B" w:rsidRDefault="00DF695B">
      <w:pPr>
        <w:pStyle w:val="BodyText"/>
        <w:rPr>
          <w:rFonts w:ascii="Arial"/>
          <w:b/>
          <w:sz w:val="20"/>
        </w:rPr>
      </w:pPr>
    </w:p>
    <w:p w:rsidR="00DF695B" w:rsidRDefault="00DF695B">
      <w:pPr>
        <w:pStyle w:val="BodyText"/>
        <w:rPr>
          <w:rFonts w:ascii="Arial"/>
          <w:b/>
          <w:sz w:val="20"/>
        </w:rPr>
      </w:pPr>
    </w:p>
    <w:p w:rsidR="00DF695B" w:rsidRDefault="00645EAA">
      <w:pPr>
        <w:pStyle w:val="BodyText"/>
        <w:spacing w:before="9"/>
        <w:rPr>
          <w:rFonts w:ascii="Arial"/>
          <w:b/>
          <w:sz w:val="16"/>
        </w:rPr>
      </w:pPr>
      <w:r>
        <w:pict>
          <v:line id="_x0000_s1063" style="position:absolute;z-index:-251648000;mso-wrap-distance-left:0;mso-wrap-distance-right:0;mso-position-horizontal-relative:page" from="70.55pt,12.1pt" to="541.45pt,12.1pt" strokeweight=".96pt">
            <w10:wrap type="topAndBottom" anchorx="page"/>
          </v:line>
        </w:pict>
      </w:r>
    </w:p>
    <w:p w:rsidR="00DF695B" w:rsidRDefault="00645EAA">
      <w:pPr>
        <w:spacing w:before="48"/>
        <w:ind w:left="140" w:right="1436"/>
        <w:jc w:val="both"/>
        <w:rPr>
          <w:rFonts w:ascii="Arial"/>
          <w:i/>
          <w:sz w:val="16"/>
        </w:rPr>
      </w:pPr>
      <w:r>
        <w:rPr>
          <w:rFonts w:ascii="Arial"/>
          <w:i/>
          <w:sz w:val="16"/>
        </w:rPr>
        <w:t xml:space="preserve">R. Chandrasekhar wrote this case under the supervision of Professor Niraj </w:t>
      </w:r>
      <w:proofErr w:type="spellStart"/>
      <w:r>
        <w:rPr>
          <w:rFonts w:ascii="Arial"/>
          <w:i/>
          <w:sz w:val="16"/>
        </w:rPr>
        <w:t>Dawar</w:t>
      </w:r>
      <w:proofErr w:type="spellEnd"/>
      <w:r>
        <w:rPr>
          <w:rFonts w:ascii="Arial"/>
          <w:i/>
          <w:sz w:val="16"/>
        </w:rPr>
        <w:t xml:space="preserve"> solely to provide material for class discussion. The authors do not intend to illustrate either effective or ineffective handling of a managerial situation. The authors may hav</w:t>
      </w:r>
      <w:r>
        <w:rPr>
          <w:rFonts w:ascii="Arial"/>
          <w:i/>
          <w:sz w:val="16"/>
        </w:rPr>
        <w:t>e disguised certain names and other identifying information to protect</w:t>
      </w:r>
      <w:r>
        <w:rPr>
          <w:rFonts w:ascii="Arial"/>
          <w:i/>
          <w:spacing w:val="-14"/>
          <w:sz w:val="16"/>
        </w:rPr>
        <w:t xml:space="preserve"> </w:t>
      </w:r>
      <w:r>
        <w:rPr>
          <w:rFonts w:ascii="Arial"/>
          <w:i/>
          <w:sz w:val="16"/>
        </w:rPr>
        <w:t>confidentiality.</w:t>
      </w:r>
    </w:p>
    <w:p w:rsidR="00DF695B" w:rsidRDefault="00DF695B">
      <w:pPr>
        <w:pStyle w:val="BodyText"/>
        <w:spacing w:before="1"/>
        <w:rPr>
          <w:rFonts w:ascii="Arial"/>
          <w:i/>
          <w:sz w:val="16"/>
        </w:rPr>
      </w:pPr>
    </w:p>
    <w:p w:rsidR="00DF695B" w:rsidRDefault="00645EAA">
      <w:pPr>
        <w:ind w:left="140" w:right="1435"/>
        <w:jc w:val="both"/>
        <w:rPr>
          <w:rFonts w:ascii="Arial"/>
          <w:i/>
          <w:sz w:val="16"/>
        </w:rPr>
      </w:pPr>
      <w:r>
        <w:rPr>
          <w:rFonts w:ascii="Arial"/>
          <w:i/>
          <w:sz w:val="16"/>
        </w:rPr>
        <w:t>This publication may not be transmitted, photocopied, digitized or otherwise reproduced in any form or by any means without the permission of the copyright holder. Rep</w:t>
      </w:r>
      <w:r>
        <w:rPr>
          <w:rFonts w:ascii="Arial"/>
          <w:i/>
          <w:sz w:val="16"/>
        </w:rPr>
        <w:t>roduction of this material is not covered under authorization by any reproduction rights organization. To order copies or request permission to reproduce materials, contact Ivey Publishing, Ivey Business School, Western University, London, Ontario, Canada,</w:t>
      </w:r>
      <w:r>
        <w:rPr>
          <w:rFonts w:ascii="Arial"/>
          <w:i/>
          <w:sz w:val="16"/>
        </w:rPr>
        <w:t xml:space="preserve"> N6G 0N1; (t) 519.661.3208; (e) </w:t>
      </w:r>
      <w:hyperlink r:id="rId7">
        <w:r>
          <w:rPr>
            <w:rFonts w:ascii="Arial"/>
            <w:i/>
            <w:sz w:val="16"/>
          </w:rPr>
          <w:t xml:space="preserve">cases@ivey.ca; </w:t>
        </w:r>
      </w:hyperlink>
      <w:hyperlink r:id="rId8">
        <w:r>
          <w:rPr>
            <w:rFonts w:ascii="Arial"/>
            <w:i/>
            <w:sz w:val="16"/>
          </w:rPr>
          <w:t>www.iveycases.com.</w:t>
        </w:r>
      </w:hyperlink>
    </w:p>
    <w:p w:rsidR="00DF695B" w:rsidRDefault="00DF695B">
      <w:pPr>
        <w:pStyle w:val="BodyText"/>
        <w:spacing w:before="10"/>
        <w:rPr>
          <w:rFonts w:ascii="Arial"/>
          <w:i/>
          <w:sz w:val="15"/>
        </w:rPr>
      </w:pPr>
    </w:p>
    <w:p w:rsidR="00DF695B" w:rsidRDefault="00645EAA">
      <w:pPr>
        <w:tabs>
          <w:tab w:val="left" w:pos="8050"/>
        </w:tabs>
        <w:spacing w:before="1" w:after="4"/>
        <w:ind w:left="140"/>
        <w:jc w:val="both"/>
        <w:rPr>
          <w:rFonts w:ascii="Arial" w:hAnsi="Arial"/>
          <w:i/>
          <w:sz w:val="16"/>
        </w:rPr>
      </w:pPr>
      <w:r>
        <w:rPr>
          <w:rFonts w:ascii="Arial" w:hAnsi="Arial"/>
          <w:i/>
          <w:sz w:val="16"/>
        </w:rPr>
        <w:t>Copyright © 2014, Richard Ivey School of</w:t>
      </w:r>
      <w:r>
        <w:rPr>
          <w:rFonts w:ascii="Arial" w:hAnsi="Arial"/>
          <w:i/>
          <w:spacing w:val="-9"/>
          <w:sz w:val="16"/>
        </w:rPr>
        <w:t xml:space="preserve"> </w:t>
      </w:r>
      <w:r>
        <w:rPr>
          <w:rFonts w:ascii="Arial" w:hAnsi="Arial"/>
          <w:i/>
          <w:sz w:val="16"/>
        </w:rPr>
        <w:t>Business</w:t>
      </w:r>
      <w:r>
        <w:rPr>
          <w:rFonts w:ascii="Arial" w:hAnsi="Arial"/>
          <w:i/>
          <w:spacing w:val="-2"/>
          <w:sz w:val="16"/>
        </w:rPr>
        <w:t xml:space="preserve"> </w:t>
      </w:r>
      <w:r>
        <w:rPr>
          <w:rFonts w:ascii="Arial" w:hAnsi="Arial"/>
          <w:i/>
          <w:sz w:val="16"/>
        </w:rPr>
        <w:t>Foundation</w:t>
      </w:r>
      <w:r>
        <w:rPr>
          <w:rFonts w:ascii="Arial" w:hAnsi="Arial"/>
          <w:i/>
          <w:sz w:val="16"/>
        </w:rPr>
        <w:tab/>
        <w:t>Version:</w:t>
      </w:r>
      <w:r>
        <w:rPr>
          <w:rFonts w:ascii="Arial" w:hAnsi="Arial"/>
          <w:i/>
          <w:spacing w:val="-1"/>
          <w:sz w:val="16"/>
        </w:rPr>
        <w:t xml:space="preserve"> </w:t>
      </w:r>
      <w:r>
        <w:rPr>
          <w:rFonts w:ascii="Arial" w:hAnsi="Arial"/>
          <w:i/>
          <w:sz w:val="16"/>
        </w:rPr>
        <w:t>2014-06-04</w:t>
      </w:r>
    </w:p>
    <w:p w:rsidR="00DF695B" w:rsidRDefault="00645EAA">
      <w:pPr>
        <w:pStyle w:val="BodyText"/>
        <w:spacing w:line="20" w:lineRule="exact"/>
        <w:ind w:left="101"/>
        <w:rPr>
          <w:rFonts w:ascii="Arial"/>
          <w:sz w:val="2"/>
        </w:rPr>
      </w:pPr>
      <w:r>
        <w:rPr>
          <w:rFonts w:ascii="Arial"/>
          <w:sz w:val="2"/>
        </w:rPr>
      </w:r>
      <w:r>
        <w:rPr>
          <w:rFonts w:ascii="Arial"/>
          <w:sz w:val="2"/>
        </w:rPr>
        <w:pict>
          <v:group id="_x0000_s1061" style="width:470.9pt;height:1pt;mso-position-horizontal-relative:char;mso-position-vertical-relative:line" coordsize="9418,20">
            <v:line id="_x0000_s1062" style="position:absolute" from="0,10" to="9418,10" strokeweight=".33831mm"/>
            <w10:anchorlock/>
          </v:group>
        </w:pict>
      </w:r>
    </w:p>
    <w:p w:rsidR="00DF695B" w:rsidRDefault="00DF695B">
      <w:pPr>
        <w:pStyle w:val="BodyText"/>
        <w:rPr>
          <w:rFonts w:ascii="Arial"/>
          <w:i/>
          <w:sz w:val="20"/>
        </w:rPr>
      </w:pPr>
    </w:p>
    <w:p w:rsidR="00DF695B" w:rsidRDefault="00DF695B">
      <w:pPr>
        <w:pStyle w:val="BodyText"/>
        <w:spacing w:before="5"/>
        <w:rPr>
          <w:rFonts w:ascii="Arial"/>
          <w:i/>
          <w:sz w:val="18"/>
        </w:rPr>
      </w:pPr>
    </w:p>
    <w:p w:rsidR="00DF695B" w:rsidRDefault="00645EAA">
      <w:pPr>
        <w:pStyle w:val="BodyText"/>
        <w:spacing w:before="91"/>
        <w:ind w:left="139" w:right="1435"/>
        <w:jc w:val="both"/>
      </w:pPr>
      <w:r>
        <w:t xml:space="preserve">In May 2014, Jaideep Mukherji was 18 months into his tenure as managing director, Asia, of </w:t>
      </w:r>
      <w:proofErr w:type="spellStart"/>
      <w:proofErr w:type="gramStart"/>
      <w:r>
        <w:t>d.light</w:t>
      </w:r>
      <w:proofErr w:type="spellEnd"/>
      <w:proofErr w:type="gramEnd"/>
      <w:r>
        <w:t xml:space="preserve"> design (</w:t>
      </w:r>
      <w:proofErr w:type="spellStart"/>
      <w:r>
        <w:t>d.light</w:t>
      </w:r>
      <w:proofErr w:type="spellEnd"/>
      <w:r>
        <w:t>), a U.S. for-profit social enterprise headquartered in San Francisco, Calif</w:t>
      </w:r>
      <w:r>
        <w:t>ornia. The company designed, produced and distributed solar lamps targeted at the 1.4 billion people, worldwide, who had no access to electricity and an additional 1.0 billion people who had limited or sporadic access.</w:t>
      </w:r>
      <w:hyperlink w:anchor="_bookmark0" w:history="1">
        <w:r>
          <w:rPr>
            <w:vertAlign w:val="superscript"/>
          </w:rPr>
          <w:t>1</w:t>
        </w:r>
      </w:hyperlink>
      <w:r>
        <w:t xml:space="preserve"> Focuse</w:t>
      </w:r>
      <w:r>
        <w:t>d on providing consumers at the larger base of the pyramid (BOP) segment with affordable lighting products, the company was driven by a vision of “empowering the lives of at least 100 million people by</w:t>
      </w:r>
      <w:r>
        <w:rPr>
          <w:spacing w:val="-3"/>
        </w:rPr>
        <w:t xml:space="preserve"> </w:t>
      </w:r>
      <w:r>
        <w:t>2020.”</w:t>
      </w:r>
      <w:hyperlink w:anchor="_bookmark1" w:history="1">
        <w:r>
          <w:rPr>
            <w:vertAlign w:val="superscript"/>
          </w:rPr>
          <w:t>2</w:t>
        </w:r>
      </w:hyperlink>
    </w:p>
    <w:p w:rsidR="00DF695B" w:rsidRDefault="00DF695B">
      <w:pPr>
        <w:pStyle w:val="BodyText"/>
        <w:spacing w:before="11"/>
        <w:rPr>
          <w:sz w:val="21"/>
        </w:rPr>
      </w:pPr>
    </w:p>
    <w:p w:rsidR="00DF695B" w:rsidRDefault="00645EAA">
      <w:pPr>
        <w:pStyle w:val="BodyText"/>
        <w:ind w:left="139" w:right="1434"/>
        <w:jc w:val="both"/>
      </w:pPr>
      <w:r>
        <w:t>At his office n</w:t>
      </w:r>
      <w:r>
        <w:t>ear New Delhi, Mukherji was examining d. light’s strategy for India, home to 33 per cent of the world’s population that was living in poverty.</w:t>
      </w:r>
      <w:hyperlink w:anchor="_bookmark2" w:history="1">
        <w:r>
          <w:rPr>
            <w:vertAlign w:val="superscript"/>
          </w:rPr>
          <w:t>3</w:t>
        </w:r>
        <w:r>
          <w:t xml:space="preserve"> </w:t>
        </w:r>
      </w:hyperlink>
      <w:r>
        <w:t xml:space="preserve">In 2009, </w:t>
      </w:r>
      <w:proofErr w:type="spellStart"/>
      <w:r>
        <w:t>d.light</w:t>
      </w:r>
      <w:proofErr w:type="spellEnd"/>
      <w:r>
        <w:t xml:space="preserve"> had inaugurated the global rollout of its product range in India,</w:t>
      </w:r>
      <w:r>
        <w:t xml:space="preserve"> and the country now accounted for about 45 per cent of the company’s global revenues. The mandate for Mukherji was to gain leadership in a fragmented Indian solar market by 2017 and then diversify, beyond solar lamps, into other energy-saving products and</w:t>
      </w:r>
      <w:r>
        <w:rPr>
          <w:spacing w:val="-13"/>
        </w:rPr>
        <w:t xml:space="preserve"> </w:t>
      </w:r>
      <w:r>
        <w:t>services.</w:t>
      </w:r>
    </w:p>
    <w:p w:rsidR="00DF695B" w:rsidRDefault="00DF695B">
      <w:pPr>
        <w:pStyle w:val="BodyText"/>
        <w:spacing w:before="1"/>
      </w:pPr>
    </w:p>
    <w:p w:rsidR="00DF695B" w:rsidRDefault="00645EAA">
      <w:pPr>
        <w:pStyle w:val="BodyText"/>
        <w:ind w:left="140" w:right="1435" w:hanging="1"/>
        <w:jc w:val="both"/>
      </w:pPr>
      <w:r>
        <w:t>Although d. light had secured more than 50 per cent of the solar lighting market share in both quantity and value (see Exhibit 1), its category growth had</w:t>
      </w:r>
      <w:r>
        <w:rPr>
          <w:spacing w:val="-6"/>
        </w:rPr>
        <w:t xml:space="preserve"> </w:t>
      </w:r>
      <w:r>
        <w:t>stalled.</w:t>
      </w:r>
    </w:p>
    <w:p w:rsidR="00DF695B" w:rsidRDefault="00DF695B">
      <w:pPr>
        <w:pStyle w:val="BodyText"/>
        <w:spacing w:before="11"/>
        <w:rPr>
          <w:sz w:val="21"/>
        </w:rPr>
      </w:pPr>
    </w:p>
    <w:p w:rsidR="00DF695B" w:rsidRDefault="00645EAA">
      <w:pPr>
        <w:pStyle w:val="BodyText"/>
        <w:ind w:left="140"/>
      </w:pPr>
      <w:r>
        <w:t>Said Mukherji:</w:t>
      </w:r>
    </w:p>
    <w:p w:rsidR="00DF695B" w:rsidRDefault="00DF695B">
      <w:pPr>
        <w:pStyle w:val="BodyText"/>
      </w:pPr>
    </w:p>
    <w:p w:rsidR="00DF695B" w:rsidRDefault="00645EAA">
      <w:pPr>
        <w:pStyle w:val="BodyText"/>
        <w:ind w:left="860" w:right="1435"/>
        <w:jc w:val="both"/>
      </w:pPr>
      <w:r>
        <w:t>In building a scalable and sustainable business in India, my immediate challenges are three-fold. First, how do we create a category for solar lamps? End user habits are entrenched; there are many substitutes; and the product concept is still in the testin</w:t>
      </w:r>
      <w:r>
        <w:t>g stage. Second, how do we make our brand synonymous with the solar lamp category? Entry barriers are not very high; more competition</w:t>
      </w:r>
      <w:r>
        <w:rPr>
          <w:spacing w:val="12"/>
        </w:rPr>
        <w:t xml:space="preserve"> </w:t>
      </w:r>
      <w:r>
        <w:t>is</w:t>
      </w:r>
      <w:r>
        <w:rPr>
          <w:spacing w:val="12"/>
        </w:rPr>
        <w:t xml:space="preserve"> </w:t>
      </w:r>
      <w:r>
        <w:t>imminent;</w:t>
      </w:r>
      <w:r>
        <w:rPr>
          <w:spacing w:val="13"/>
        </w:rPr>
        <w:t xml:space="preserve"> </w:t>
      </w:r>
      <w:r>
        <w:t>and</w:t>
      </w:r>
      <w:r>
        <w:rPr>
          <w:spacing w:val="12"/>
        </w:rPr>
        <w:t xml:space="preserve"> </w:t>
      </w:r>
      <w:r>
        <w:t>there</w:t>
      </w:r>
      <w:r>
        <w:rPr>
          <w:spacing w:val="12"/>
        </w:rPr>
        <w:t xml:space="preserve"> </w:t>
      </w:r>
      <w:r>
        <w:t>is</w:t>
      </w:r>
      <w:r>
        <w:rPr>
          <w:spacing w:val="13"/>
        </w:rPr>
        <w:t xml:space="preserve"> </w:t>
      </w:r>
      <w:r>
        <w:t>risk</w:t>
      </w:r>
      <w:r>
        <w:rPr>
          <w:spacing w:val="9"/>
        </w:rPr>
        <w:t xml:space="preserve"> </w:t>
      </w:r>
      <w:r>
        <w:t>of</w:t>
      </w:r>
      <w:r>
        <w:rPr>
          <w:spacing w:val="13"/>
        </w:rPr>
        <w:t xml:space="preserve"> </w:t>
      </w:r>
      <w:r>
        <w:t>quick</w:t>
      </w:r>
      <w:r>
        <w:rPr>
          <w:spacing w:val="10"/>
        </w:rPr>
        <w:t xml:space="preserve"> </w:t>
      </w:r>
      <w:r>
        <w:t>commoditization.</w:t>
      </w:r>
      <w:r>
        <w:rPr>
          <w:spacing w:val="9"/>
        </w:rPr>
        <w:t xml:space="preserve"> </w:t>
      </w:r>
      <w:r>
        <w:t>Third,</w:t>
      </w:r>
      <w:r>
        <w:rPr>
          <w:spacing w:val="13"/>
        </w:rPr>
        <w:t xml:space="preserve"> </w:t>
      </w:r>
      <w:r>
        <w:t>how</w:t>
      </w:r>
      <w:r>
        <w:rPr>
          <w:spacing w:val="8"/>
        </w:rPr>
        <w:t xml:space="preserve"> </w:t>
      </w:r>
      <w:r>
        <w:t>do</w:t>
      </w:r>
      <w:r>
        <w:rPr>
          <w:spacing w:val="12"/>
        </w:rPr>
        <w:t xml:space="preserve"> </w:t>
      </w:r>
      <w:r>
        <w:t>we</w:t>
      </w:r>
      <w:r>
        <w:rPr>
          <w:spacing w:val="12"/>
        </w:rPr>
        <w:t xml:space="preserve"> </w:t>
      </w:r>
      <w:r>
        <w:t>improve</w:t>
      </w:r>
    </w:p>
    <w:p w:rsidR="00DF695B" w:rsidRDefault="00DF695B">
      <w:pPr>
        <w:pStyle w:val="BodyText"/>
        <w:rPr>
          <w:sz w:val="20"/>
        </w:rPr>
      </w:pPr>
    </w:p>
    <w:p w:rsidR="00DF695B" w:rsidRDefault="00645EAA">
      <w:pPr>
        <w:pStyle w:val="BodyText"/>
        <w:spacing w:before="3"/>
        <w:rPr>
          <w:sz w:val="23"/>
        </w:rPr>
      </w:pPr>
      <w:r>
        <w:pict>
          <v:line id="_x0000_s1060" style="position:absolute;z-index:-251646976;mso-wrap-distance-left:0;mso-wrap-distance-right:0;mso-position-horizontal-relative:page" from="1in,15.6pt" to="3in,15.6pt" strokeweight=".16969mm">
            <w10:wrap type="topAndBottom" anchorx="page"/>
          </v:line>
        </w:pict>
      </w:r>
    </w:p>
    <w:p w:rsidR="00DF695B" w:rsidRDefault="00645EAA">
      <w:pPr>
        <w:spacing w:before="35"/>
        <w:ind w:left="140" w:right="1438"/>
        <w:jc w:val="both"/>
        <w:rPr>
          <w:rFonts w:ascii="Arial" w:hAnsi="Arial"/>
          <w:i/>
          <w:sz w:val="17"/>
        </w:rPr>
      </w:pPr>
      <w:bookmarkStart w:id="0" w:name="_bookmark0"/>
      <w:bookmarkEnd w:id="0"/>
      <w:r>
        <w:rPr>
          <w:rFonts w:ascii="Arial" w:hAnsi="Arial"/>
          <w:i/>
          <w:position w:val="8"/>
          <w:sz w:val="11"/>
        </w:rPr>
        <w:t xml:space="preserve">1 </w:t>
      </w:r>
      <w:r>
        <w:rPr>
          <w:rFonts w:ascii="Arial" w:hAnsi="Arial"/>
          <w:i/>
          <w:sz w:val="17"/>
        </w:rPr>
        <w:t xml:space="preserve">“Lighting the Way,” </w:t>
      </w:r>
      <w:r>
        <w:rPr>
          <w:rFonts w:ascii="Arial" w:hAnsi="Arial"/>
          <w:i/>
          <w:sz w:val="17"/>
          <w:u w:val="single"/>
        </w:rPr>
        <w:t>The Economist</w:t>
      </w:r>
      <w:r>
        <w:rPr>
          <w:rFonts w:ascii="Arial" w:hAnsi="Arial"/>
          <w:i/>
          <w:sz w:val="17"/>
        </w:rPr>
        <w:t xml:space="preserve">, September 1, 2012, </w:t>
      </w:r>
      <w:hyperlink r:id="rId9">
        <w:r>
          <w:rPr>
            <w:rFonts w:ascii="Arial" w:hAnsi="Arial"/>
            <w:i/>
            <w:sz w:val="17"/>
          </w:rPr>
          <w:t>www.economist.com/node/21560983,</w:t>
        </w:r>
      </w:hyperlink>
      <w:r>
        <w:rPr>
          <w:rFonts w:ascii="Arial" w:hAnsi="Arial"/>
          <w:i/>
          <w:sz w:val="17"/>
        </w:rPr>
        <w:t xml:space="preserve"> accessed November 6, 2013.</w:t>
      </w:r>
    </w:p>
    <w:p w:rsidR="00DF695B" w:rsidRDefault="00645EAA">
      <w:pPr>
        <w:spacing w:line="183" w:lineRule="exact"/>
        <w:ind w:left="140"/>
        <w:rPr>
          <w:rFonts w:ascii="Arial" w:hAnsi="Arial"/>
          <w:i/>
          <w:sz w:val="17"/>
        </w:rPr>
      </w:pPr>
      <w:bookmarkStart w:id="1" w:name="_bookmark1"/>
      <w:bookmarkEnd w:id="1"/>
      <w:r>
        <w:rPr>
          <w:rFonts w:ascii="Arial" w:hAnsi="Arial"/>
          <w:i/>
          <w:position w:val="8"/>
          <w:sz w:val="11"/>
        </w:rPr>
        <w:t xml:space="preserve">2 </w:t>
      </w:r>
      <w:proofErr w:type="spellStart"/>
      <w:proofErr w:type="gramStart"/>
      <w:r>
        <w:rPr>
          <w:rFonts w:ascii="Arial" w:hAnsi="Arial"/>
          <w:i/>
          <w:sz w:val="17"/>
        </w:rPr>
        <w:t>d.lite</w:t>
      </w:r>
      <w:proofErr w:type="spellEnd"/>
      <w:proofErr w:type="gramEnd"/>
      <w:r>
        <w:rPr>
          <w:rFonts w:ascii="Arial" w:hAnsi="Arial"/>
          <w:i/>
          <w:sz w:val="17"/>
        </w:rPr>
        <w:t xml:space="preserve">, “Who We Are,” </w:t>
      </w:r>
      <w:hyperlink r:id="rId10">
        <w:r>
          <w:rPr>
            <w:rFonts w:ascii="Arial" w:hAnsi="Arial"/>
            <w:i/>
            <w:sz w:val="17"/>
          </w:rPr>
          <w:t xml:space="preserve">www.dlightdesign.com/who-we-are/, </w:t>
        </w:r>
      </w:hyperlink>
      <w:r>
        <w:rPr>
          <w:rFonts w:ascii="Arial" w:hAnsi="Arial"/>
          <w:i/>
          <w:sz w:val="17"/>
        </w:rPr>
        <w:t>accessed November 20, 2013.</w:t>
      </w:r>
    </w:p>
    <w:p w:rsidR="00DF695B" w:rsidRDefault="00645EAA">
      <w:pPr>
        <w:spacing w:before="14" w:line="196" w:lineRule="exact"/>
        <w:ind w:left="140" w:right="1436" w:hanging="1"/>
        <w:jc w:val="both"/>
        <w:rPr>
          <w:rFonts w:ascii="Arial" w:hAnsi="Arial"/>
          <w:i/>
          <w:sz w:val="17"/>
        </w:rPr>
      </w:pPr>
      <w:bookmarkStart w:id="2" w:name="_bookmark2"/>
      <w:bookmarkEnd w:id="2"/>
      <w:r>
        <w:rPr>
          <w:rFonts w:ascii="Arial" w:hAnsi="Arial"/>
          <w:i/>
          <w:position w:val="8"/>
          <w:sz w:val="11"/>
        </w:rPr>
        <w:t xml:space="preserve">3 </w:t>
      </w:r>
      <w:r>
        <w:rPr>
          <w:rFonts w:ascii="Arial" w:hAnsi="Arial"/>
          <w:i/>
          <w:sz w:val="17"/>
        </w:rPr>
        <w:t xml:space="preserve">Pedro </w:t>
      </w:r>
      <w:proofErr w:type="spellStart"/>
      <w:r>
        <w:rPr>
          <w:rFonts w:ascii="Arial" w:hAnsi="Arial"/>
          <w:i/>
          <w:sz w:val="17"/>
        </w:rPr>
        <w:t>Olinto</w:t>
      </w:r>
      <w:proofErr w:type="spellEnd"/>
      <w:r>
        <w:rPr>
          <w:rFonts w:ascii="Arial" w:hAnsi="Arial"/>
          <w:i/>
          <w:sz w:val="17"/>
        </w:rPr>
        <w:t xml:space="preserve"> and Hiroki </w:t>
      </w:r>
      <w:proofErr w:type="spellStart"/>
      <w:r>
        <w:rPr>
          <w:rFonts w:ascii="Arial" w:hAnsi="Arial"/>
          <w:i/>
          <w:sz w:val="17"/>
        </w:rPr>
        <w:t>Uematsu</w:t>
      </w:r>
      <w:proofErr w:type="spellEnd"/>
      <w:r>
        <w:rPr>
          <w:rFonts w:ascii="Arial" w:hAnsi="Arial"/>
          <w:i/>
          <w:sz w:val="17"/>
        </w:rPr>
        <w:t xml:space="preserve">, “The State of the Poor: Where </w:t>
      </w:r>
      <w:proofErr w:type="gramStart"/>
      <w:r>
        <w:rPr>
          <w:rFonts w:ascii="Arial" w:hAnsi="Arial"/>
          <w:i/>
          <w:sz w:val="17"/>
        </w:rPr>
        <w:t>Are</w:t>
      </w:r>
      <w:proofErr w:type="gramEnd"/>
      <w:r>
        <w:rPr>
          <w:rFonts w:ascii="Arial" w:hAnsi="Arial"/>
          <w:i/>
          <w:sz w:val="17"/>
        </w:rPr>
        <w:t xml:space="preserve"> the Poor and Where Are They Poorest?” </w:t>
      </w:r>
      <w:hyperlink r:id="rId11">
        <w:r>
          <w:rPr>
            <w:rFonts w:ascii="Arial" w:hAnsi="Arial"/>
            <w:i/>
            <w:sz w:val="17"/>
          </w:rPr>
          <w:t xml:space="preserve">www.worldbank.org/content/dam/Worldbank/document/State_of_the_poor_paper_April17.pdf, </w:t>
        </w:r>
      </w:hyperlink>
      <w:r>
        <w:rPr>
          <w:rFonts w:ascii="Arial" w:hAnsi="Arial"/>
          <w:i/>
          <w:sz w:val="17"/>
        </w:rPr>
        <w:t>accessed April 10, 2014.</w:t>
      </w:r>
    </w:p>
    <w:p w:rsidR="00DF695B" w:rsidRDefault="00DF695B">
      <w:pPr>
        <w:spacing w:line="196" w:lineRule="exact"/>
        <w:jc w:val="both"/>
        <w:rPr>
          <w:rFonts w:ascii="Arial" w:hAnsi="Arial"/>
          <w:sz w:val="17"/>
        </w:rPr>
        <w:sectPr w:rsidR="00DF695B">
          <w:type w:val="continuous"/>
          <w:pgSz w:w="12240" w:h="15840"/>
          <w:pgMar w:top="1180" w:right="0" w:bottom="280" w:left="1300" w:header="720" w:footer="720" w:gutter="0"/>
          <w:cols w:space="720"/>
        </w:sectPr>
      </w:pPr>
    </w:p>
    <w:p w:rsidR="00DF695B" w:rsidRDefault="00DF695B">
      <w:pPr>
        <w:pStyle w:val="BodyText"/>
        <w:spacing w:before="4"/>
        <w:rPr>
          <w:rFonts w:ascii="Arial"/>
          <w:i/>
          <w:sz w:val="27"/>
        </w:rPr>
      </w:pPr>
    </w:p>
    <w:p w:rsidR="00DF695B" w:rsidRDefault="00645EAA">
      <w:pPr>
        <w:pStyle w:val="BodyText"/>
        <w:spacing w:before="92"/>
        <w:ind w:left="860" w:right="1437" w:hanging="1"/>
        <w:jc w:val="both"/>
      </w:pPr>
      <w:r>
        <w:t>channel productivity? Selling solar lamps is not core to the operations of our distributors; they do not market solar lamps on their</w:t>
      </w:r>
      <w:r>
        <w:t xml:space="preserve"> own; they merely sell them to customers who walk in.</w:t>
      </w:r>
    </w:p>
    <w:p w:rsidR="00DF695B" w:rsidRDefault="00DF695B">
      <w:pPr>
        <w:pStyle w:val="BodyText"/>
        <w:rPr>
          <w:sz w:val="24"/>
        </w:rPr>
      </w:pPr>
    </w:p>
    <w:p w:rsidR="00DF695B" w:rsidRDefault="00DF695B">
      <w:pPr>
        <w:pStyle w:val="BodyText"/>
        <w:spacing w:before="2"/>
        <w:rPr>
          <w:sz w:val="20"/>
        </w:rPr>
      </w:pPr>
    </w:p>
    <w:p w:rsidR="00DF695B" w:rsidRDefault="00645EAA">
      <w:pPr>
        <w:ind w:left="140"/>
        <w:rPr>
          <w:rFonts w:ascii="Arial"/>
          <w:b/>
          <w:sz w:val="20"/>
        </w:rPr>
      </w:pPr>
      <w:r>
        <w:rPr>
          <w:rFonts w:ascii="Arial"/>
          <w:b/>
          <w:sz w:val="20"/>
        </w:rPr>
        <w:t>CUSTOMER PROFILE</w:t>
      </w:r>
    </w:p>
    <w:p w:rsidR="00DF695B" w:rsidRDefault="00DF695B">
      <w:pPr>
        <w:pStyle w:val="BodyText"/>
        <w:spacing w:before="9"/>
        <w:rPr>
          <w:rFonts w:ascii="Arial"/>
          <w:b/>
          <w:sz w:val="21"/>
        </w:rPr>
      </w:pPr>
    </w:p>
    <w:p w:rsidR="00DF695B" w:rsidRDefault="00645EAA">
      <w:pPr>
        <w:pStyle w:val="BodyText"/>
        <w:spacing w:before="1"/>
        <w:ind w:left="140" w:right="1435"/>
        <w:jc w:val="both"/>
      </w:pPr>
      <w:r>
        <w:t>A 2007 study by the World Resources Institute had estimated a total of 4.0 billion people were living at the BOP, defined as those living on incomes below $3,000</w:t>
      </w:r>
      <w:hyperlink w:anchor="_bookmark3" w:history="1">
        <w:r>
          <w:rPr>
            <w:vertAlign w:val="superscript"/>
          </w:rPr>
          <w:t>4</w:t>
        </w:r>
        <w:r>
          <w:t xml:space="preserve"> </w:t>
        </w:r>
      </w:hyperlink>
      <w:r>
        <w:t>per annu</w:t>
      </w:r>
      <w:r>
        <w:t>m in local purchasing power terms. A vast number of these people lived in the developing countries of Africa, Asia, Eastern Europe, Latin America and the Caribbean. The value of their collective consumption was estimated to be $5.0 trillion (see Exhibit</w:t>
      </w:r>
      <w:r>
        <w:rPr>
          <w:spacing w:val="-1"/>
        </w:rPr>
        <w:t xml:space="preserve"> </w:t>
      </w:r>
      <w:r>
        <w:t>2)</w:t>
      </w:r>
      <w:r>
        <w:t>.</w:t>
      </w:r>
      <w:hyperlink w:anchor="_bookmark4" w:history="1">
        <w:r>
          <w:rPr>
            <w:vertAlign w:val="superscript"/>
          </w:rPr>
          <w:t>5</w:t>
        </w:r>
      </w:hyperlink>
    </w:p>
    <w:p w:rsidR="00DF695B" w:rsidRDefault="00DF695B">
      <w:pPr>
        <w:pStyle w:val="BodyText"/>
        <w:spacing w:before="10"/>
        <w:rPr>
          <w:sz w:val="21"/>
        </w:rPr>
      </w:pPr>
    </w:p>
    <w:p w:rsidR="00DF695B" w:rsidRDefault="00645EAA">
      <w:pPr>
        <w:pStyle w:val="BodyText"/>
        <w:ind w:left="140"/>
      </w:pPr>
      <w:r>
        <w:t>Due to variations in purchasing power, consumers earning less than $3.35 a day in Brazil, $2.11 in</w:t>
      </w:r>
      <w:r>
        <w:rPr>
          <w:spacing w:val="20"/>
        </w:rPr>
        <w:t xml:space="preserve"> </w:t>
      </w:r>
      <w:r>
        <w:t>China,</w:t>
      </w:r>
    </w:p>
    <w:p w:rsidR="00DF695B" w:rsidRDefault="00645EAA">
      <w:pPr>
        <w:pStyle w:val="BodyText"/>
        <w:spacing w:before="1"/>
        <w:ind w:left="140" w:right="1252"/>
      </w:pPr>
      <w:r>
        <w:t xml:space="preserve">$1.89 in Ghana and $1.56 in India were said to be at the BOP. The benchmark also varied between urban </w:t>
      </w:r>
      <w:proofErr w:type="gramStart"/>
      <w:r>
        <w:t>and  rural</w:t>
      </w:r>
      <w:proofErr w:type="gramEnd"/>
      <w:r>
        <w:t xml:space="preserve">  se</w:t>
      </w:r>
      <w:r>
        <w:t xml:space="preserve">ttings. </w:t>
      </w:r>
      <w:proofErr w:type="gramStart"/>
      <w:r>
        <w:t>The  largest</w:t>
      </w:r>
      <w:proofErr w:type="gramEnd"/>
      <w:r>
        <w:t xml:space="preserve">  density of  BOP  population prevailed in the income  band  of  $1,000 </w:t>
      </w:r>
      <w:r>
        <w:rPr>
          <w:spacing w:val="36"/>
        </w:rPr>
        <w:t xml:space="preserve"> </w:t>
      </w:r>
      <w:r>
        <w:t>to</w:t>
      </w:r>
    </w:p>
    <w:p w:rsidR="00DF695B" w:rsidRDefault="00645EAA">
      <w:pPr>
        <w:pStyle w:val="BodyText"/>
        <w:spacing w:before="1"/>
        <w:ind w:left="140"/>
      </w:pPr>
      <w:r>
        <w:t>$1,500 per annum. Said Mukherji:</w:t>
      </w:r>
    </w:p>
    <w:p w:rsidR="00DF695B" w:rsidRDefault="00DF695B">
      <w:pPr>
        <w:pStyle w:val="BodyText"/>
        <w:spacing w:before="9"/>
        <w:rPr>
          <w:sz w:val="21"/>
        </w:rPr>
      </w:pPr>
    </w:p>
    <w:p w:rsidR="00DF695B" w:rsidRDefault="00645EAA">
      <w:pPr>
        <w:pStyle w:val="BodyText"/>
        <w:ind w:left="860" w:right="1433"/>
        <w:jc w:val="both"/>
      </w:pPr>
      <w:r>
        <w:t>The BOP community has several common characteristics. Its members have unmet needs at many levels. They are mostly illiterate.</w:t>
      </w:r>
      <w:r>
        <w:t xml:space="preserve"> Many </w:t>
      </w:r>
      <w:proofErr w:type="gramStart"/>
      <w:r>
        <w:t>live in</w:t>
      </w:r>
      <w:proofErr w:type="gramEnd"/>
      <w:r>
        <w:t xml:space="preserve"> make-shift settlements they don’t own. They lack access to water, sanitation services and basic health care. They depend on livelihoods in which incomes are not only meagre but also erratic. A majority has no bank accounts. Their trades are n</w:t>
      </w:r>
      <w:r>
        <w:t>ot adequately integrated into the formal economy that, in turn, limits the opportunities for improving their incomes. As consumers, they have limited choice. As producers of goods and services, they have limited connection with end-users. They deal with in</w:t>
      </w:r>
      <w:r>
        <w:t>termediaries who exploit them. Their legacy has conditioned many of them to being risk-averse.</w:t>
      </w:r>
    </w:p>
    <w:p w:rsidR="00DF695B" w:rsidRDefault="00DF695B">
      <w:pPr>
        <w:pStyle w:val="BodyText"/>
      </w:pPr>
    </w:p>
    <w:p w:rsidR="00DF695B" w:rsidRDefault="00645EAA">
      <w:pPr>
        <w:pStyle w:val="BodyText"/>
        <w:ind w:left="139" w:right="1436"/>
        <w:jc w:val="both"/>
      </w:pPr>
      <w:r>
        <w:t>BOP consumers were also affected by what was called “the BOP penalty,” which was an outcome of local monopolies, inadequate access, poor distribution and strong</w:t>
      </w:r>
      <w:r>
        <w:t xml:space="preserve"> intermediaries.</w:t>
      </w:r>
      <w:hyperlink w:anchor="_bookmark5" w:history="1">
        <w:r>
          <w:rPr>
            <w:vertAlign w:val="superscript"/>
          </w:rPr>
          <w:t>6</w:t>
        </w:r>
        <w:r>
          <w:t xml:space="preserve"> </w:t>
        </w:r>
      </w:hyperlink>
      <w:r>
        <w:t>As a result, BOP consumers paid higher prices than their wealthy counterparts in urban and semi-urban areas for basic goods and services of poor quality. For example, compared with on-grid consumers, off-grid</w:t>
      </w:r>
      <w:r>
        <w:t xml:space="preserve"> consumers spent 615 per cent more on electricity, 175 per cent more on cooking fuel and 175 per cent more on drinking water.</w:t>
      </w:r>
      <w:hyperlink w:anchor="_bookmark6" w:history="1">
        <w:r>
          <w:rPr>
            <w:vertAlign w:val="superscript"/>
          </w:rPr>
          <w:t>7</w:t>
        </w:r>
      </w:hyperlink>
    </w:p>
    <w:p w:rsidR="00DF695B" w:rsidRDefault="00DF695B">
      <w:pPr>
        <w:pStyle w:val="BodyText"/>
        <w:spacing w:before="2"/>
      </w:pPr>
    </w:p>
    <w:p w:rsidR="00DF695B" w:rsidRDefault="00645EAA">
      <w:pPr>
        <w:pStyle w:val="BodyText"/>
        <w:spacing w:before="1"/>
        <w:ind w:left="139" w:right="1434"/>
        <w:jc w:val="both"/>
      </w:pPr>
      <w:r>
        <w:t>In India, 75 million households lacked access to a reliable electricity supply, representing the largest off- grid demographic worldwide (see Exhibit 3). Ninety-four per cent of this population (71 million households) lived in rural India. Their primary so</w:t>
      </w:r>
      <w:r>
        <w:t xml:space="preserve">urce of lighting was kerosene lanterns, which produced noxious fumes that were bad for the environment and caused eye and respiratory tract ailments. The rural Indians who were living in poverty were forced to either time their activities according to the </w:t>
      </w:r>
      <w:r>
        <w:t xml:space="preserve">daylight available or continue their activities in inadequate and </w:t>
      </w:r>
      <w:proofErr w:type="gramStart"/>
      <w:r>
        <w:t>poor quality</w:t>
      </w:r>
      <w:proofErr w:type="gramEnd"/>
      <w:r>
        <w:t xml:space="preserve"> light. This segment represented the market that </w:t>
      </w:r>
      <w:proofErr w:type="spellStart"/>
      <w:proofErr w:type="gramStart"/>
      <w:r>
        <w:t>d.light</w:t>
      </w:r>
      <w:proofErr w:type="spellEnd"/>
      <w:proofErr w:type="gramEnd"/>
      <w:r>
        <w:t xml:space="preserve"> India focused on.</w:t>
      </w:r>
    </w:p>
    <w:p w:rsidR="00DF695B" w:rsidRDefault="00DF695B">
      <w:pPr>
        <w:pStyle w:val="BodyText"/>
        <w:rPr>
          <w:sz w:val="20"/>
        </w:rPr>
      </w:pPr>
    </w:p>
    <w:p w:rsidR="00DF695B" w:rsidRDefault="00DF695B">
      <w:pPr>
        <w:pStyle w:val="BodyText"/>
        <w:rPr>
          <w:sz w:val="20"/>
        </w:rPr>
      </w:pPr>
    </w:p>
    <w:p w:rsidR="00DF695B" w:rsidRDefault="00DF695B">
      <w:pPr>
        <w:pStyle w:val="BodyText"/>
        <w:rPr>
          <w:sz w:val="20"/>
        </w:rPr>
      </w:pPr>
    </w:p>
    <w:p w:rsidR="00DF695B" w:rsidRDefault="00DF695B">
      <w:pPr>
        <w:pStyle w:val="BodyText"/>
        <w:rPr>
          <w:sz w:val="20"/>
        </w:rPr>
      </w:pPr>
    </w:p>
    <w:p w:rsidR="00DF695B" w:rsidRDefault="00DF695B">
      <w:pPr>
        <w:pStyle w:val="BodyText"/>
        <w:rPr>
          <w:sz w:val="20"/>
        </w:rPr>
      </w:pPr>
    </w:p>
    <w:p w:rsidR="00DF695B" w:rsidRDefault="00645EAA">
      <w:pPr>
        <w:pStyle w:val="BodyText"/>
        <w:spacing w:before="3"/>
        <w:rPr>
          <w:sz w:val="10"/>
        </w:rPr>
      </w:pPr>
      <w:r>
        <w:pict>
          <v:line id="_x0000_s1058" style="position:absolute;z-index:-251645952;mso-wrap-distance-left:0;mso-wrap-distance-right:0;mso-position-horizontal-relative:page" from="1in,8.1pt" to="3in,8.1pt" strokeweight=".48pt">
            <w10:wrap type="topAndBottom" anchorx="page"/>
          </v:line>
        </w:pict>
      </w:r>
    </w:p>
    <w:p w:rsidR="00DF695B" w:rsidRDefault="00645EAA">
      <w:pPr>
        <w:spacing w:before="35" w:line="207" w:lineRule="exact"/>
        <w:ind w:left="140"/>
        <w:rPr>
          <w:rFonts w:ascii="Arial"/>
          <w:i/>
          <w:sz w:val="17"/>
        </w:rPr>
      </w:pPr>
      <w:bookmarkStart w:id="3" w:name="_bookmark3"/>
      <w:bookmarkEnd w:id="3"/>
      <w:r>
        <w:rPr>
          <w:rFonts w:ascii="Arial"/>
          <w:i/>
          <w:position w:val="8"/>
          <w:sz w:val="11"/>
        </w:rPr>
        <w:t xml:space="preserve">4 </w:t>
      </w:r>
      <w:r>
        <w:rPr>
          <w:rFonts w:ascii="Arial"/>
          <w:i/>
          <w:sz w:val="17"/>
        </w:rPr>
        <w:t>All currency amounts are shown in U.S. dollars unless otherwise noted.</w:t>
      </w:r>
    </w:p>
    <w:p w:rsidR="00DF695B" w:rsidRDefault="00645EAA">
      <w:pPr>
        <w:spacing w:line="207" w:lineRule="exact"/>
        <w:ind w:left="140" w:hanging="1"/>
        <w:rPr>
          <w:rFonts w:ascii="Arial" w:hAnsi="Arial"/>
          <w:i/>
          <w:sz w:val="17"/>
        </w:rPr>
      </w:pPr>
      <w:bookmarkStart w:id="4" w:name="_bookmark4"/>
      <w:bookmarkEnd w:id="4"/>
      <w:r>
        <w:rPr>
          <w:rFonts w:ascii="Arial" w:hAnsi="Arial"/>
          <w:i/>
          <w:position w:val="8"/>
          <w:sz w:val="11"/>
        </w:rPr>
        <w:t xml:space="preserve">5 </w:t>
      </w:r>
      <w:r>
        <w:rPr>
          <w:rFonts w:ascii="Arial" w:hAnsi="Arial"/>
          <w:i/>
          <w:sz w:val="17"/>
        </w:rPr>
        <w:t>Allen Hammond, William J. Kramer, Julia Tran, Rob Katz and Courtland Walker, “Introduction and Market Overview,”</w:t>
      </w:r>
    </w:p>
    <w:p w:rsidR="00DF695B" w:rsidRDefault="00645EAA">
      <w:pPr>
        <w:spacing w:before="1"/>
        <w:ind w:left="140" w:right="1252"/>
        <w:rPr>
          <w:rFonts w:ascii="Arial"/>
          <w:i/>
          <w:sz w:val="17"/>
        </w:rPr>
      </w:pPr>
      <w:r>
        <w:rPr>
          <w:rFonts w:ascii="Arial"/>
          <w:i/>
          <w:sz w:val="17"/>
        </w:rPr>
        <w:t xml:space="preserve">Chapter 1 of </w:t>
      </w:r>
      <w:r>
        <w:rPr>
          <w:rFonts w:ascii="Arial"/>
          <w:i/>
          <w:sz w:val="17"/>
          <w:u w:val="single"/>
        </w:rPr>
        <w:t>The Next 4 Billion: Market Size and Business Strategy at the Base of the Pyramid</w:t>
      </w:r>
      <w:r>
        <w:rPr>
          <w:rFonts w:ascii="Arial"/>
          <w:i/>
          <w:sz w:val="17"/>
        </w:rPr>
        <w:t>, World Resources Institute, Washington, DC, 2007,</w:t>
      </w:r>
      <w:r>
        <w:rPr>
          <w:rFonts w:ascii="Arial"/>
          <w:i/>
          <w:sz w:val="17"/>
        </w:rPr>
        <w:t xml:space="preserve"> </w:t>
      </w:r>
      <w:hyperlink r:id="rId12">
        <w:r>
          <w:rPr>
            <w:rFonts w:ascii="Arial"/>
            <w:i/>
            <w:sz w:val="17"/>
          </w:rPr>
          <w:t xml:space="preserve">www.wri.org/publication/next-4-billion, </w:t>
        </w:r>
      </w:hyperlink>
      <w:r>
        <w:rPr>
          <w:rFonts w:ascii="Arial"/>
          <w:i/>
          <w:sz w:val="17"/>
        </w:rPr>
        <w:t>accessed March 1, 2014.</w:t>
      </w:r>
    </w:p>
    <w:p w:rsidR="00DF695B" w:rsidRDefault="00645EAA">
      <w:pPr>
        <w:spacing w:line="183" w:lineRule="exact"/>
        <w:ind w:left="140"/>
        <w:rPr>
          <w:rFonts w:ascii="Arial"/>
          <w:i/>
          <w:sz w:val="17"/>
        </w:rPr>
      </w:pPr>
      <w:bookmarkStart w:id="5" w:name="_bookmark5"/>
      <w:bookmarkEnd w:id="5"/>
      <w:r>
        <w:rPr>
          <w:rFonts w:ascii="Arial"/>
          <w:i/>
          <w:position w:val="8"/>
          <w:sz w:val="11"/>
        </w:rPr>
        <w:t xml:space="preserve">6 </w:t>
      </w:r>
      <w:r>
        <w:rPr>
          <w:rFonts w:ascii="Arial"/>
          <w:i/>
          <w:sz w:val="17"/>
        </w:rPr>
        <w:t xml:space="preserve">C. K. Prahalad, </w:t>
      </w:r>
      <w:r>
        <w:rPr>
          <w:rFonts w:ascii="Arial"/>
          <w:i/>
          <w:sz w:val="17"/>
          <w:u w:val="single"/>
        </w:rPr>
        <w:t>The Fortune at the Bottom of the Pyramid</w:t>
      </w:r>
      <w:r>
        <w:rPr>
          <w:rFonts w:ascii="Arial"/>
          <w:i/>
          <w:sz w:val="17"/>
        </w:rPr>
        <w:t>, Wharton School Publishing, San Francisco, 2004.</w:t>
      </w:r>
    </w:p>
    <w:p w:rsidR="00DF695B" w:rsidRDefault="00645EAA">
      <w:pPr>
        <w:spacing w:before="14" w:line="196" w:lineRule="exact"/>
        <w:ind w:left="140" w:right="1440"/>
        <w:rPr>
          <w:rFonts w:ascii="Arial" w:hAnsi="Arial"/>
          <w:i/>
          <w:sz w:val="17"/>
        </w:rPr>
      </w:pPr>
      <w:bookmarkStart w:id="6" w:name="_bookmark6"/>
      <w:bookmarkEnd w:id="6"/>
      <w:r>
        <w:rPr>
          <w:rFonts w:ascii="Arial" w:hAnsi="Arial"/>
          <w:i/>
          <w:position w:val="8"/>
          <w:sz w:val="11"/>
        </w:rPr>
        <w:t xml:space="preserve">7 </w:t>
      </w:r>
      <w:r>
        <w:rPr>
          <w:rFonts w:ascii="Arial" w:hAnsi="Arial"/>
          <w:i/>
          <w:sz w:val="17"/>
        </w:rPr>
        <w:t xml:space="preserve">Tina Rosenberg, </w:t>
      </w:r>
      <w:r>
        <w:rPr>
          <w:rFonts w:ascii="Arial" w:hAnsi="Arial"/>
          <w:i/>
          <w:sz w:val="17"/>
        </w:rPr>
        <w:t xml:space="preserve">“The Next Wireless Revolution, in Electricity,” </w:t>
      </w:r>
      <w:proofErr w:type="spellStart"/>
      <w:r>
        <w:rPr>
          <w:rFonts w:ascii="Arial" w:hAnsi="Arial"/>
          <w:i/>
          <w:sz w:val="17"/>
        </w:rPr>
        <w:t>Opinionator</w:t>
      </w:r>
      <w:proofErr w:type="spellEnd"/>
      <w:r>
        <w:rPr>
          <w:rFonts w:ascii="Arial" w:hAnsi="Arial"/>
          <w:i/>
          <w:sz w:val="17"/>
        </w:rPr>
        <w:t xml:space="preserve"> blog, </w:t>
      </w:r>
      <w:r>
        <w:rPr>
          <w:rFonts w:ascii="Arial" w:hAnsi="Arial"/>
          <w:i/>
          <w:sz w:val="17"/>
          <w:u w:val="single"/>
        </w:rPr>
        <w:t>New York Times</w:t>
      </w:r>
      <w:r>
        <w:rPr>
          <w:rFonts w:ascii="Arial" w:hAnsi="Arial"/>
          <w:i/>
          <w:sz w:val="17"/>
        </w:rPr>
        <w:t xml:space="preserve">, September 11, 2013, </w:t>
      </w:r>
      <w:hyperlink r:id="rId13">
        <w:r>
          <w:rPr>
            <w:rFonts w:ascii="Arial" w:hAnsi="Arial"/>
            <w:i/>
            <w:sz w:val="17"/>
          </w:rPr>
          <w:t>http://opinionator.blogs.nytimes.com/2013/0</w:t>
        </w:r>
        <w:r>
          <w:rPr>
            <w:rFonts w:ascii="Arial" w:hAnsi="Arial"/>
            <w:i/>
            <w:sz w:val="17"/>
          </w:rPr>
          <w:t xml:space="preserve">9/11/the-next-wireless-revolution-in-light/?_r=1, </w:t>
        </w:r>
      </w:hyperlink>
      <w:r>
        <w:rPr>
          <w:rFonts w:ascii="Arial" w:hAnsi="Arial"/>
          <w:i/>
          <w:sz w:val="17"/>
        </w:rPr>
        <w:t>accessed November 6, 2013</w:t>
      </w:r>
    </w:p>
    <w:p w:rsidR="00DF695B" w:rsidRDefault="00DF695B">
      <w:pPr>
        <w:spacing w:line="196" w:lineRule="exact"/>
        <w:rPr>
          <w:rFonts w:ascii="Arial" w:hAnsi="Arial"/>
          <w:sz w:val="17"/>
        </w:rPr>
        <w:sectPr w:rsidR="00DF695B">
          <w:headerReference w:type="default" r:id="rId14"/>
          <w:pgSz w:w="12240" w:h="15840"/>
          <w:pgMar w:top="1360" w:right="0" w:bottom="280" w:left="1300" w:header="1082" w:footer="0" w:gutter="0"/>
          <w:pgNumType w:start="2"/>
          <w:cols w:space="720"/>
        </w:sectPr>
      </w:pPr>
    </w:p>
    <w:p w:rsidR="00DF695B" w:rsidRDefault="00DF695B">
      <w:pPr>
        <w:pStyle w:val="BodyText"/>
        <w:spacing w:before="4"/>
        <w:rPr>
          <w:rFonts w:ascii="Arial"/>
          <w:i/>
          <w:sz w:val="27"/>
        </w:rPr>
      </w:pPr>
    </w:p>
    <w:p w:rsidR="00DF695B" w:rsidRDefault="00645EAA">
      <w:pPr>
        <w:spacing w:before="93"/>
        <w:ind w:left="140"/>
        <w:jc w:val="both"/>
        <w:rPr>
          <w:rFonts w:ascii="Arial"/>
          <w:b/>
          <w:sz w:val="20"/>
        </w:rPr>
      </w:pPr>
      <w:r>
        <w:rPr>
          <w:rFonts w:ascii="Arial"/>
          <w:b/>
          <w:sz w:val="20"/>
        </w:rPr>
        <w:t>SOLAR INDUSTRY</w:t>
      </w:r>
    </w:p>
    <w:p w:rsidR="00DF695B" w:rsidRDefault="00DF695B">
      <w:pPr>
        <w:pStyle w:val="BodyText"/>
        <w:spacing w:before="10"/>
        <w:rPr>
          <w:rFonts w:ascii="Arial"/>
          <w:b/>
          <w:sz w:val="21"/>
        </w:rPr>
      </w:pPr>
    </w:p>
    <w:p w:rsidR="00DF695B" w:rsidRDefault="00645EAA">
      <w:pPr>
        <w:pStyle w:val="BodyText"/>
        <w:ind w:left="140" w:right="1434" w:hanging="1"/>
        <w:jc w:val="both"/>
      </w:pPr>
      <w:r>
        <w:t>Globally, energy consumption was following three major trends: rapid growt</w:t>
      </w:r>
      <w:r>
        <w:t xml:space="preserve">h in the use of renewable energy technologies, a retreat from nuclear power in many countries and a resurgence in oil and gas production in countries such as the United States. Fossil fuels were expected to remain dominant in global energy consumption for </w:t>
      </w:r>
      <w:r>
        <w:t>the foreseeable future, but the fastest growth was in renewable energy (see Exhibit 4).</w:t>
      </w:r>
    </w:p>
    <w:p w:rsidR="00DF695B" w:rsidRDefault="00DF695B">
      <w:pPr>
        <w:pStyle w:val="BodyText"/>
        <w:spacing w:before="1"/>
      </w:pPr>
    </w:p>
    <w:p w:rsidR="00DF695B" w:rsidRDefault="00645EAA">
      <w:pPr>
        <w:pStyle w:val="BodyText"/>
        <w:ind w:left="140" w:right="1434"/>
        <w:jc w:val="both"/>
      </w:pPr>
      <w:r>
        <w:t xml:space="preserve">As of March 2012, India’s power sector had an installed capacity of 236.38 gigawatts (GW), an increase of 14 per cent over March 2011. Captive (privately owned) power </w:t>
      </w:r>
      <w:r>
        <w:t>plants generated an additional 36.5 GW. Thermal power plants constituted 66 per cent of the installed capacity, hydroelectric about 19 per cent. The remainder was a combination of wind, small hydro-plants, biomass, waste-to-electricity plants, and nuclear</w:t>
      </w:r>
      <w:r>
        <w:rPr>
          <w:spacing w:val="1"/>
        </w:rPr>
        <w:t xml:space="preserve"> </w:t>
      </w:r>
      <w:r>
        <w:t>energy.</w:t>
      </w:r>
      <w:hyperlink w:anchor="_bookmark7" w:history="1">
        <w:r>
          <w:rPr>
            <w:vertAlign w:val="superscript"/>
          </w:rPr>
          <w:t>8</w:t>
        </w:r>
      </w:hyperlink>
    </w:p>
    <w:p w:rsidR="00DF695B" w:rsidRDefault="00DF695B">
      <w:pPr>
        <w:pStyle w:val="BodyText"/>
        <w:spacing w:before="10"/>
        <w:rPr>
          <w:sz w:val="21"/>
        </w:rPr>
      </w:pPr>
    </w:p>
    <w:p w:rsidR="00DF695B" w:rsidRDefault="00645EAA">
      <w:pPr>
        <w:pStyle w:val="BodyText"/>
        <w:ind w:left="139" w:right="1436"/>
        <w:jc w:val="both"/>
      </w:pPr>
      <w:r>
        <w:t>Among developing countries, where investments in grid power did not match the growing demand for electricity, off-grid power generation was increasing — with local wind, solar, small hydro and biomass plants supplyin</w:t>
      </w:r>
      <w:r>
        <w:t>g electricity for captive needs. The solar industry was at the forefront of the change, particularly among BOP communities. Its underlying concept aligned “what is good for those living in poverty” with “what is good for the planet.”</w:t>
      </w:r>
    </w:p>
    <w:p w:rsidR="00DF695B" w:rsidRDefault="00DF695B">
      <w:pPr>
        <w:pStyle w:val="BodyText"/>
        <w:spacing w:before="1"/>
      </w:pPr>
    </w:p>
    <w:p w:rsidR="00DF695B" w:rsidRDefault="00645EAA">
      <w:pPr>
        <w:pStyle w:val="BodyText"/>
        <w:ind w:left="139" w:right="1436"/>
        <w:jc w:val="both"/>
      </w:pPr>
      <w:r>
        <w:t>The cost of energy fo</w:t>
      </w:r>
      <w:r>
        <w:t>r a BOP household ranged between 10 per cent and 25 per cent of its domestic expenditure. While each individual BOP household was frugal in its consumption, cumulatively, the demand for energy was huge. The total BOP household energy market was estimated t</w:t>
      </w:r>
      <w:r>
        <w:t>o be $433 billion, representing the spending of 3.96 billion people. Asia was the largest BOP energy market, estimated at</w:t>
      </w:r>
    </w:p>
    <w:p w:rsidR="00DF695B" w:rsidRDefault="00645EAA">
      <w:pPr>
        <w:pStyle w:val="BodyText"/>
        <w:ind w:left="139" w:right="1436"/>
        <w:jc w:val="both"/>
      </w:pPr>
      <w:r>
        <w:t xml:space="preserve">$351 billion, representing the spending of 2.9 billion people. Within Asia, India was the largest energy market, with $163 billion in </w:t>
      </w:r>
      <w:r>
        <w:t>annual household spending. Within India, the rural sector accounted for 63 per cent of the national energy market.</w:t>
      </w:r>
      <w:hyperlink w:anchor="_bookmark8" w:history="1">
        <w:r>
          <w:rPr>
            <w:vertAlign w:val="superscript"/>
          </w:rPr>
          <w:t>9</w:t>
        </w:r>
      </w:hyperlink>
    </w:p>
    <w:p w:rsidR="00DF695B" w:rsidRDefault="00DF695B">
      <w:pPr>
        <w:pStyle w:val="BodyText"/>
        <w:rPr>
          <w:sz w:val="26"/>
        </w:rPr>
      </w:pPr>
    </w:p>
    <w:p w:rsidR="00DF695B" w:rsidRDefault="00645EAA">
      <w:pPr>
        <w:spacing w:before="207"/>
        <w:ind w:left="140"/>
        <w:jc w:val="both"/>
        <w:rPr>
          <w:rFonts w:ascii="Arial"/>
          <w:b/>
          <w:sz w:val="20"/>
        </w:rPr>
      </w:pPr>
      <w:r>
        <w:rPr>
          <w:rFonts w:ascii="Arial"/>
          <w:b/>
          <w:sz w:val="20"/>
        </w:rPr>
        <w:t>Solar Industry in India</w:t>
      </w:r>
    </w:p>
    <w:p w:rsidR="00DF695B" w:rsidRDefault="00DF695B">
      <w:pPr>
        <w:pStyle w:val="BodyText"/>
        <w:spacing w:before="1"/>
        <w:rPr>
          <w:rFonts w:ascii="Arial"/>
          <w:b/>
        </w:rPr>
      </w:pPr>
    </w:p>
    <w:p w:rsidR="00DF695B" w:rsidRDefault="00645EAA">
      <w:pPr>
        <w:pStyle w:val="BodyText"/>
        <w:ind w:left="139" w:right="1436"/>
        <w:jc w:val="both"/>
      </w:pPr>
      <w:r>
        <w:t>The solar industry in India was in its nascent stage. Many initiatives were being coordinated by the central government’s Ministry of New &amp; Renewable Energy (MNRE). For example, the ministry was implementing the National Solar Mission with a goal of instal</w:t>
      </w:r>
      <w:r>
        <w:t>ling 20 GW of grid-connected solar power and 2 GW of off-grid solar power by 2022. As part of the latter goal, MNRE was providing a subsidy of</w:t>
      </w:r>
    </w:p>
    <w:p w:rsidR="00DF695B" w:rsidRDefault="00645EAA">
      <w:pPr>
        <w:pStyle w:val="BodyText"/>
        <w:ind w:left="139" w:right="1437"/>
        <w:jc w:val="both"/>
      </w:pPr>
      <w:r>
        <w:t>$52 per solar lantern for households located in off-grid villages that had been identified as “a special category</w:t>
      </w:r>
      <w:r>
        <w:t>.” By December 2013, the MNRE had subsidized and distributed nearly one million solar lanterns.</w:t>
      </w:r>
      <w:hyperlink w:anchor="_bookmark9" w:history="1">
        <w:r>
          <w:rPr>
            <w:vertAlign w:val="superscript"/>
          </w:rPr>
          <w:t>10</w:t>
        </w:r>
        <w:r>
          <w:t xml:space="preserve"> </w:t>
        </w:r>
      </w:hyperlink>
      <w:r>
        <w:t>The lanterns were manufactured by more than 200 small solar enterprises that had received MNRE approval and were thus allowed to</w:t>
      </w:r>
      <w:r>
        <w:t xml:space="preserve"> bid on government tenders.</w:t>
      </w:r>
    </w:p>
    <w:p w:rsidR="00DF695B" w:rsidRDefault="00DF695B">
      <w:pPr>
        <w:pStyle w:val="BodyText"/>
        <w:spacing w:before="10"/>
        <w:rPr>
          <w:sz w:val="21"/>
        </w:rPr>
      </w:pPr>
    </w:p>
    <w:p w:rsidR="00DF695B" w:rsidRDefault="00645EAA">
      <w:pPr>
        <w:pStyle w:val="BodyText"/>
        <w:ind w:left="140" w:right="1435"/>
        <w:jc w:val="both"/>
      </w:pPr>
      <w:r>
        <w:t>In 2008, two new sets of players entered the industry. The first were large producers of power systems and</w:t>
      </w:r>
      <w:r>
        <w:rPr>
          <w:spacing w:val="10"/>
        </w:rPr>
        <w:t xml:space="preserve"> </w:t>
      </w:r>
      <w:r>
        <w:t>consumer</w:t>
      </w:r>
      <w:r>
        <w:rPr>
          <w:spacing w:val="11"/>
        </w:rPr>
        <w:t xml:space="preserve"> </w:t>
      </w:r>
      <w:r>
        <w:t>durables</w:t>
      </w:r>
      <w:r>
        <w:rPr>
          <w:spacing w:val="11"/>
        </w:rPr>
        <w:t xml:space="preserve"> </w:t>
      </w:r>
      <w:r>
        <w:t>(e.g.,</w:t>
      </w:r>
      <w:r>
        <w:rPr>
          <w:spacing w:val="10"/>
        </w:rPr>
        <w:t xml:space="preserve"> </w:t>
      </w:r>
      <w:r>
        <w:t>among</w:t>
      </w:r>
      <w:r>
        <w:rPr>
          <w:spacing w:val="8"/>
        </w:rPr>
        <w:t xml:space="preserve"> </w:t>
      </w:r>
      <w:r>
        <w:t>others,</w:t>
      </w:r>
      <w:r>
        <w:rPr>
          <w:spacing w:val="8"/>
        </w:rPr>
        <w:t xml:space="preserve"> </w:t>
      </w:r>
      <w:r>
        <w:t>Tata</w:t>
      </w:r>
      <w:r>
        <w:rPr>
          <w:spacing w:val="11"/>
        </w:rPr>
        <w:t xml:space="preserve"> </w:t>
      </w:r>
      <w:r>
        <w:t>Power,</w:t>
      </w:r>
      <w:r>
        <w:rPr>
          <w:spacing w:val="10"/>
        </w:rPr>
        <w:t xml:space="preserve"> </w:t>
      </w:r>
      <w:r>
        <w:t>Reliance</w:t>
      </w:r>
      <w:r>
        <w:rPr>
          <w:spacing w:val="11"/>
        </w:rPr>
        <w:t xml:space="preserve"> </w:t>
      </w:r>
      <w:r>
        <w:t>Power</w:t>
      </w:r>
      <w:r>
        <w:rPr>
          <w:spacing w:val="11"/>
        </w:rPr>
        <w:t xml:space="preserve"> </w:t>
      </w:r>
      <w:r>
        <w:t>and</w:t>
      </w:r>
      <w:r>
        <w:rPr>
          <w:spacing w:val="11"/>
        </w:rPr>
        <w:t xml:space="preserve"> </w:t>
      </w:r>
      <w:r>
        <w:t>Eureka</w:t>
      </w:r>
      <w:r>
        <w:rPr>
          <w:spacing w:val="10"/>
        </w:rPr>
        <w:t xml:space="preserve"> </w:t>
      </w:r>
      <w:r>
        <w:t>Forbes)</w:t>
      </w:r>
      <w:r>
        <w:rPr>
          <w:spacing w:val="11"/>
        </w:rPr>
        <w:t xml:space="preserve"> </w:t>
      </w:r>
      <w:r>
        <w:t>who</w:t>
      </w:r>
      <w:r>
        <w:rPr>
          <w:spacing w:val="11"/>
        </w:rPr>
        <w:t xml:space="preserve"> </w:t>
      </w:r>
      <w:r>
        <w:t>set</w:t>
      </w:r>
      <w:r>
        <w:rPr>
          <w:spacing w:val="11"/>
        </w:rPr>
        <w:t xml:space="preserve"> </w:t>
      </w:r>
      <w:r>
        <w:t>up</w:t>
      </w:r>
    </w:p>
    <w:p w:rsidR="00DF695B" w:rsidRDefault="00645EAA">
      <w:pPr>
        <w:pStyle w:val="BodyText"/>
        <w:spacing w:before="4"/>
        <w:rPr>
          <w:sz w:val="12"/>
        </w:rPr>
      </w:pPr>
      <w:r>
        <w:pict>
          <v:line id="_x0000_s1056" style="position:absolute;z-index:-251644928;mso-wrap-distance-left:0;mso-wrap-distance-right:0;mso-position-horizontal-relative:page" from="1in,9.35pt" to="3in,9.35pt" strokeweight=".48pt">
            <w10:wrap type="topAndBottom" anchorx="page"/>
          </v:line>
        </w:pict>
      </w:r>
    </w:p>
    <w:p w:rsidR="00DF695B" w:rsidRDefault="00645EAA">
      <w:pPr>
        <w:spacing w:before="35"/>
        <w:ind w:left="139" w:right="1437"/>
        <w:jc w:val="both"/>
        <w:rPr>
          <w:rFonts w:ascii="Arial"/>
          <w:i/>
          <w:sz w:val="17"/>
        </w:rPr>
      </w:pPr>
      <w:bookmarkStart w:id="7" w:name="_bookmark7"/>
      <w:bookmarkEnd w:id="7"/>
      <w:r>
        <w:rPr>
          <w:rFonts w:ascii="Arial"/>
          <w:i/>
          <w:position w:val="8"/>
          <w:sz w:val="11"/>
        </w:rPr>
        <w:t xml:space="preserve">8 </w:t>
      </w:r>
      <w:r>
        <w:rPr>
          <w:rFonts w:ascii="Arial"/>
          <w:i/>
          <w:sz w:val="17"/>
        </w:rPr>
        <w:t xml:space="preserve">Central Statistics Office, National Statistical </w:t>
      </w:r>
      <w:proofErr w:type="spellStart"/>
      <w:r>
        <w:rPr>
          <w:rFonts w:ascii="Arial"/>
          <w:i/>
          <w:sz w:val="17"/>
        </w:rPr>
        <w:t>Organisation</w:t>
      </w:r>
      <w:proofErr w:type="spellEnd"/>
      <w:r>
        <w:rPr>
          <w:rFonts w:ascii="Arial"/>
          <w:i/>
          <w:sz w:val="17"/>
        </w:rPr>
        <w:t xml:space="preserve">, Ministry of Statistics and </w:t>
      </w:r>
      <w:proofErr w:type="spellStart"/>
      <w:r>
        <w:rPr>
          <w:rFonts w:ascii="Arial"/>
          <w:i/>
          <w:sz w:val="17"/>
        </w:rPr>
        <w:t>Programme</w:t>
      </w:r>
      <w:proofErr w:type="spellEnd"/>
      <w:r>
        <w:rPr>
          <w:rFonts w:ascii="Arial"/>
          <w:i/>
          <w:sz w:val="17"/>
        </w:rPr>
        <w:t xml:space="preserve"> Implementation, Government of India, </w:t>
      </w:r>
      <w:r>
        <w:rPr>
          <w:rFonts w:ascii="Arial"/>
          <w:i/>
          <w:sz w:val="17"/>
          <w:u w:val="single"/>
        </w:rPr>
        <w:t>Energy Statistics 2013</w:t>
      </w:r>
      <w:r>
        <w:rPr>
          <w:rFonts w:ascii="Arial"/>
          <w:i/>
          <w:sz w:val="17"/>
        </w:rPr>
        <w:t xml:space="preserve">, Installation of Off-grid / </w:t>
      </w:r>
      <w:proofErr w:type="spellStart"/>
      <w:r>
        <w:rPr>
          <w:rFonts w:ascii="Arial"/>
          <w:i/>
          <w:sz w:val="17"/>
        </w:rPr>
        <w:t>Decentralised</w:t>
      </w:r>
      <w:proofErr w:type="spellEnd"/>
      <w:r>
        <w:rPr>
          <w:rFonts w:ascii="Arial"/>
          <w:i/>
          <w:sz w:val="17"/>
        </w:rPr>
        <w:t xml:space="preserve"> Renewable Energy Systems/Devices as on 31.03.2012 page </w:t>
      </w:r>
      <w:r>
        <w:rPr>
          <w:rFonts w:ascii="Arial"/>
          <w:i/>
          <w:sz w:val="17"/>
        </w:rPr>
        <w:t xml:space="preserve">16 of 89, </w:t>
      </w:r>
      <w:hyperlink r:id="rId15">
        <w:r>
          <w:rPr>
            <w:rFonts w:ascii="Arial"/>
            <w:i/>
            <w:sz w:val="17"/>
          </w:rPr>
          <w:t>http://mospi.nic.in/mospi_new/upload/Energy_Statistics_2013.pdf?status=1&amp;menu_id=216</w:t>
        </w:r>
      </w:hyperlink>
      <w:r>
        <w:rPr>
          <w:rFonts w:ascii="Arial"/>
          <w:i/>
          <w:sz w:val="17"/>
        </w:rPr>
        <w:t xml:space="preserve"> accessed February 12, 2014.</w:t>
      </w:r>
    </w:p>
    <w:p w:rsidR="00DF695B" w:rsidRDefault="00645EAA">
      <w:pPr>
        <w:pStyle w:val="BodyText"/>
        <w:spacing w:line="20" w:lineRule="exact"/>
        <w:ind w:left="857"/>
        <w:rPr>
          <w:rFonts w:ascii="Arial"/>
          <w:sz w:val="2"/>
        </w:rPr>
      </w:pPr>
      <w:r>
        <w:rPr>
          <w:rFonts w:ascii="Arial"/>
          <w:sz w:val="2"/>
        </w:rPr>
      </w:r>
      <w:r>
        <w:rPr>
          <w:rFonts w:ascii="Arial"/>
          <w:sz w:val="2"/>
        </w:rPr>
        <w:pict>
          <v:group id="_x0000_s1054" style="width:2.4pt;height:.6pt;mso-position-horizontal-relative:char;mso-position-vertical-relative:line" coordsize="48,12">
            <v:rect id="_x0000_s1055" style="position:absolute;width:48;height:12" fillcolor="black" stroked="f"/>
            <w10:anchorlock/>
          </v:group>
        </w:pict>
      </w:r>
    </w:p>
    <w:p w:rsidR="00DF695B" w:rsidRDefault="00645EAA">
      <w:pPr>
        <w:spacing w:line="186" w:lineRule="exact"/>
        <w:ind w:left="140" w:right="1440"/>
        <w:jc w:val="both"/>
        <w:rPr>
          <w:rFonts w:ascii="Arial" w:hAnsi="Arial"/>
          <w:i/>
          <w:sz w:val="17"/>
        </w:rPr>
      </w:pPr>
      <w:bookmarkStart w:id="8" w:name="_bookmark8"/>
      <w:bookmarkEnd w:id="8"/>
      <w:r>
        <w:rPr>
          <w:rFonts w:ascii="Arial" w:hAnsi="Arial"/>
          <w:i/>
          <w:position w:val="8"/>
          <w:sz w:val="11"/>
        </w:rPr>
        <w:t xml:space="preserve">9 </w:t>
      </w:r>
      <w:r>
        <w:rPr>
          <w:rFonts w:ascii="Arial" w:hAnsi="Arial"/>
          <w:i/>
          <w:sz w:val="17"/>
        </w:rPr>
        <w:t xml:space="preserve">Allen Hammond, William J. Kramer, Julia Tran, Rob Katz and Courtland Walker, “The Energy Market,” Chapter 7 of </w:t>
      </w:r>
      <w:r>
        <w:rPr>
          <w:rFonts w:ascii="Arial" w:hAnsi="Arial"/>
          <w:i/>
          <w:sz w:val="17"/>
          <w:u w:val="single"/>
        </w:rPr>
        <w:t>The</w:t>
      </w:r>
      <w:r>
        <w:rPr>
          <w:rFonts w:ascii="Arial" w:hAnsi="Arial"/>
          <w:i/>
          <w:sz w:val="17"/>
        </w:rPr>
        <w:t xml:space="preserve"> </w:t>
      </w:r>
      <w:r>
        <w:rPr>
          <w:rFonts w:ascii="Arial" w:hAnsi="Arial"/>
          <w:i/>
          <w:sz w:val="17"/>
          <w:u w:val="single"/>
        </w:rPr>
        <w:t>Next 4 Billion: Market Size and Business Strategy at the Base of the Pyramid,</w:t>
      </w:r>
      <w:r>
        <w:rPr>
          <w:rFonts w:ascii="Arial" w:hAnsi="Arial"/>
          <w:i/>
          <w:sz w:val="17"/>
        </w:rPr>
        <w:t xml:space="preserve"> World Resources Institute, Washington, DC,</w:t>
      </w:r>
    </w:p>
    <w:p w:rsidR="00DF695B" w:rsidRDefault="00645EAA">
      <w:pPr>
        <w:spacing w:line="182" w:lineRule="exact"/>
        <w:ind w:left="140"/>
        <w:jc w:val="both"/>
        <w:rPr>
          <w:rFonts w:ascii="Arial"/>
          <w:i/>
          <w:sz w:val="17"/>
        </w:rPr>
      </w:pPr>
      <w:r>
        <w:rPr>
          <w:rFonts w:ascii="Arial"/>
          <w:i/>
          <w:sz w:val="17"/>
        </w:rPr>
        <w:t xml:space="preserve">2007, </w:t>
      </w:r>
      <w:hyperlink r:id="rId16">
        <w:r>
          <w:rPr>
            <w:rFonts w:ascii="Arial"/>
            <w:i/>
            <w:sz w:val="17"/>
          </w:rPr>
          <w:t xml:space="preserve">www.wri.org/publication/next-4-billion, </w:t>
        </w:r>
      </w:hyperlink>
      <w:r>
        <w:rPr>
          <w:rFonts w:ascii="Arial"/>
          <w:i/>
          <w:sz w:val="17"/>
        </w:rPr>
        <w:t>accessed March 1, 2014.</w:t>
      </w:r>
    </w:p>
    <w:p w:rsidR="00DF695B" w:rsidRDefault="00645EAA">
      <w:pPr>
        <w:spacing w:before="14" w:line="196" w:lineRule="exact"/>
        <w:ind w:left="140" w:right="1436"/>
        <w:jc w:val="both"/>
        <w:rPr>
          <w:rFonts w:ascii="Arial" w:hAnsi="Arial"/>
          <w:i/>
          <w:sz w:val="17"/>
        </w:rPr>
      </w:pPr>
      <w:bookmarkStart w:id="9" w:name="_bookmark9"/>
      <w:bookmarkEnd w:id="9"/>
      <w:r>
        <w:rPr>
          <w:rFonts w:ascii="Arial" w:hAnsi="Arial"/>
          <w:i/>
          <w:position w:val="8"/>
          <w:sz w:val="11"/>
        </w:rPr>
        <w:t xml:space="preserve">10 </w:t>
      </w:r>
      <w:r>
        <w:rPr>
          <w:rFonts w:ascii="Arial" w:hAnsi="Arial"/>
          <w:i/>
          <w:sz w:val="17"/>
        </w:rPr>
        <w:t xml:space="preserve">International Finance Corporation, </w:t>
      </w:r>
      <w:r>
        <w:rPr>
          <w:rFonts w:ascii="Arial" w:hAnsi="Arial"/>
          <w:i/>
          <w:sz w:val="17"/>
          <w:u w:val="single"/>
        </w:rPr>
        <w:t xml:space="preserve">Lighting Asia: Solar Off-Grid Lighting </w:t>
      </w:r>
      <w:r>
        <w:rPr>
          <w:rFonts w:ascii="Arial" w:hAnsi="Arial"/>
          <w:i/>
          <w:sz w:val="17"/>
          <w:u w:val="single"/>
        </w:rPr>
        <w:t>— Market Analysis of India, Bangladesh, Nepal,</w:t>
      </w:r>
      <w:r>
        <w:rPr>
          <w:rFonts w:ascii="Arial" w:hAnsi="Arial"/>
          <w:i/>
          <w:sz w:val="17"/>
        </w:rPr>
        <w:t xml:space="preserve"> </w:t>
      </w:r>
      <w:r>
        <w:rPr>
          <w:rFonts w:ascii="Arial" w:hAnsi="Arial"/>
          <w:i/>
          <w:sz w:val="17"/>
          <w:u w:val="single"/>
        </w:rPr>
        <w:t>Pakistan, Indonesia, Cambodia and Philippines</w:t>
      </w:r>
      <w:r>
        <w:rPr>
          <w:rFonts w:ascii="Arial" w:hAnsi="Arial"/>
          <w:i/>
          <w:sz w:val="17"/>
        </w:rPr>
        <w:t xml:space="preserve">, February 2012, </w:t>
      </w:r>
      <w:hyperlink r:id="rId17">
        <w:r>
          <w:rPr>
            <w:rFonts w:ascii="Arial" w:hAnsi="Arial"/>
            <w:i/>
            <w:sz w:val="17"/>
          </w:rPr>
          <w:t xml:space="preserve">www.ifc.org/report-lightingasia, </w:t>
        </w:r>
      </w:hyperlink>
      <w:r>
        <w:rPr>
          <w:rFonts w:ascii="Arial" w:hAnsi="Arial"/>
          <w:i/>
          <w:sz w:val="17"/>
        </w:rPr>
        <w:t>accessed April 9, 2014.</w:t>
      </w:r>
    </w:p>
    <w:p w:rsidR="00DF695B" w:rsidRDefault="00DF695B">
      <w:pPr>
        <w:spacing w:line="196" w:lineRule="exact"/>
        <w:jc w:val="both"/>
        <w:rPr>
          <w:rFonts w:ascii="Arial" w:hAnsi="Arial"/>
          <w:sz w:val="17"/>
        </w:rPr>
        <w:sectPr w:rsidR="00DF695B">
          <w:pgSz w:w="12240" w:h="15840"/>
          <w:pgMar w:top="1360" w:right="0" w:bottom="280" w:left="1300" w:header="1082" w:footer="0" w:gutter="0"/>
          <w:cols w:space="720"/>
        </w:sectPr>
      </w:pPr>
    </w:p>
    <w:p w:rsidR="00DF695B" w:rsidRDefault="00DF695B">
      <w:pPr>
        <w:pStyle w:val="BodyText"/>
        <w:spacing w:before="4"/>
        <w:rPr>
          <w:rFonts w:ascii="Arial"/>
          <w:i/>
          <w:sz w:val="27"/>
        </w:rPr>
      </w:pPr>
    </w:p>
    <w:p w:rsidR="00DF695B" w:rsidRDefault="00645EAA">
      <w:pPr>
        <w:pStyle w:val="BodyText"/>
        <w:spacing w:before="92"/>
        <w:ind w:left="138" w:right="1432" w:firstLine="1"/>
        <w:jc w:val="both"/>
      </w:pPr>
      <w:r>
        <w:t>solar divisions for manufacturing and marketing; the second were social en</w:t>
      </w:r>
      <w:r>
        <w:t xml:space="preserve">terprises (such as </w:t>
      </w:r>
      <w:proofErr w:type="spellStart"/>
      <w:proofErr w:type="gramStart"/>
      <w:r>
        <w:t>d.light</w:t>
      </w:r>
      <w:proofErr w:type="spellEnd"/>
      <w:proofErr w:type="gramEnd"/>
      <w:r>
        <w:t>) that focused on a single solar product and a single market segment. For the latter group, however, their product specifications prevented them from being eligible for MNRE subsidies. For example, the MNRE promoted solar lanterns</w:t>
      </w:r>
      <w:r>
        <w:t xml:space="preserve"> that used compact fluorescent lamps (CFLs), which were typically priced between $90 and $100, whereas the large social enterprises were manufacturing solar lamps that used light emitting diodes (LEDs), which were priced at a more competitive $50 to $60. C</w:t>
      </w:r>
      <w:r>
        <w:t>FL lanterns were technologically ahead of the traditional incandescent lighting but LED lamps were a step ahead of CFLs. LED lamps were light in weight (and hence portable), more convenient to use (with no accessories) and more efficient (in terms of lumen</w:t>
      </w:r>
      <w:r>
        <w:t>s). They were also more easily scalable (in their manufacturing operations).</w:t>
      </w:r>
    </w:p>
    <w:p w:rsidR="00DF695B" w:rsidRDefault="00DF695B">
      <w:pPr>
        <w:pStyle w:val="BodyText"/>
      </w:pPr>
    </w:p>
    <w:p w:rsidR="00DF695B" w:rsidRDefault="00645EAA">
      <w:pPr>
        <w:pStyle w:val="BodyText"/>
        <w:ind w:left="139" w:right="1433"/>
        <w:jc w:val="both"/>
      </w:pPr>
      <w:r>
        <w:t>The market was fragmented with individual market shares of less than one per cent. The price– performance ratios of solar products differed widely. For example, the electronic ci</w:t>
      </w:r>
      <w:r>
        <w:t>rcuits performed inconsistently, varying in terms of charging, efficiency and the type of circuit protection. Even globally, no harmonized framework was available for testing and certifying solar products. In India, lack of consumer awareness was a definit</w:t>
      </w:r>
      <w:r>
        <w:t>e barrier. Larger corporate houses did not actively promote their solar lamps because they were part of a larger product portfolio; social enterprises did not promote their solar lamps because they were short of capital. The market as a whole lacked moment</w:t>
      </w:r>
      <w:r>
        <w:t>um because it was not only fragmented but also disorganized. Said Mukherji:</w:t>
      </w:r>
    </w:p>
    <w:p w:rsidR="00DF695B" w:rsidRDefault="00DF695B">
      <w:pPr>
        <w:pStyle w:val="BodyText"/>
        <w:spacing w:before="10"/>
        <w:rPr>
          <w:sz w:val="21"/>
        </w:rPr>
      </w:pPr>
    </w:p>
    <w:p w:rsidR="00DF695B" w:rsidRDefault="00645EAA">
      <w:pPr>
        <w:pStyle w:val="BodyText"/>
        <w:ind w:left="859" w:right="1436"/>
        <w:jc w:val="both"/>
      </w:pPr>
      <w:r>
        <w:t>Solar energy is a perfect example of the decentralization of manufacturing, distribution and consumption of energy to the level of the end user. It is clean, safe, reliable and af</w:t>
      </w:r>
      <w:r>
        <w:t>fordable. It is also of better quality than the energy generated by conventional fuels. Still, despite the success of an “off-grid” communication tool such as the mobile phone in India, the rate of adoption of solar lamps in the country has been very slow.</w:t>
      </w:r>
    </w:p>
    <w:p w:rsidR="00DF695B" w:rsidRDefault="00DF695B">
      <w:pPr>
        <w:pStyle w:val="BodyText"/>
        <w:spacing w:before="1"/>
      </w:pPr>
    </w:p>
    <w:p w:rsidR="00DF695B" w:rsidRDefault="00645EAA">
      <w:pPr>
        <w:pStyle w:val="BodyText"/>
        <w:ind w:left="138" w:right="1437"/>
        <w:jc w:val="both"/>
      </w:pPr>
      <w:r>
        <w:t>Mobile phones had caught on in developing countries, and people in rural India had no difficulty in leapfrogging to this modern technology because few had ever experienced a landline phone. Mukherji believed that the change promised by a solar lamp could</w:t>
      </w:r>
      <w:r>
        <w:t xml:space="preserve"> be equally transformational and appealing. But one barrier was the legacy of kerosene lanterns.</w:t>
      </w:r>
    </w:p>
    <w:p w:rsidR="00DF695B" w:rsidRDefault="00DF695B">
      <w:pPr>
        <w:pStyle w:val="BodyText"/>
        <w:spacing w:before="11"/>
        <w:rPr>
          <w:sz w:val="21"/>
        </w:rPr>
      </w:pPr>
    </w:p>
    <w:p w:rsidR="00DF695B" w:rsidRDefault="00645EAA">
      <w:pPr>
        <w:pStyle w:val="BodyText"/>
        <w:ind w:left="138" w:right="1436"/>
        <w:jc w:val="both"/>
      </w:pPr>
      <w:r>
        <w:t xml:space="preserve">Another barrier was the solar industry’s business model. At the macro level, attracting investments was difficult. Commercial lenders were uncomfortable with </w:t>
      </w:r>
      <w:r>
        <w:t xml:space="preserve">the solar industry as a bankable business. The World Bank and its private-sector development wing, the International Finance Corporation, had set up projects to help raise the industry profile, including Lighting Africa, Lighting Asia and Lighting Global. </w:t>
      </w:r>
      <w:r>
        <w:t>They were also helping establish standards for product certification. But, lenders at the grassroots level were still conservative and cautious. At the micro level, the problem was to find ways for those living in poverty to be able to afford to pay for th</w:t>
      </w:r>
      <w:r>
        <w:t>e lanterns. Very few households at the BOP could afford single lights, let alone light packages. The industry was still searching for an equivalent to the mobile phone industry’s pay-as-you-go model or another innovative payment solution that would make th</w:t>
      </w:r>
      <w:r>
        <w:t>e lamps affordable.</w:t>
      </w:r>
    </w:p>
    <w:p w:rsidR="00DF695B" w:rsidRDefault="00DF695B">
      <w:pPr>
        <w:pStyle w:val="BodyText"/>
        <w:rPr>
          <w:sz w:val="24"/>
        </w:rPr>
      </w:pPr>
    </w:p>
    <w:p w:rsidR="00DF695B" w:rsidRDefault="00DF695B">
      <w:pPr>
        <w:pStyle w:val="BodyText"/>
        <w:spacing w:before="3"/>
        <w:rPr>
          <w:sz w:val="20"/>
        </w:rPr>
      </w:pPr>
    </w:p>
    <w:p w:rsidR="00DF695B" w:rsidRDefault="00645EAA">
      <w:pPr>
        <w:ind w:left="140"/>
        <w:jc w:val="both"/>
        <w:rPr>
          <w:rFonts w:ascii="Arial" w:hAnsi="Arial"/>
          <w:b/>
          <w:sz w:val="20"/>
        </w:rPr>
      </w:pPr>
      <w:r>
        <w:rPr>
          <w:rFonts w:ascii="Arial" w:hAnsi="Arial"/>
          <w:b/>
          <w:sz w:val="20"/>
        </w:rPr>
        <w:t>D.LIGHT DESIGN – COMPANY BACKGROUND</w:t>
      </w:r>
    </w:p>
    <w:p w:rsidR="00DF695B" w:rsidRDefault="00DF695B">
      <w:pPr>
        <w:pStyle w:val="BodyText"/>
        <w:spacing w:before="10"/>
        <w:rPr>
          <w:rFonts w:ascii="Arial"/>
          <w:b/>
          <w:sz w:val="21"/>
        </w:rPr>
      </w:pPr>
    </w:p>
    <w:p w:rsidR="00DF695B" w:rsidRDefault="00645EAA">
      <w:pPr>
        <w:pStyle w:val="BodyText"/>
        <w:ind w:left="140" w:right="1435"/>
        <w:jc w:val="both"/>
      </w:pPr>
      <w:r>
        <w:t xml:space="preserve">In May 2007, </w:t>
      </w:r>
      <w:proofErr w:type="spellStart"/>
      <w:proofErr w:type="gramStart"/>
      <w:r>
        <w:t>d.light</w:t>
      </w:r>
      <w:proofErr w:type="spellEnd"/>
      <w:proofErr w:type="gramEnd"/>
      <w:r>
        <w:t xml:space="preserve"> was founded by Sam Goldman and Ned </w:t>
      </w:r>
      <w:proofErr w:type="spellStart"/>
      <w:r>
        <w:t>Tozun</w:t>
      </w:r>
      <w:proofErr w:type="spellEnd"/>
      <w:r>
        <w:t>, then students at the Graduate Business School of Stanford University. They had won a $250,000 prize in a business plan competition and used it as seed capital, supplementing it with venture cap</w:t>
      </w:r>
      <w:r>
        <w:t>ital funding of $1.6 million. The founders</w:t>
      </w:r>
    </w:p>
    <w:p w:rsidR="00DF695B" w:rsidRDefault="00DF695B">
      <w:pPr>
        <w:jc w:val="both"/>
        <w:sectPr w:rsidR="00DF695B">
          <w:pgSz w:w="12240" w:h="15840"/>
          <w:pgMar w:top="1360" w:right="0" w:bottom="280" w:left="1300" w:header="1082" w:footer="0" w:gutter="0"/>
          <w:cols w:space="720"/>
        </w:sectPr>
      </w:pPr>
    </w:p>
    <w:p w:rsidR="00DF695B" w:rsidRDefault="00DF695B">
      <w:pPr>
        <w:pStyle w:val="BodyText"/>
        <w:spacing w:before="4"/>
        <w:rPr>
          <w:sz w:val="27"/>
        </w:rPr>
      </w:pPr>
    </w:p>
    <w:p w:rsidR="00DF695B" w:rsidRDefault="00645EAA">
      <w:pPr>
        <w:pStyle w:val="BodyText"/>
        <w:spacing w:before="92"/>
        <w:ind w:left="140" w:right="1435"/>
        <w:jc w:val="both"/>
      </w:pPr>
      <w:r>
        <w:t xml:space="preserve">saw no conflict of interest between sustaining a social enterprise and earning a profit; to </w:t>
      </w:r>
      <w:proofErr w:type="gramStart"/>
      <w:r>
        <w:t>the  entrepreneurs</w:t>
      </w:r>
      <w:proofErr w:type="gramEnd"/>
      <w:r>
        <w:t>, the two goals were mutually</w:t>
      </w:r>
      <w:r>
        <w:rPr>
          <w:spacing w:val="-9"/>
        </w:rPr>
        <w:t xml:space="preserve"> </w:t>
      </w:r>
      <w:r>
        <w:t>reinforcing.</w:t>
      </w:r>
    </w:p>
    <w:p w:rsidR="00DF695B" w:rsidRDefault="00DF695B">
      <w:pPr>
        <w:pStyle w:val="BodyText"/>
        <w:spacing w:before="10"/>
        <w:rPr>
          <w:sz w:val="21"/>
        </w:rPr>
      </w:pPr>
    </w:p>
    <w:p w:rsidR="00DF695B" w:rsidRDefault="00645EAA">
      <w:pPr>
        <w:pStyle w:val="BodyText"/>
        <w:spacing w:before="1"/>
        <w:ind w:left="140" w:right="1435" w:hanging="1"/>
        <w:jc w:val="both"/>
      </w:pPr>
      <w:r>
        <w:t>The company started off by producing 20,000 solar lamps per month at its manufacturing plant in the free trade zone</w:t>
      </w:r>
      <w:r>
        <w:t xml:space="preserve"> of Shenzhen, China. The plant was modular and designed to be easily scalable. By 2013, </w:t>
      </w:r>
      <w:proofErr w:type="spellStart"/>
      <w:proofErr w:type="gramStart"/>
      <w:r>
        <w:t>d.light</w:t>
      </w:r>
      <w:proofErr w:type="spellEnd"/>
      <w:proofErr w:type="gramEnd"/>
      <w:r>
        <w:t xml:space="preserve"> had a capacity of 3.5 million units per annum. The company also had research and development and supply chain </w:t>
      </w:r>
      <w:proofErr w:type="spellStart"/>
      <w:r>
        <w:t>centres</w:t>
      </w:r>
      <w:proofErr w:type="spellEnd"/>
      <w:r>
        <w:t xml:space="preserve"> on site. It served customers in 40 countri</w:t>
      </w:r>
      <w:r>
        <w:t>es in Sub-Saharan Africa and the Indian subcontinent.</w:t>
      </w:r>
    </w:p>
    <w:p w:rsidR="00DF695B" w:rsidRDefault="00DF695B">
      <w:pPr>
        <w:pStyle w:val="BodyText"/>
      </w:pPr>
    </w:p>
    <w:p w:rsidR="00DF695B" w:rsidRDefault="00645EAA">
      <w:pPr>
        <w:pStyle w:val="BodyText"/>
        <w:spacing w:before="1"/>
        <w:ind w:left="140" w:right="1435"/>
        <w:jc w:val="both"/>
      </w:pPr>
      <w:r>
        <w:t xml:space="preserve">As of February 2014, </w:t>
      </w:r>
      <w:proofErr w:type="spellStart"/>
      <w:proofErr w:type="gramStart"/>
      <w:r>
        <w:t>d.light</w:t>
      </w:r>
      <w:proofErr w:type="spellEnd"/>
      <w:proofErr w:type="gramEnd"/>
      <w:r>
        <w:t xml:space="preserve"> had received funding </w:t>
      </w:r>
      <w:proofErr w:type="spellStart"/>
      <w:r>
        <w:t>totalling</w:t>
      </w:r>
      <w:proofErr w:type="spellEnd"/>
      <w:r>
        <w:t xml:space="preserve"> $40 million from private equity investors. The company had revenues of around $45 million in 2013 and had been growing at 50 per cent per ann</w:t>
      </w:r>
      <w:r>
        <w:t>um for the past two years. Said Mukherji:</w:t>
      </w:r>
    </w:p>
    <w:p w:rsidR="00DF695B" w:rsidRDefault="00DF695B">
      <w:pPr>
        <w:pStyle w:val="BodyText"/>
        <w:spacing w:before="9"/>
        <w:rPr>
          <w:sz w:val="21"/>
        </w:rPr>
      </w:pPr>
    </w:p>
    <w:p w:rsidR="00DF695B" w:rsidRDefault="00645EAA">
      <w:pPr>
        <w:pStyle w:val="BodyText"/>
        <w:ind w:left="860" w:right="1432"/>
        <w:jc w:val="both"/>
      </w:pPr>
      <w:proofErr w:type="spellStart"/>
      <w:r>
        <w:t>d.light</w:t>
      </w:r>
      <w:proofErr w:type="spellEnd"/>
      <w:r>
        <w:t xml:space="preserve"> has three competitive advantages. It is the first mover in the solar lamp market. We are the first social enterprise to launch the product in India, which is the single largest concentration of BOP consumers in the world. It has given us credibilit</w:t>
      </w:r>
      <w:r>
        <w:t>y, particularly among investors specializing in social enterprise. Our second advantage is our product quality. We have incorporated customer insights into our product design. The reliability of our product is borne out by the fact that our warranty claims</w:t>
      </w:r>
      <w:r>
        <w:t xml:space="preserve"> over the last three years average less than one per cent of sales. Finally, we have a unique distribution model. It is based on strategic alliances with distributor partners, which have the last mile reach and a life cycle engagement with</w:t>
      </w:r>
      <w:r>
        <w:rPr>
          <w:spacing w:val="-9"/>
        </w:rPr>
        <w:t xml:space="preserve"> </w:t>
      </w:r>
      <w:r>
        <w:t>end-consumers.</w:t>
      </w:r>
    </w:p>
    <w:p w:rsidR="00DF695B" w:rsidRDefault="00DF695B">
      <w:pPr>
        <w:pStyle w:val="BodyText"/>
      </w:pPr>
    </w:p>
    <w:p w:rsidR="00DF695B" w:rsidRDefault="00645EAA">
      <w:pPr>
        <w:pStyle w:val="BodyText"/>
        <w:spacing w:before="1"/>
        <w:ind w:left="140" w:right="1434"/>
        <w:jc w:val="both"/>
      </w:pPr>
      <w:r>
        <w:t>The company was focused on rural rather than urban BOP customers because the density of population in urban areas made options such as mini-grid solutions more viable than a stand-alone solar lamp.</w:t>
      </w:r>
    </w:p>
    <w:p w:rsidR="00DF695B" w:rsidRDefault="00DF695B">
      <w:pPr>
        <w:pStyle w:val="BodyText"/>
        <w:spacing w:before="10"/>
        <w:rPr>
          <w:sz w:val="21"/>
        </w:rPr>
      </w:pPr>
    </w:p>
    <w:p w:rsidR="00DF695B" w:rsidRDefault="00645EAA">
      <w:pPr>
        <w:pStyle w:val="BodyText"/>
        <w:ind w:left="139" w:right="1436"/>
        <w:jc w:val="both"/>
      </w:pPr>
      <w:r>
        <w:t xml:space="preserve">For distribution, </w:t>
      </w:r>
      <w:proofErr w:type="spellStart"/>
      <w:proofErr w:type="gramStart"/>
      <w:r>
        <w:t>d.light</w:t>
      </w:r>
      <w:proofErr w:type="spellEnd"/>
      <w:proofErr w:type="gramEnd"/>
      <w:r>
        <w:t xml:space="preserve"> had partnered with four differe</w:t>
      </w:r>
      <w:r>
        <w:t>nt types of channels — post offices, common service centers (CSCs), distributors of liquid petroleum gas (LPG) cylinders and general retailers of consumer durables. Each channel partner brought the benefit of its long-standing knowledge of and relationship</w:t>
      </w:r>
      <w:r>
        <w:t>s with its own customers.</w:t>
      </w:r>
    </w:p>
    <w:p w:rsidR="00DF695B" w:rsidRDefault="00DF695B">
      <w:pPr>
        <w:pStyle w:val="BodyText"/>
        <w:spacing w:before="2"/>
      </w:pPr>
    </w:p>
    <w:p w:rsidR="00DF695B" w:rsidRDefault="00645EAA">
      <w:pPr>
        <w:pStyle w:val="BodyText"/>
        <w:ind w:left="140" w:right="1435"/>
        <w:jc w:val="both"/>
      </w:pPr>
      <w:r>
        <w:t xml:space="preserve">India had the largest postal network in the world with more than 155,000 post offices, 90 per cent of which were located in rural India. Each post office served an area of 21 square </w:t>
      </w:r>
      <w:proofErr w:type="spellStart"/>
      <w:r>
        <w:t>kilometres</w:t>
      </w:r>
      <w:proofErr w:type="spellEnd"/>
      <w:r>
        <w:t xml:space="preserve"> covering, on average, a population o</w:t>
      </w:r>
      <w:r>
        <w:t>f 7,175 persons.</w:t>
      </w:r>
      <w:hyperlink w:anchor="_bookmark10" w:history="1">
        <w:r>
          <w:rPr>
            <w:vertAlign w:val="superscript"/>
          </w:rPr>
          <w:t>11</w:t>
        </w:r>
        <w:r>
          <w:t xml:space="preserve"> </w:t>
        </w:r>
      </w:hyperlink>
      <w:r>
        <w:t xml:space="preserve">Most rural post offices were managed by a single postal worker, who usually worked from home. </w:t>
      </w:r>
      <w:proofErr w:type="spellStart"/>
      <w:r>
        <w:t>d.light</w:t>
      </w:r>
      <w:proofErr w:type="spellEnd"/>
      <w:r>
        <w:t xml:space="preserve"> had distribution arrangements with 400 post offices in semi-urban </w:t>
      </w:r>
      <w:proofErr w:type="spellStart"/>
      <w:r>
        <w:t>centres</w:t>
      </w:r>
      <w:proofErr w:type="spellEnd"/>
      <w:r>
        <w:t>, all of which were brick-and-m</w:t>
      </w:r>
      <w:r>
        <w:t>ortar structures and therefore doubled as depots serving the needs of the interior.</w:t>
      </w:r>
    </w:p>
    <w:p w:rsidR="00DF695B" w:rsidRDefault="00DF695B">
      <w:pPr>
        <w:pStyle w:val="BodyText"/>
      </w:pPr>
    </w:p>
    <w:p w:rsidR="00DF695B" w:rsidRDefault="00645EAA">
      <w:pPr>
        <w:pStyle w:val="BodyText"/>
        <w:ind w:left="139" w:right="1434"/>
        <w:jc w:val="both"/>
      </w:pPr>
      <w:r>
        <w:t>CSCs were part of India’s National e-Governance Plan developed by the central government. Nationwide, India had 130,000 CSCs, each serving a cluster of five to six village</w:t>
      </w:r>
      <w:r>
        <w:t xml:space="preserve">s. Managed by trained and incentivized staff, each CSC was housed in 150 square foot space and included a personal computer, a printer, a digital camera, a generator, and broadband connectivity. It served as the front end for </w:t>
      </w:r>
      <w:proofErr w:type="gramStart"/>
      <w:r>
        <w:t>delivery  of</w:t>
      </w:r>
      <w:proofErr w:type="gramEnd"/>
      <w:r>
        <w:t xml:space="preserve"> government, finan</w:t>
      </w:r>
      <w:r>
        <w:t>cial, social and private sector services in the areas of agriculture, health, education, entertainment, banking, insurance, pension, utility payments and retail products.</w:t>
      </w:r>
      <w:hyperlink w:anchor="_bookmark11" w:history="1">
        <w:r>
          <w:rPr>
            <w:vertAlign w:val="superscript"/>
          </w:rPr>
          <w:t>12</w:t>
        </w:r>
        <w:r>
          <w:t xml:space="preserve"> </w:t>
        </w:r>
      </w:hyperlink>
      <w:proofErr w:type="spellStart"/>
      <w:r>
        <w:t>d.light</w:t>
      </w:r>
      <w:proofErr w:type="spellEnd"/>
      <w:r>
        <w:t xml:space="preserve"> had distribution partnerships with 2,600 CSC</w:t>
      </w:r>
      <w:r>
        <w:t>s</w:t>
      </w:r>
      <w:r>
        <w:rPr>
          <w:spacing w:val="-1"/>
        </w:rPr>
        <w:t xml:space="preserve"> </w:t>
      </w:r>
      <w:r>
        <w:t>nationwide.</w:t>
      </w:r>
    </w:p>
    <w:p w:rsidR="00DF695B" w:rsidRDefault="00DF695B">
      <w:pPr>
        <w:pStyle w:val="BodyText"/>
        <w:rPr>
          <w:sz w:val="20"/>
        </w:rPr>
      </w:pPr>
    </w:p>
    <w:p w:rsidR="00DF695B" w:rsidRDefault="00DF695B">
      <w:pPr>
        <w:pStyle w:val="BodyText"/>
        <w:rPr>
          <w:sz w:val="20"/>
        </w:rPr>
      </w:pPr>
    </w:p>
    <w:p w:rsidR="00DF695B" w:rsidRDefault="00645EAA">
      <w:pPr>
        <w:pStyle w:val="BodyText"/>
        <w:spacing w:before="5"/>
        <w:rPr>
          <w:sz w:val="26"/>
        </w:rPr>
      </w:pPr>
      <w:r>
        <w:pict>
          <v:line id="_x0000_s1051" style="position:absolute;z-index:-251643904;mso-wrap-distance-left:0;mso-wrap-distance-right:0;mso-position-horizontal-relative:page" from="1in,17.45pt" to="3in,17.45pt" strokeweight=".48pt">
            <w10:wrap type="topAndBottom" anchorx="page"/>
          </v:line>
        </w:pict>
      </w:r>
    </w:p>
    <w:p w:rsidR="00DF695B" w:rsidRDefault="00645EAA">
      <w:pPr>
        <w:spacing w:before="35" w:line="207" w:lineRule="exact"/>
        <w:ind w:left="140"/>
        <w:jc w:val="both"/>
        <w:rPr>
          <w:rFonts w:ascii="Arial" w:hAnsi="Arial"/>
          <w:i/>
          <w:sz w:val="17"/>
        </w:rPr>
      </w:pPr>
      <w:bookmarkStart w:id="10" w:name="_bookmark10"/>
      <w:bookmarkEnd w:id="10"/>
      <w:r>
        <w:rPr>
          <w:rFonts w:ascii="Arial" w:hAnsi="Arial"/>
          <w:i/>
          <w:position w:val="8"/>
          <w:sz w:val="11"/>
        </w:rPr>
        <w:t xml:space="preserve">11 </w:t>
      </w:r>
      <w:r>
        <w:rPr>
          <w:rFonts w:ascii="Arial" w:hAnsi="Arial"/>
          <w:i/>
          <w:sz w:val="17"/>
        </w:rPr>
        <w:t xml:space="preserve">India Post, “Post Office Network,” </w:t>
      </w:r>
      <w:hyperlink r:id="rId18">
        <w:r>
          <w:rPr>
            <w:rFonts w:ascii="Arial" w:hAnsi="Arial"/>
            <w:i/>
            <w:sz w:val="17"/>
          </w:rPr>
          <w:t xml:space="preserve">www.indiapost.gov.in/Our_Network.aspx, </w:t>
        </w:r>
      </w:hyperlink>
      <w:r>
        <w:rPr>
          <w:rFonts w:ascii="Arial" w:hAnsi="Arial"/>
          <w:i/>
          <w:sz w:val="17"/>
        </w:rPr>
        <w:t>accessed April 9, 2014.</w:t>
      </w:r>
    </w:p>
    <w:p w:rsidR="00DF695B" w:rsidRDefault="00645EAA">
      <w:pPr>
        <w:spacing w:before="13" w:line="196" w:lineRule="exact"/>
        <w:ind w:left="140" w:right="1441" w:hanging="1"/>
        <w:jc w:val="both"/>
        <w:rPr>
          <w:rFonts w:ascii="Arial" w:hAnsi="Arial"/>
          <w:i/>
          <w:sz w:val="17"/>
        </w:rPr>
      </w:pPr>
      <w:bookmarkStart w:id="11" w:name="_bookmark11"/>
      <w:bookmarkEnd w:id="11"/>
      <w:r>
        <w:rPr>
          <w:rFonts w:ascii="Arial" w:hAnsi="Arial"/>
          <w:i/>
          <w:position w:val="8"/>
          <w:sz w:val="11"/>
        </w:rPr>
        <w:t xml:space="preserve">12 </w:t>
      </w:r>
      <w:r>
        <w:rPr>
          <w:rFonts w:ascii="Arial" w:hAnsi="Arial"/>
          <w:i/>
          <w:sz w:val="17"/>
        </w:rPr>
        <w:t xml:space="preserve">Common Services Centers Scheme, Department of Electronics and Information Technology, Government of India, “About Common Services Centers Scheme,” </w:t>
      </w:r>
      <w:hyperlink r:id="rId19">
        <w:r>
          <w:rPr>
            <w:rFonts w:ascii="Arial" w:hAnsi="Arial"/>
            <w:i/>
            <w:sz w:val="17"/>
          </w:rPr>
          <w:t xml:space="preserve">http://csc.gov.in, </w:t>
        </w:r>
      </w:hyperlink>
      <w:r>
        <w:rPr>
          <w:rFonts w:ascii="Arial" w:hAnsi="Arial"/>
          <w:i/>
          <w:sz w:val="17"/>
        </w:rPr>
        <w:t>accessed April 9, 2014.</w:t>
      </w:r>
    </w:p>
    <w:p w:rsidR="00DF695B" w:rsidRDefault="00DF695B">
      <w:pPr>
        <w:spacing w:line="196" w:lineRule="exact"/>
        <w:jc w:val="both"/>
        <w:rPr>
          <w:rFonts w:ascii="Arial" w:hAnsi="Arial"/>
          <w:sz w:val="17"/>
        </w:rPr>
        <w:sectPr w:rsidR="00DF695B">
          <w:pgSz w:w="12240" w:h="15840"/>
          <w:pgMar w:top="1360" w:right="0" w:bottom="280" w:left="1300" w:header="1082" w:footer="0" w:gutter="0"/>
          <w:cols w:space="720"/>
        </w:sectPr>
      </w:pPr>
    </w:p>
    <w:p w:rsidR="00DF695B" w:rsidRDefault="00DF695B">
      <w:pPr>
        <w:pStyle w:val="BodyText"/>
        <w:spacing w:before="4"/>
        <w:rPr>
          <w:rFonts w:ascii="Arial"/>
          <w:i/>
          <w:sz w:val="27"/>
        </w:rPr>
      </w:pPr>
    </w:p>
    <w:p w:rsidR="00DF695B" w:rsidRDefault="00645EAA">
      <w:pPr>
        <w:pStyle w:val="BodyText"/>
        <w:spacing w:before="92"/>
        <w:ind w:left="140" w:right="1435"/>
        <w:jc w:val="both"/>
      </w:pPr>
      <w:r>
        <w:t xml:space="preserve">LPG cylinders were distributed in India through dealers appointed by the three national oil companies. </w:t>
      </w:r>
      <w:proofErr w:type="spellStart"/>
      <w:r>
        <w:t>d.light</w:t>
      </w:r>
      <w:proofErr w:type="spellEnd"/>
      <w:r>
        <w:t xml:space="preserve"> had tied up with two of them, which together had 9,500 LPG dealers nationwide, of which, </w:t>
      </w:r>
      <w:proofErr w:type="spellStart"/>
      <w:proofErr w:type="gramStart"/>
      <w:r>
        <w:t>d.light</w:t>
      </w:r>
      <w:proofErr w:type="spellEnd"/>
      <w:proofErr w:type="gramEnd"/>
      <w:r>
        <w:t xml:space="preserve"> had partnerships with 3,000. In addition, </w:t>
      </w:r>
      <w:proofErr w:type="spellStart"/>
      <w:proofErr w:type="gramStart"/>
      <w:r>
        <w:t>d.ligh</w:t>
      </w:r>
      <w:r>
        <w:t>t</w:t>
      </w:r>
      <w:proofErr w:type="spellEnd"/>
      <w:proofErr w:type="gramEnd"/>
      <w:r>
        <w:t xml:space="preserve"> had relationships with more than 1,000 general retailers in rural India.</w:t>
      </w:r>
    </w:p>
    <w:p w:rsidR="00DF695B" w:rsidRDefault="00DF695B">
      <w:pPr>
        <w:pStyle w:val="BodyText"/>
        <w:spacing w:before="11"/>
        <w:rPr>
          <w:sz w:val="21"/>
        </w:rPr>
      </w:pPr>
    </w:p>
    <w:p w:rsidR="00DF695B" w:rsidRDefault="00645EAA">
      <w:pPr>
        <w:pStyle w:val="BodyText"/>
        <w:ind w:left="140" w:right="1435"/>
        <w:jc w:val="both"/>
      </w:pPr>
      <w:r>
        <w:t xml:space="preserve">The average margins for </w:t>
      </w:r>
      <w:proofErr w:type="spellStart"/>
      <w:proofErr w:type="gramStart"/>
      <w:r>
        <w:t>d.light’s</w:t>
      </w:r>
      <w:proofErr w:type="spellEnd"/>
      <w:proofErr w:type="gramEnd"/>
      <w:r>
        <w:t xml:space="preserve"> partners were 10 per cent for the distributors and 15 per cent for end- point sellers. These margins were consistent with the trends in the consumer durables industry and higher than the margins in the consumer goods </w:t>
      </w:r>
      <w:r>
        <w:t>industry where the norms were 8 to 10 per cent for both distributors and end-sellers.</w:t>
      </w:r>
    </w:p>
    <w:p w:rsidR="00DF695B" w:rsidRDefault="00DF695B">
      <w:pPr>
        <w:pStyle w:val="BodyText"/>
        <w:spacing w:before="11"/>
        <w:rPr>
          <w:sz w:val="21"/>
        </w:rPr>
      </w:pPr>
    </w:p>
    <w:p w:rsidR="00DF695B" w:rsidRDefault="00645EAA">
      <w:pPr>
        <w:pStyle w:val="BodyText"/>
        <w:ind w:left="140" w:right="1433" w:hanging="1"/>
        <w:jc w:val="both"/>
      </w:pPr>
      <w:r>
        <w:t xml:space="preserve">Some of </w:t>
      </w:r>
      <w:proofErr w:type="spellStart"/>
      <w:proofErr w:type="gramStart"/>
      <w:r>
        <w:t>d.light’s</w:t>
      </w:r>
      <w:proofErr w:type="spellEnd"/>
      <w:proofErr w:type="gramEnd"/>
      <w:r>
        <w:t xml:space="preserve"> competitors had set up their own direct-to-home (DTH) models and had signed up part- time independent promoters, known locally as </w:t>
      </w:r>
      <w:proofErr w:type="spellStart"/>
      <w:r>
        <w:rPr>
          <w:i/>
        </w:rPr>
        <w:t>Saathis</w:t>
      </w:r>
      <w:proofErr w:type="spellEnd"/>
      <w:r>
        <w:t>, to act as th</w:t>
      </w:r>
      <w:r>
        <w:t xml:space="preserve">eir ambassadors. </w:t>
      </w:r>
      <w:proofErr w:type="spellStart"/>
      <w:r>
        <w:rPr>
          <w:i/>
        </w:rPr>
        <w:t>Saathis</w:t>
      </w:r>
      <w:proofErr w:type="spellEnd"/>
      <w:r>
        <w:rPr>
          <w:i/>
        </w:rPr>
        <w:t xml:space="preserve"> </w:t>
      </w:r>
      <w:r>
        <w:t xml:space="preserve">worked at the grassroots level as teachers, nurses or insurance agents, and were trusted sources of information on a variety of issues. The quality of their interface with potential customers was high because every </w:t>
      </w:r>
      <w:proofErr w:type="spellStart"/>
      <w:r>
        <w:rPr>
          <w:i/>
        </w:rPr>
        <w:t>Saathi</w:t>
      </w:r>
      <w:proofErr w:type="spellEnd"/>
      <w:r>
        <w:rPr>
          <w:i/>
        </w:rPr>
        <w:t xml:space="preserve"> </w:t>
      </w:r>
      <w:r>
        <w:t>had a per</w:t>
      </w:r>
      <w:r>
        <w:t>sonal rapport with members of the community and could influence their purchase decisions. The model was costly, however, requiring investments in recruitment, training and retention. Another limitation</w:t>
      </w:r>
      <w:r>
        <w:rPr>
          <w:spacing w:val="8"/>
        </w:rPr>
        <w:t xml:space="preserve"> </w:t>
      </w:r>
      <w:r>
        <w:t>of</w:t>
      </w:r>
      <w:r>
        <w:rPr>
          <w:spacing w:val="7"/>
        </w:rPr>
        <w:t xml:space="preserve"> </w:t>
      </w:r>
      <w:r>
        <w:t>this</w:t>
      </w:r>
      <w:r>
        <w:rPr>
          <w:spacing w:val="6"/>
        </w:rPr>
        <w:t xml:space="preserve"> </w:t>
      </w:r>
      <w:r>
        <w:t>approach</w:t>
      </w:r>
      <w:r>
        <w:rPr>
          <w:spacing w:val="4"/>
        </w:rPr>
        <w:t xml:space="preserve"> </w:t>
      </w:r>
      <w:r>
        <w:t>was</w:t>
      </w:r>
      <w:r>
        <w:rPr>
          <w:spacing w:val="9"/>
        </w:rPr>
        <w:t xml:space="preserve"> </w:t>
      </w:r>
      <w:r>
        <w:t>that</w:t>
      </w:r>
      <w:r>
        <w:rPr>
          <w:spacing w:val="7"/>
        </w:rPr>
        <w:t xml:space="preserve"> </w:t>
      </w:r>
      <w:r>
        <w:t>it</w:t>
      </w:r>
      <w:r>
        <w:rPr>
          <w:spacing w:val="8"/>
        </w:rPr>
        <w:t xml:space="preserve"> </w:t>
      </w:r>
      <w:r>
        <w:t>was</w:t>
      </w:r>
      <w:r>
        <w:rPr>
          <w:spacing w:val="9"/>
        </w:rPr>
        <w:t xml:space="preserve"> </w:t>
      </w:r>
      <w:r>
        <w:t>not</w:t>
      </w:r>
      <w:r>
        <w:rPr>
          <w:spacing w:val="7"/>
        </w:rPr>
        <w:t xml:space="preserve"> </w:t>
      </w:r>
      <w:r>
        <w:t>easily</w:t>
      </w:r>
      <w:r>
        <w:rPr>
          <w:spacing w:val="6"/>
        </w:rPr>
        <w:t xml:space="preserve"> </w:t>
      </w:r>
      <w:r>
        <w:t>scalable.</w:t>
      </w:r>
      <w:r>
        <w:rPr>
          <w:spacing w:val="8"/>
        </w:rPr>
        <w:t xml:space="preserve"> </w:t>
      </w:r>
      <w:r>
        <w:t>An</w:t>
      </w:r>
      <w:r>
        <w:rPr>
          <w:spacing w:val="8"/>
        </w:rPr>
        <w:t xml:space="preserve"> </w:t>
      </w:r>
      <w:r>
        <w:t>individual</w:t>
      </w:r>
      <w:r>
        <w:rPr>
          <w:spacing w:val="8"/>
        </w:rPr>
        <w:t xml:space="preserve"> </w:t>
      </w:r>
      <w:proofErr w:type="spellStart"/>
      <w:r>
        <w:rPr>
          <w:i/>
        </w:rPr>
        <w:t>Saathi</w:t>
      </w:r>
      <w:proofErr w:type="spellEnd"/>
      <w:r>
        <w:rPr>
          <w:i/>
          <w:spacing w:val="9"/>
        </w:rPr>
        <w:t xml:space="preserve"> </w:t>
      </w:r>
      <w:r>
        <w:t>could</w:t>
      </w:r>
      <w:r>
        <w:rPr>
          <w:spacing w:val="7"/>
        </w:rPr>
        <w:t xml:space="preserve"> </w:t>
      </w:r>
      <w:r>
        <w:t>at</w:t>
      </w:r>
      <w:r>
        <w:rPr>
          <w:spacing w:val="7"/>
        </w:rPr>
        <w:t xml:space="preserve"> </w:t>
      </w:r>
      <w:r>
        <w:t>best</w:t>
      </w:r>
      <w:r>
        <w:rPr>
          <w:spacing w:val="9"/>
        </w:rPr>
        <w:t xml:space="preserve"> </w:t>
      </w:r>
      <w:r>
        <w:t>manage</w:t>
      </w:r>
    </w:p>
    <w:p w:rsidR="00DF695B" w:rsidRDefault="00645EAA">
      <w:pPr>
        <w:pStyle w:val="BodyText"/>
        <w:ind w:left="140" w:right="1435"/>
        <w:jc w:val="both"/>
      </w:pPr>
      <w:r>
        <w:t>50 accounts, whereas an LPG distributor had the infrastructure to reach and manage hundreds of customers.</w:t>
      </w:r>
    </w:p>
    <w:p w:rsidR="00DF695B" w:rsidRDefault="00DF695B">
      <w:pPr>
        <w:pStyle w:val="BodyText"/>
        <w:rPr>
          <w:sz w:val="24"/>
        </w:rPr>
      </w:pPr>
    </w:p>
    <w:p w:rsidR="00DF695B" w:rsidRDefault="00DF695B">
      <w:pPr>
        <w:pStyle w:val="BodyText"/>
        <w:spacing w:before="3"/>
        <w:rPr>
          <w:sz w:val="20"/>
        </w:rPr>
      </w:pPr>
    </w:p>
    <w:p w:rsidR="00DF695B" w:rsidRDefault="00645EAA">
      <w:pPr>
        <w:ind w:left="140"/>
        <w:jc w:val="both"/>
        <w:rPr>
          <w:rFonts w:ascii="Arial"/>
          <w:b/>
          <w:sz w:val="20"/>
        </w:rPr>
      </w:pPr>
      <w:r>
        <w:rPr>
          <w:rFonts w:ascii="Arial"/>
          <w:b/>
          <w:sz w:val="20"/>
        </w:rPr>
        <w:t>SOLAR LAMP</w:t>
      </w:r>
    </w:p>
    <w:p w:rsidR="00DF695B" w:rsidRDefault="00DF695B">
      <w:pPr>
        <w:pStyle w:val="BodyText"/>
        <w:spacing w:before="10"/>
        <w:rPr>
          <w:rFonts w:ascii="Arial"/>
          <w:b/>
          <w:sz w:val="21"/>
        </w:rPr>
      </w:pPr>
    </w:p>
    <w:p w:rsidR="00DF695B" w:rsidRDefault="00645EAA">
      <w:pPr>
        <w:pStyle w:val="BodyText"/>
        <w:ind w:left="140" w:right="1433" w:hanging="1"/>
        <w:jc w:val="both"/>
      </w:pPr>
      <w:r>
        <w:t xml:space="preserve">Right from the start, </w:t>
      </w:r>
      <w:proofErr w:type="spellStart"/>
      <w:proofErr w:type="gramStart"/>
      <w:r>
        <w:t>d.light’s</w:t>
      </w:r>
      <w:proofErr w:type="spellEnd"/>
      <w:proofErr w:type="gramEnd"/>
      <w:r>
        <w:t xml:space="preserve"> objective had been to develop an “affordable” product. As part of doing so, the company’s designers had travelled through various developing countries seeking personal interactions with rural families, shopkeepers and local </w:t>
      </w:r>
      <w:r>
        <w:t>distributors in an effort to understand their needs. Insights from the field were complemented by market research from professional agencies. This research was followed by concept brainstorms, initial sketches, prototypes, user testing, engineering and ind</w:t>
      </w:r>
      <w:r>
        <w:t>ustrial design, leading finally to a go-to-market product.</w:t>
      </w:r>
    </w:p>
    <w:p w:rsidR="00DF695B" w:rsidRDefault="00DF695B">
      <w:pPr>
        <w:pStyle w:val="BodyText"/>
      </w:pPr>
    </w:p>
    <w:p w:rsidR="00DF695B" w:rsidRDefault="00645EAA">
      <w:pPr>
        <w:pStyle w:val="BodyText"/>
        <w:ind w:left="140" w:right="1434" w:hanging="1"/>
        <w:jc w:val="both"/>
      </w:pPr>
      <w:r>
        <w:t xml:space="preserve">India was chosen for </w:t>
      </w:r>
      <w:proofErr w:type="spellStart"/>
      <w:proofErr w:type="gramStart"/>
      <w:r>
        <w:t>d.light’s</w:t>
      </w:r>
      <w:proofErr w:type="spellEnd"/>
      <w:proofErr w:type="gramEnd"/>
      <w:r>
        <w:t xml:space="preserve"> global launch in 2009, followed by a launch in Tanzania later the same year. The countries of Sub-Saharan Africa (SSA), which together housed 34 per cent of the world’s population living in poverty, followed in quick successi</w:t>
      </w:r>
      <w:r>
        <w:t xml:space="preserve">on. The market reception for </w:t>
      </w:r>
      <w:proofErr w:type="spellStart"/>
      <w:proofErr w:type="gramStart"/>
      <w:r>
        <w:t>d.light’s</w:t>
      </w:r>
      <w:proofErr w:type="spellEnd"/>
      <w:proofErr w:type="gramEnd"/>
      <w:r>
        <w:t xml:space="preserve"> products in SSA varied, however, from their reception in India. Distribution had been eased in SSA, thanks to </w:t>
      </w:r>
      <w:proofErr w:type="spellStart"/>
      <w:proofErr w:type="gramStart"/>
      <w:r>
        <w:t>d.light’s</w:t>
      </w:r>
      <w:proofErr w:type="spellEnd"/>
      <w:proofErr w:type="gramEnd"/>
      <w:r>
        <w:t xml:space="preserve"> relationships with not only an oil conglomerate that was actively promoting </w:t>
      </w:r>
      <w:proofErr w:type="spellStart"/>
      <w:r>
        <w:t>d.light’s</w:t>
      </w:r>
      <w:proofErr w:type="spellEnd"/>
      <w:r>
        <w:t xml:space="preserve"> products bu</w:t>
      </w:r>
      <w:r>
        <w:t xml:space="preserve">t also a financial institution that was promoting mobile payments. Beyond the customer profile, which was similar across the two markets, the conditions for executing product strategy differed and, as a result, as was the situation with the </w:t>
      </w:r>
      <w:proofErr w:type="spellStart"/>
      <w:proofErr w:type="gramStart"/>
      <w:r>
        <w:t>d.light</w:t>
      </w:r>
      <w:proofErr w:type="spellEnd"/>
      <w:proofErr w:type="gramEnd"/>
      <w:r>
        <w:t xml:space="preserve"> team in</w:t>
      </w:r>
      <w:r>
        <w:t xml:space="preserve"> India, the transfer of learning was of limited</w:t>
      </w:r>
      <w:r>
        <w:rPr>
          <w:spacing w:val="-20"/>
        </w:rPr>
        <w:t xml:space="preserve"> </w:t>
      </w:r>
      <w:r>
        <w:t>use.</w:t>
      </w:r>
    </w:p>
    <w:p w:rsidR="00DF695B" w:rsidRDefault="00DF695B">
      <w:pPr>
        <w:pStyle w:val="BodyText"/>
        <w:spacing w:before="9"/>
        <w:rPr>
          <w:sz w:val="21"/>
        </w:rPr>
      </w:pPr>
    </w:p>
    <w:p w:rsidR="00DF695B" w:rsidRDefault="00645EAA">
      <w:pPr>
        <w:pStyle w:val="BodyText"/>
        <w:ind w:left="139" w:right="1432" w:firstLine="1"/>
        <w:jc w:val="both"/>
      </w:pPr>
      <w:r>
        <w:t xml:space="preserve">In India, </w:t>
      </w:r>
      <w:proofErr w:type="spellStart"/>
      <w:proofErr w:type="gramStart"/>
      <w:r>
        <w:t>d.light</w:t>
      </w:r>
      <w:proofErr w:type="spellEnd"/>
      <w:proofErr w:type="gramEnd"/>
      <w:r>
        <w:t xml:space="preserve"> sold three models: S2, S20 and S300 (see Exhibit 5A, 5B and 5C). The S2 was a study lamp with entry-level pricing of INR450.</w:t>
      </w:r>
      <w:hyperlink w:anchor="_bookmark12" w:history="1">
        <w:r>
          <w:rPr>
            <w:vertAlign w:val="superscript"/>
          </w:rPr>
          <w:t>13</w:t>
        </w:r>
        <w:r>
          <w:t xml:space="preserve"> </w:t>
        </w:r>
      </w:hyperlink>
      <w:r>
        <w:t>The S20 was a household la</w:t>
      </w:r>
      <w:r>
        <w:t>mp with differential power settings, priced at INR645, and S300 was a solar lamp with a mobile charging feature, priced at INR1,845. All the three products carried a two-year free replacement</w:t>
      </w:r>
      <w:r>
        <w:rPr>
          <w:spacing w:val="-10"/>
        </w:rPr>
        <w:t xml:space="preserve"> </w:t>
      </w:r>
      <w:r>
        <w:t>warranty.</w:t>
      </w:r>
    </w:p>
    <w:p w:rsidR="00DF695B" w:rsidRDefault="00DF695B">
      <w:pPr>
        <w:pStyle w:val="BodyText"/>
        <w:spacing w:before="3"/>
      </w:pPr>
    </w:p>
    <w:p w:rsidR="00DF695B" w:rsidRDefault="00645EAA">
      <w:pPr>
        <w:pStyle w:val="BodyText"/>
        <w:ind w:left="139"/>
        <w:jc w:val="both"/>
      </w:pPr>
      <w:r>
        <w:t xml:space="preserve">Mukherji explained that </w:t>
      </w:r>
      <w:proofErr w:type="spellStart"/>
      <w:proofErr w:type="gramStart"/>
      <w:r>
        <w:t>d.light’s</w:t>
      </w:r>
      <w:proofErr w:type="spellEnd"/>
      <w:proofErr w:type="gramEnd"/>
      <w:r>
        <w:t xml:space="preserve"> products brought fi</w:t>
      </w:r>
      <w:r>
        <w:t>ve major advantages to end-users:</w:t>
      </w:r>
    </w:p>
    <w:p w:rsidR="00DF695B" w:rsidRDefault="00DF695B">
      <w:pPr>
        <w:pStyle w:val="BodyText"/>
        <w:spacing w:before="9"/>
        <w:rPr>
          <w:sz w:val="21"/>
        </w:rPr>
      </w:pPr>
    </w:p>
    <w:p w:rsidR="00DF695B" w:rsidRDefault="00645EAA">
      <w:pPr>
        <w:pStyle w:val="BodyText"/>
        <w:spacing w:before="1"/>
        <w:ind w:left="139" w:right="1437"/>
        <w:jc w:val="both"/>
      </w:pPr>
      <w:r>
        <w:t xml:space="preserve">First, an average BOP family spent between 10 and 25 per cent of its monthly income on kerosene. The </w:t>
      </w:r>
      <w:proofErr w:type="spellStart"/>
      <w:proofErr w:type="gramStart"/>
      <w:r>
        <w:t>d.light</w:t>
      </w:r>
      <w:proofErr w:type="spellEnd"/>
      <w:proofErr w:type="gramEnd"/>
      <w:r>
        <w:t xml:space="preserve"> solar lamp was priced to pay for itself in a few months. A kerosene lamp cost between INR120 and</w:t>
      </w:r>
    </w:p>
    <w:p w:rsidR="00DF695B" w:rsidRDefault="00645EAA">
      <w:pPr>
        <w:pStyle w:val="BodyText"/>
        <w:spacing w:before="5"/>
        <w:rPr>
          <w:sz w:val="14"/>
        </w:rPr>
      </w:pPr>
      <w:r>
        <w:pict>
          <v:line id="_x0000_s1049" style="position:absolute;z-index:-251642880;mso-wrap-distance-left:0;mso-wrap-distance-right:0;mso-position-horizontal-relative:page" from="1in,10.55pt" to="3in,10.55pt" strokeweight=".48pt">
            <w10:wrap type="topAndBottom" anchorx="page"/>
          </v:line>
        </w:pict>
      </w:r>
    </w:p>
    <w:p w:rsidR="00DF695B" w:rsidRDefault="00645EAA">
      <w:pPr>
        <w:spacing w:before="35"/>
        <w:ind w:left="140"/>
        <w:jc w:val="both"/>
        <w:rPr>
          <w:rFonts w:ascii="Arial"/>
          <w:i/>
          <w:sz w:val="17"/>
        </w:rPr>
      </w:pPr>
      <w:bookmarkStart w:id="12" w:name="_bookmark12"/>
      <w:bookmarkEnd w:id="12"/>
      <w:r>
        <w:rPr>
          <w:rFonts w:ascii="Arial"/>
          <w:i/>
          <w:position w:val="8"/>
          <w:sz w:val="11"/>
        </w:rPr>
        <w:t xml:space="preserve">13 </w:t>
      </w:r>
      <w:r>
        <w:rPr>
          <w:rFonts w:ascii="Arial"/>
          <w:i/>
          <w:sz w:val="17"/>
        </w:rPr>
        <w:t>US$1 = INR</w:t>
      </w:r>
      <w:r>
        <w:rPr>
          <w:rFonts w:ascii="Arial"/>
          <w:i/>
          <w:sz w:val="17"/>
        </w:rPr>
        <w:t>53.17.</w:t>
      </w:r>
    </w:p>
    <w:p w:rsidR="00DF695B" w:rsidRDefault="00DF695B">
      <w:pPr>
        <w:jc w:val="both"/>
        <w:rPr>
          <w:rFonts w:ascii="Arial"/>
          <w:sz w:val="17"/>
        </w:rPr>
        <w:sectPr w:rsidR="00DF695B">
          <w:pgSz w:w="12240" w:h="15840"/>
          <w:pgMar w:top="1360" w:right="0" w:bottom="280" w:left="1300" w:header="1082" w:footer="0" w:gutter="0"/>
          <w:cols w:space="720"/>
        </w:sectPr>
      </w:pPr>
    </w:p>
    <w:p w:rsidR="00DF695B" w:rsidRDefault="00DF695B">
      <w:pPr>
        <w:pStyle w:val="BodyText"/>
        <w:spacing w:before="4"/>
        <w:rPr>
          <w:rFonts w:ascii="Arial"/>
          <w:i/>
          <w:sz w:val="27"/>
        </w:rPr>
      </w:pPr>
    </w:p>
    <w:p w:rsidR="00DF695B" w:rsidRDefault="00645EAA">
      <w:pPr>
        <w:pStyle w:val="BodyText"/>
        <w:spacing w:before="92"/>
        <w:ind w:left="140" w:right="1436" w:hanging="1"/>
        <w:jc w:val="both"/>
      </w:pPr>
      <w:r>
        <w:t>INR150 and consumed approximately INR150 of kerosene and maintenance every month, assuming four hours of usage per night.</w:t>
      </w:r>
    </w:p>
    <w:p w:rsidR="00DF695B" w:rsidRDefault="00DF695B">
      <w:pPr>
        <w:pStyle w:val="BodyText"/>
        <w:spacing w:before="10"/>
        <w:rPr>
          <w:sz w:val="21"/>
        </w:rPr>
      </w:pPr>
    </w:p>
    <w:p w:rsidR="00DF695B" w:rsidRDefault="00645EAA">
      <w:pPr>
        <w:pStyle w:val="BodyText"/>
        <w:spacing w:before="1"/>
        <w:ind w:left="140" w:right="1435"/>
        <w:jc w:val="both"/>
      </w:pPr>
      <w:r>
        <w:t>Second, the solar lamp could be used to support income-generating activiti</w:t>
      </w:r>
      <w:r>
        <w:t>es outside of normal working hours. This benefit was particularly evident among people who were self-employed, such as tailors or weavers, who could extend their workday and, thus, their earnings.</w:t>
      </w:r>
    </w:p>
    <w:p w:rsidR="00DF695B" w:rsidRDefault="00DF695B">
      <w:pPr>
        <w:pStyle w:val="BodyText"/>
      </w:pPr>
    </w:p>
    <w:p w:rsidR="00DF695B" w:rsidRDefault="00645EAA">
      <w:pPr>
        <w:pStyle w:val="BodyText"/>
        <w:ind w:left="140" w:right="1435" w:hanging="1"/>
        <w:jc w:val="both"/>
      </w:pPr>
      <w:r>
        <w:t>Third, the solar lamp allowed for longer studying hours fo</w:t>
      </w:r>
      <w:r>
        <w:t>r children. A World Bank project study had shown that the pass rates at a Sudanese village school increased from 57 per cent in 2007 to 100 per cent by 2009 after the introduction of solar lighting. The trend had been maintained in 2010.</w:t>
      </w:r>
      <w:hyperlink w:anchor="_bookmark13" w:history="1">
        <w:r>
          <w:rPr>
            <w:vertAlign w:val="superscript"/>
          </w:rPr>
          <w:t>14</w:t>
        </w:r>
      </w:hyperlink>
    </w:p>
    <w:p w:rsidR="00DF695B" w:rsidRDefault="00DF695B">
      <w:pPr>
        <w:pStyle w:val="BodyText"/>
        <w:spacing w:before="1"/>
      </w:pPr>
    </w:p>
    <w:p w:rsidR="00DF695B" w:rsidRDefault="00645EAA">
      <w:pPr>
        <w:pStyle w:val="BodyText"/>
        <w:ind w:left="139" w:right="1521"/>
        <w:jc w:val="both"/>
      </w:pPr>
      <w:r>
        <w:t>Fourth, the solar lamp reduced indoor air pollution. It did not emit any pollutants and was safe in contrast to kerosene lantern that emitted noxious fumes and led to eye and respiratory tract ailments.</w:t>
      </w:r>
    </w:p>
    <w:p w:rsidR="00DF695B" w:rsidRDefault="00DF695B">
      <w:pPr>
        <w:pStyle w:val="BodyText"/>
      </w:pPr>
    </w:p>
    <w:p w:rsidR="00DF695B" w:rsidRDefault="00645EAA">
      <w:pPr>
        <w:pStyle w:val="BodyText"/>
        <w:ind w:left="139" w:right="1436"/>
        <w:jc w:val="both"/>
      </w:pPr>
      <w:r>
        <w:t>Finally, on a broader plane, each so</w:t>
      </w:r>
      <w:r>
        <w:t xml:space="preserve">lar lamp could, over its 10-year lifetime, replace the use of approximately 600 </w:t>
      </w:r>
      <w:proofErr w:type="spellStart"/>
      <w:r>
        <w:t>litres</w:t>
      </w:r>
      <w:proofErr w:type="spellEnd"/>
      <w:r>
        <w:t xml:space="preserve"> of kerosene, thereby mitigating 1.5 tons of carbon dioxide (CO</w:t>
      </w:r>
      <w:r>
        <w:rPr>
          <w:sz w:val="14"/>
        </w:rPr>
        <w:t>2</w:t>
      </w:r>
      <w:r>
        <w:t>) emissions.</w:t>
      </w:r>
      <w:hyperlink w:anchor="_bookmark14" w:history="1">
        <w:r>
          <w:rPr>
            <w:vertAlign w:val="superscript"/>
          </w:rPr>
          <w:t>15</w:t>
        </w:r>
      </w:hyperlink>
    </w:p>
    <w:p w:rsidR="00DF695B" w:rsidRDefault="00DF695B">
      <w:pPr>
        <w:pStyle w:val="BodyText"/>
        <w:rPr>
          <w:sz w:val="26"/>
        </w:rPr>
      </w:pPr>
    </w:p>
    <w:p w:rsidR="00DF695B" w:rsidRDefault="00645EAA">
      <w:pPr>
        <w:spacing w:before="206"/>
        <w:ind w:left="140"/>
        <w:jc w:val="both"/>
        <w:rPr>
          <w:rFonts w:ascii="Arial"/>
          <w:b/>
          <w:sz w:val="20"/>
        </w:rPr>
      </w:pPr>
      <w:r>
        <w:rPr>
          <w:rFonts w:ascii="Arial"/>
          <w:b/>
          <w:sz w:val="20"/>
        </w:rPr>
        <w:t xml:space="preserve">ISSUES BEFORE </w:t>
      </w:r>
      <w:proofErr w:type="gramStart"/>
      <w:r>
        <w:rPr>
          <w:rFonts w:ascii="Arial"/>
          <w:b/>
          <w:sz w:val="20"/>
        </w:rPr>
        <w:t>D.LIGHT</w:t>
      </w:r>
      <w:proofErr w:type="gramEnd"/>
    </w:p>
    <w:p w:rsidR="00DF695B" w:rsidRDefault="00DF695B">
      <w:pPr>
        <w:pStyle w:val="BodyText"/>
        <w:spacing w:before="2"/>
        <w:rPr>
          <w:rFonts w:ascii="Arial"/>
          <w:b/>
        </w:rPr>
      </w:pPr>
    </w:p>
    <w:p w:rsidR="00DF695B" w:rsidRDefault="00645EAA">
      <w:pPr>
        <w:ind w:left="140"/>
        <w:jc w:val="both"/>
        <w:rPr>
          <w:rFonts w:ascii="Arial"/>
          <w:b/>
          <w:sz w:val="20"/>
        </w:rPr>
      </w:pPr>
      <w:r>
        <w:rPr>
          <w:rFonts w:ascii="Arial"/>
          <w:b/>
          <w:sz w:val="20"/>
        </w:rPr>
        <w:t>Creating a Category</w:t>
      </w:r>
    </w:p>
    <w:p w:rsidR="00DF695B" w:rsidRDefault="00DF695B">
      <w:pPr>
        <w:pStyle w:val="BodyText"/>
        <w:spacing w:before="10"/>
        <w:rPr>
          <w:rFonts w:ascii="Arial"/>
          <w:b/>
          <w:sz w:val="21"/>
        </w:rPr>
      </w:pPr>
    </w:p>
    <w:p w:rsidR="00DF695B" w:rsidRDefault="00645EAA">
      <w:pPr>
        <w:pStyle w:val="BodyText"/>
        <w:ind w:left="140" w:right="1438"/>
        <w:jc w:val="both"/>
      </w:pPr>
      <w:r>
        <w:t xml:space="preserve">As a category, </w:t>
      </w:r>
      <w:r>
        <w:t>solar lamps were present in fewer than 1 per cent of the 225 million households in India. The potential, Mukherji believed, was 40 times larger.</w:t>
      </w:r>
    </w:p>
    <w:p w:rsidR="00DF695B" w:rsidRDefault="00DF695B">
      <w:pPr>
        <w:pStyle w:val="BodyText"/>
        <w:spacing w:before="11"/>
        <w:rPr>
          <w:sz w:val="21"/>
        </w:rPr>
      </w:pPr>
    </w:p>
    <w:p w:rsidR="00DF695B" w:rsidRDefault="00645EAA">
      <w:pPr>
        <w:pStyle w:val="BodyText"/>
        <w:ind w:left="139" w:right="1436"/>
        <w:jc w:val="both"/>
      </w:pPr>
      <w:r>
        <w:t>Category creation involved two activities: building an infrastructure for physical distribution and promoting the product. After-sales service, which was usually the third activity in the creation of a category, was not as important, given the durability a</w:t>
      </w:r>
      <w:r>
        <w:t xml:space="preserve">nd reliability of </w:t>
      </w:r>
      <w:proofErr w:type="spellStart"/>
      <w:proofErr w:type="gramStart"/>
      <w:r>
        <w:t>d.light’s</w:t>
      </w:r>
      <w:proofErr w:type="spellEnd"/>
      <w:proofErr w:type="gramEnd"/>
      <w:r>
        <w:t xml:space="preserve"> solar lamps. Service consisted of processing a warranty claim.</w:t>
      </w:r>
    </w:p>
    <w:p w:rsidR="00DF695B" w:rsidRDefault="00DF695B">
      <w:pPr>
        <w:pStyle w:val="BodyText"/>
        <w:spacing w:before="11"/>
        <w:rPr>
          <w:sz w:val="21"/>
        </w:rPr>
      </w:pPr>
    </w:p>
    <w:p w:rsidR="00DF695B" w:rsidRDefault="00645EAA">
      <w:pPr>
        <w:pStyle w:val="BodyText"/>
        <w:ind w:left="139" w:right="1432"/>
        <w:jc w:val="both"/>
      </w:pPr>
      <w:r>
        <w:t>Distribution was crucial because the solar lamp was a mass-market product. It was only through large volume sales that the product could be profitable. Demand was p</w:t>
      </w:r>
      <w:r>
        <w:t xml:space="preserve">rice-elastic. For the end-user, the cost of purchase was high in relation to the typical income. Solar lamps had a higher initial cost than their substitutes, although their running costs were lower in the long run (see Exhibit 6). But it was no </w:t>
      </w:r>
      <w:proofErr w:type="gramStart"/>
      <w:r>
        <w:t>easy  task</w:t>
      </w:r>
      <w:proofErr w:type="gramEnd"/>
      <w:r>
        <w:t xml:space="preserve"> to convince consumers at the BOP to spend more </w:t>
      </w:r>
      <w:r>
        <w:rPr>
          <w:i/>
        </w:rPr>
        <w:t xml:space="preserve">now </w:t>
      </w:r>
      <w:r>
        <w:t>in order to save on the lifetime value of the product. Lack of affordability was one of the main obstacles in product adoption. Credit financing was common for consumer durables in India but was largely c</w:t>
      </w:r>
      <w:r>
        <w:t>onfined to urban areas and to salaried employees who earned regular incomes. Credit schemes, where they existed, were operated by retailers in association with finance companies, rather than by</w:t>
      </w:r>
      <w:r>
        <w:rPr>
          <w:spacing w:val="-7"/>
        </w:rPr>
        <w:t xml:space="preserve"> </w:t>
      </w:r>
      <w:r>
        <w:t>manufacturers.</w:t>
      </w:r>
    </w:p>
    <w:p w:rsidR="00DF695B" w:rsidRDefault="00DF695B">
      <w:pPr>
        <w:pStyle w:val="BodyText"/>
        <w:spacing w:before="11"/>
        <w:rPr>
          <w:sz w:val="21"/>
        </w:rPr>
      </w:pPr>
    </w:p>
    <w:p w:rsidR="00DF695B" w:rsidRDefault="00645EAA">
      <w:pPr>
        <w:pStyle w:val="BodyText"/>
        <w:ind w:left="139" w:right="1436"/>
        <w:jc w:val="both"/>
      </w:pPr>
      <w:r>
        <w:t xml:space="preserve">In Sub-Saharan Africa, </w:t>
      </w:r>
      <w:proofErr w:type="spellStart"/>
      <w:proofErr w:type="gramStart"/>
      <w:r>
        <w:t>d.light</w:t>
      </w:r>
      <w:proofErr w:type="spellEnd"/>
      <w:proofErr w:type="gramEnd"/>
      <w:r>
        <w:t xml:space="preserve"> had established</w:t>
      </w:r>
      <w:r>
        <w:t xml:space="preserve"> a partnership with MKOPA, an energy retailer that sold solar home systems. Mobile banking had not yet developed in India to a degree it had developed in such countries as Kenya. In any event, Mukherji felt that a financing option for the purchase of a sol</w:t>
      </w:r>
      <w:r>
        <w:t xml:space="preserve">ar lamp would </w:t>
      </w:r>
      <w:r>
        <w:rPr>
          <w:i/>
        </w:rPr>
        <w:t xml:space="preserve">accelerate </w:t>
      </w:r>
      <w:r>
        <w:t xml:space="preserve">demand, but </w:t>
      </w:r>
      <w:r>
        <w:rPr>
          <w:i/>
        </w:rPr>
        <w:t xml:space="preserve">creating </w:t>
      </w:r>
      <w:r>
        <w:t>demand would still require a deep distribution network and mass- market promotion.</w:t>
      </w:r>
    </w:p>
    <w:p w:rsidR="00DF695B" w:rsidRDefault="00645EAA">
      <w:pPr>
        <w:pStyle w:val="BodyText"/>
        <w:spacing w:before="6"/>
        <w:rPr>
          <w:sz w:val="14"/>
        </w:rPr>
      </w:pPr>
      <w:r>
        <w:pict>
          <v:line id="_x0000_s1047" style="position:absolute;z-index:-251641856;mso-wrap-distance-left:0;mso-wrap-distance-right:0;mso-position-horizontal-relative:page" from="1in,10.55pt" to="3in,10.55pt" strokeweight=".16969mm">
            <w10:wrap type="topAndBottom" anchorx="page"/>
          </v:line>
        </w:pict>
      </w:r>
    </w:p>
    <w:p w:rsidR="00DF695B" w:rsidRDefault="00645EAA">
      <w:pPr>
        <w:tabs>
          <w:tab w:val="left" w:pos="1066"/>
          <w:tab w:val="left" w:pos="2091"/>
          <w:tab w:val="left" w:pos="2539"/>
          <w:tab w:val="left" w:pos="3329"/>
          <w:tab w:val="left" w:pos="4080"/>
          <w:tab w:val="left" w:pos="4774"/>
          <w:tab w:val="left" w:pos="5158"/>
          <w:tab w:val="left" w:pos="5938"/>
          <w:tab w:val="left" w:pos="6632"/>
          <w:tab w:val="left" w:pos="7016"/>
          <w:tab w:val="left" w:pos="8369"/>
          <w:tab w:val="left" w:pos="9065"/>
        </w:tabs>
        <w:spacing w:before="35"/>
        <w:ind w:left="140" w:right="1438" w:hanging="1"/>
        <w:rPr>
          <w:rFonts w:ascii="Arial" w:hAnsi="Arial"/>
          <w:i/>
          <w:sz w:val="17"/>
        </w:rPr>
      </w:pPr>
      <w:bookmarkStart w:id="13" w:name="_bookmark13"/>
      <w:bookmarkEnd w:id="13"/>
      <w:r>
        <w:rPr>
          <w:rFonts w:ascii="Arial" w:hAnsi="Arial"/>
          <w:i/>
          <w:position w:val="8"/>
          <w:sz w:val="11"/>
        </w:rPr>
        <w:t xml:space="preserve">14    </w:t>
      </w:r>
      <w:r>
        <w:rPr>
          <w:rFonts w:ascii="Arial" w:hAnsi="Arial"/>
          <w:i/>
          <w:spacing w:val="8"/>
          <w:position w:val="8"/>
          <w:sz w:val="11"/>
        </w:rPr>
        <w:t xml:space="preserve"> </w:t>
      </w:r>
      <w:r>
        <w:rPr>
          <w:rFonts w:ascii="Arial" w:hAnsi="Arial"/>
          <w:i/>
          <w:sz w:val="17"/>
        </w:rPr>
        <w:t>Abu</w:t>
      </w:r>
      <w:r>
        <w:rPr>
          <w:rFonts w:ascii="Arial" w:hAnsi="Arial"/>
          <w:i/>
          <w:sz w:val="17"/>
        </w:rPr>
        <w:tab/>
      </w:r>
      <w:proofErr w:type="spellStart"/>
      <w:r>
        <w:rPr>
          <w:rFonts w:ascii="Arial" w:hAnsi="Arial"/>
          <w:i/>
          <w:sz w:val="17"/>
        </w:rPr>
        <w:t>Hasheem</w:t>
      </w:r>
      <w:proofErr w:type="spellEnd"/>
      <w:r>
        <w:rPr>
          <w:rFonts w:ascii="Arial" w:hAnsi="Arial"/>
          <w:i/>
          <w:sz w:val="17"/>
        </w:rPr>
        <w:t>,</w:t>
      </w:r>
      <w:r>
        <w:rPr>
          <w:rFonts w:ascii="Arial" w:hAnsi="Arial"/>
          <w:i/>
          <w:sz w:val="17"/>
        </w:rPr>
        <w:tab/>
        <w:t>“In</w:t>
      </w:r>
      <w:r>
        <w:rPr>
          <w:rFonts w:ascii="Arial" w:hAnsi="Arial"/>
          <w:i/>
          <w:sz w:val="17"/>
        </w:rPr>
        <w:tab/>
        <w:t>Sudan,</w:t>
      </w:r>
      <w:r>
        <w:rPr>
          <w:rFonts w:ascii="Arial" w:hAnsi="Arial"/>
          <w:i/>
          <w:sz w:val="17"/>
        </w:rPr>
        <w:tab/>
        <w:t>Where</w:t>
      </w:r>
      <w:r>
        <w:rPr>
          <w:rFonts w:ascii="Arial" w:hAnsi="Arial"/>
          <w:i/>
          <w:sz w:val="17"/>
        </w:rPr>
        <w:tab/>
        <w:t>There</w:t>
      </w:r>
      <w:r>
        <w:rPr>
          <w:rFonts w:ascii="Arial" w:hAnsi="Arial"/>
          <w:i/>
          <w:sz w:val="17"/>
        </w:rPr>
        <w:tab/>
        <w:t>Is</w:t>
      </w:r>
      <w:r>
        <w:rPr>
          <w:rFonts w:ascii="Arial" w:hAnsi="Arial"/>
          <w:i/>
          <w:sz w:val="17"/>
        </w:rPr>
        <w:tab/>
        <w:t>Power,</w:t>
      </w:r>
      <w:r>
        <w:rPr>
          <w:rFonts w:ascii="Arial" w:hAnsi="Arial"/>
          <w:i/>
          <w:sz w:val="17"/>
        </w:rPr>
        <w:tab/>
        <w:t>There</w:t>
      </w:r>
      <w:r>
        <w:rPr>
          <w:rFonts w:ascii="Arial" w:hAnsi="Arial"/>
          <w:i/>
          <w:sz w:val="17"/>
        </w:rPr>
        <w:tab/>
        <w:t>Is</w:t>
      </w:r>
      <w:r>
        <w:rPr>
          <w:rFonts w:ascii="Arial" w:hAnsi="Arial"/>
          <w:i/>
          <w:sz w:val="17"/>
        </w:rPr>
        <w:tab/>
        <w:t>Development,”</w:t>
      </w:r>
      <w:r>
        <w:rPr>
          <w:rFonts w:ascii="Arial" w:hAnsi="Arial"/>
          <w:i/>
          <w:sz w:val="17"/>
        </w:rPr>
        <w:tab/>
        <w:t>World</w:t>
      </w:r>
      <w:r>
        <w:rPr>
          <w:rFonts w:ascii="Arial" w:hAnsi="Arial"/>
          <w:i/>
          <w:sz w:val="17"/>
        </w:rPr>
        <w:tab/>
      </w:r>
      <w:r>
        <w:rPr>
          <w:rFonts w:ascii="Arial" w:hAnsi="Arial"/>
          <w:i/>
          <w:spacing w:val="-1"/>
          <w:sz w:val="17"/>
        </w:rPr>
        <w:t xml:space="preserve">Bank, </w:t>
      </w:r>
      <w:r>
        <w:rPr>
          <w:rFonts w:ascii="Arial" w:hAnsi="Arial"/>
          <w:i/>
          <w:sz w:val="17"/>
        </w:rPr>
        <w:t>http://web.worldbank.org/WBSITE/EXTERNAL/COUNTRIES/AFRICAEXT/0,,contentMDK:22826981~menuPK:2246551~pa gePK:2865106~piPK:2865128~theSitePK:</w:t>
      </w:r>
      <w:proofErr w:type="gramStart"/>
      <w:r>
        <w:rPr>
          <w:rFonts w:ascii="Arial" w:hAnsi="Arial"/>
          <w:i/>
          <w:sz w:val="17"/>
        </w:rPr>
        <w:t>258644,00.html</w:t>
      </w:r>
      <w:proofErr w:type="gramEnd"/>
      <w:r>
        <w:rPr>
          <w:rFonts w:ascii="Arial" w:hAnsi="Arial"/>
          <w:i/>
          <w:sz w:val="17"/>
        </w:rPr>
        <w:t>, accessed February 22,</w:t>
      </w:r>
      <w:r>
        <w:rPr>
          <w:rFonts w:ascii="Arial" w:hAnsi="Arial"/>
          <w:i/>
          <w:spacing w:val="-1"/>
          <w:sz w:val="17"/>
        </w:rPr>
        <w:t xml:space="preserve"> </w:t>
      </w:r>
      <w:r>
        <w:rPr>
          <w:rFonts w:ascii="Arial" w:hAnsi="Arial"/>
          <w:i/>
          <w:sz w:val="17"/>
        </w:rPr>
        <w:t>2014.</w:t>
      </w:r>
    </w:p>
    <w:p w:rsidR="00DF695B" w:rsidRDefault="00645EAA">
      <w:pPr>
        <w:spacing w:before="1" w:line="196" w:lineRule="exact"/>
        <w:ind w:left="140" w:right="1433" w:hanging="1"/>
        <w:jc w:val="both"/>
        <w:rPr>
          <w:rFonts w:ascii="Arial" w:hAnsi="Arial"/>
          <w:i/>
          <w:sz w:val="17"/>
        </w:rPr>
      </w:pPr>
      <w:bookmarkStart w:id="14" w:name="_bookmark14"/>
      <w:bookmarkEnd w:id="14"/>
      <w:r>
        <w:rPr>
          <w:rFonts w:ascii="Arial" w:hAnsi="Arial"/>
          <w:i/>
          <w:position w:val="8"/>
          <w:sz w:val="11"/>
        </w:rPr>
        <w:t xml:space="preserve">15 </w:t>
      </w:r>
      <w:r>
        <w:rPr>
          <w:rFonts w:ascii="Arial" w:hAnsi="Arial"/>
          <w:i/>
          <w:sz w:val="17"/>
        </w:rPr>
        <w:t>United Nations Framework Convention on Climate Change, “Solar Sister: A</w:t>
      </w:r>
      <w:r>
        <w:rPr>
          <w:rFonts w:ascii="Arial" w:hAnsi="Arial"/>
          <w:i/>
          <w:sz w:val="17"/>
        </w:rPr>
        <w:t xml:space="preserve"> Women Powered Clean Energy Revolution,” </w:t>
      </w:r>
      <w:hyperlink r:id="rId20">
        <w:r>
          <w:rPr>
            <w:rFonts w:ascii="Arial" w:hAnsi="Arial"/>
            <w:i/>
            <w:sz w:val="17"/>
          </w:rPr>
          <w:t xml:space="preserve">https://unfccc.int/secretariat/momentum_for_change/items/7072.php, accessed March 1, </w:t>
        </w:r>
      </w:hyperlink>
      <w:r>
        <w:rPr>
          <w:rFonts w:ascii="Arial" w:hAnsi="Arial"/>
          <w:i/>
          <w:sz w:val="17"/>
        </w:rPr>
        <w:t>2014.</w:t>
      </w:r>
    </w:p>
    <w:p w:rsidR="00DF695B" w:rsidRDefault="00DF695B">
      <w:pPr>
        <w:spacing w:line="196" w:lineRule="exact"/>
        <w:jc w:val="both"/>
        <w:rPr>
          <w:rFonts w:ascii="Arial" w:hAnsi="Arial"/>
          <w:sz w:val="17"/>
        </w:rPr>
        <w:sectPr w:rsidR="00DF695B">
          <w:pgSz w:w="12240" w:h="15840"/>
          <w:pgMar w:top="1360" w:right="0" w:bottom="280" w:left="1300" w:header="1082" w:footer="0" w:gutter="0"/>
          <w:cols w:space="720"/>
        </w:sectPr>
      </w:pPr>
    </w:p>
    <w:p w:rsidR="00DF695B" w:rsidRDefault="00DF695B">
      <w:pPr>
        <w:pStyle w:val="BodyText"/>
        <w:spacing w:before="4"/>
        <w:rPr>
          <w:rFonts w:ascii="Arial"/>
          <w:i/>
          <w:sz w:val="27"/>
        </w:rPr>
      </w:pPr>
    </w:p>
    <w:p w:rsidR="00DF695B" w:rsidRDefault="00645EAA">
      <w:pPr>
        <w:pStyle w:val="BodyText"/>
        <w:spacing w:before="92"/>
        <w:ind w:left="139" w:right="1435"/>
        <w:jc w:val="both"/>
      </w:pPr>
      <w:r>
        <w:t xml:space="preserve">Relative to its local competitors, </w:t>
      </w:r>
      <w:proofErr w:type="spellStart"/>
      <w:proofErr w:type="gramStart"/>
      <w:r>
        <w:t>d.light</w:t>
      </w:r>
      <w:proofErr w:type="spellEnd"/>
      <w:proofErr w:type="gramEnd"/>
      <w:r>
        <w:t xml:space="preserve"> saw its distribution network as an advantage. The limitation was that the distributor partners did not promote the product because the solar lamp was not part of their core offerings, and its contribution to the</w:t>
      </w:r>
      <w:r>
        <w:t>ir own overall revenue was relatively low.</w:t>
      </w:r>
    </w:p>
    <w:p w:rsidR="00DF695B" w:rsidRDefault="00DF695B">
      <w:pPr>
        <w:pStyle w:val="BodyText"/>
      </w:pPr>
    </w:p>
    <w:p w:rsidR="00DF695B" w:rsidRDefault="00645EAA">
      <w:pPr>
        <w:pStyle w:val="BodyText"/>
        <w:spacing w:before="1"/>
        <w:ind w:left="139" w:right="1435"/>
        <w:jc w:val="both"/>
      </w:pPr>
      <w:r>
        <w:t xml:space="preserve">Advertising and sales promotion costs represented between 3 and 4 per cent of </w:t>
      </w:r>
      <w:proofErr w:type="spellStart"/>
      <w:proofErr w:type="gramStart"/>
      <w:r>
        <w:t>d.light’s</w:t>
      </w:r>
      <w:proofErr w:type="spellEnd"/>
      <w:proofErr w:type="gramEnd"/>
      <w:r>
        <w:t xml:space="preserve"> revenue. Although the company had increased the outlay to 6 per cent of its revenue in 2013, it continued to face several challenges in creating awareness. Like consume</w:t>
      </w:r>
      <w:r>
        <w:t xml:space="preserve">rs everywhere, Indians were comfortable in their routines and habits. They were risk-averse and would not easily switch to novel products. Most of what they bought regularly were daily or weekly “refills” of staple categories. Stores in rural India </w:t>
      </w:r>
      <w:proofErr w:type="gramStart"/>
      <w:r>
        <w:t>stocked</w:t>
      </w:r>
      <w:r>
        <w:t xml:space="preserve">  tried</w:t>
      </w:r>
      <w:proofErr w:type="gramEnd"/>
      <w:r>
        <w:t xml:space="preserve"> and tested products that had a track record of being sure-sells. Indeed, given their limited working capital, many Indian consumers could not afford to take a chance by purchasing a novelty item. Still, Mukherji noted:</w:t>
      </w:r>
    </w:p>
    <w:p w:rsidR="00DF695B" w:rsidRDefault="00DF695B">
      <w:pPr>
        <w:pStyle w:val="BodyText"/>
        <w:spacing w:before="9"/>
        <w:rPr>
          <w:sz w:val="21"/>
        </w:rPr>
      </w:pPr>
    </w:p>
    <w:p w:rsidR="00DF695B" w:rsidRDefault="00645EAA">
      <w:pPr>
        <w:pStyle w:val="BodyText"/>
        <w:ind w:left="859" w:right="1435"/>
        <w:jc w:val="both"/>
      </w:pPr>
      <w:r>
        <w:t>The success of mobile phones</w:t>
      </w:r>
      <w:r>
        <w:t xml:space="preserve"> is an indication that customers in the BOP market are receptive to new categories. Technology is not a deterrent for them, in spite of lack of formal education. Consumers intuitively understand the benefits of a new technology and are quick to adopt it if</w:t>
      </w:r>
      <w:r>
        <w:t xml:space="preserve"> they see value. </w:t>
      </w:r>
      <w:proofErr w:type="spellStart"/>
      <w:r>
        <w:t>d.light</w:t>
      </w:r>
      <w:proofErr w:type="spellEnd"/>
      <w:r>
        <w:t xml:space="preserve"> has been innovative in product design. It has been innovative in its distribution model. How do we now crack the code in creating the solar lamp category? A </w:t>
      </w:r>
      <w:proofErr w:type="gramStart"/>
      <w:r>
        <w:t>first time</w:t>
      </w:r>
      <w:proofErr w:type="gramEnd"/>
      <w:r>
        <w:t xml:space="preserve"> product needs a change in consumer behavior, a buzz, to get sta</w:t>
      </w:r>
      <w:r>
        <w:t>rted. How do we create that buzz in India? Social media is a powerful instrument but rural India is not yet amenable to</w:t>
      </w:r>
      <w:r>
        <w:rPr>
          <w:spacing w:val="-19"/>
        </w:rPr>
        <w:t xml:space="preserve"> </w:t>
      </w:r>
      <w:r>
        <w:t>it.</w:t>
      </w:r>
    </w:p>
    <w:p w:rsidR="00DF695B" w:rsidRDefault="00DF695B">
      <w:pPr>
        <w:pStyle w:val="BodyText"/>
        <w:rPr>
          <w:sz w:val="24"/>
        </w:rPr>
      </w:pPr>
    </w:p>
    <w:p w:rsidR="00DF695B" w:rsidRDefault="00DF695B">
      <w:pPr>
        <w:pStyle w:val="BodyText"/>
        <w:spacing w:before="2"/>
        <w:rPr>
          <w:sz w:val="20"/>
        </w:rPr>
      </w:pPr>
    </w:p>
    <w:p w:rsidR="00DF695B" w:rsidRDefault="00645EAA">
      <w:pPr>
        <w:ind w:left="140"/>
        <w:jc w:val="both"/>
        <w:rPr>
          <w:rFonts w:ascii="Arial"/>
          <w:b/>
          <w:sz w:val="20"/>
        </w:rPr>
      </w:pPr>
      <w:r>
        <w:rPr>
          <w:rFonts w:ascii="Arial"/>
          <w:b/>
          <w:sz w:val="20"/>
        </w:rPr>
        <w:t>Making the Brand Synonymous with the Category</w:t>
      </w:r>
    </w:p>
    <w:p w:rsidR="00DF695B" w:rsidRDefault="00DF695B">
      <w:pPr>
        <w:pStyle w:val="BodyText"/>
        <w:spacing w:before="10"/>
        <w:rPr>
          <w:rFonts w:ascii="Arial"/>
          <w:b/>
          <w:sz w:val="21"/>
        </w:rPr>
      </w:pPr>
    </w:p>
    <w:p w:rsidR="00DF695B" w:rsidRDefault="00645EAA">
      <w:pPr>
        <w:pStyle w:val="BodyText"/>
        <w:ind w:left="139" w:right="1434"/>
        <w:jc w:val="both"/>
      </w:pPr>
      <w:r>
        <w:t>Leading multinationals — such as Philips and Panasonic — had recently entered the s</w:t>
      </w:r>
      <w:r>
        <w:t>olar lamps market in India. Their brands were well known worldwide, even in the BOP markets. But solar lamps were a very small part of their product portfolio. These multinational companies were in the same league as home- grown power companies, such as Ta</w:t>
      </w:r>
      <w:r>
        <w:t>ta and Reliance, which had added solar products to their</w:t>
      </w:r>
      <w:r>
        <w:rPr>
          <w:spacing w:val="-23"/>
        </w:rPr>
        <w:t xml:space="preserve"> </w:t>
      </w:r>
      <w:r>
        <w:t>portfolio.</w:t>
      </w:r>
    </w:p>
    <w:p w:rsidR="00DF695B" w:rsidRDefault="00DF695B">
      <w:pPr>
        <w:pStyle w:val="BodyText"/>
      </w:pPr>
    </w:p>
    <w:p w:rsidR="00DF695B" w:rsidRDefault="00645EAA">
      <w:pPr>
        <w:pStyle w:val="BodyText"/>
        <w:ind w:left="139" w:right="1435"/>
        <w:jc w:val="both"/>
      </w:pPr>
      <w:r>
        <w:t xml:space="preserve">It first-mover status gave </w:t>
      </w:r>
      <w:proofErr w:type="spellStart"/>
      <w:proofErr w:type="gramStart"/>
      <w:r>
        <w:t>d.light</w:t>
      </w:r>
      <w:proofErr w:type="spellEnd"/>
      <w:proofErr w:type="gramEnd"/>
      <w:r>
        <w:t xml:space="preserve"> a lead, but that lead would make the </w:t>
      </w:r>
      <w:proofErr w:type="spellStart"/>
      <w:r>
        <w:t>d.light</w:t>
      </w:r>
      <w:proofErr w:type="spellEnd"/>
      <w:r>
        <w:t xml:space="preserve"> brand synonymous with the category only if it could achieve mass-market penetration. Mukherji believed it was necessary to create an emotional connection between the brand and </w:t>
      </w:r>
      <w:r>
        <w:t xml:space="preserve">the target customers. One way to do this was by communicating real-life stories of consumers whose lives had been transformed by </w:t>
      </w:r>
      <w:proofErr w:type="spellStart"/>
      <w:proofErr w:type="gramStart"/>
      <w:r>
        <w:t>d.light’s</w:t>
      </w:r>
      <w:proofErr w:type="spellEnd"/>
      <w:proofErr w:type="gramEnd"/>
      <w:r>
        <w:t xml:space="preserve"> product. To build the brand, </w:t>
      </w:r>
      <w:proofErr w:type="spellStart"/>
      <w:proofErr w:type="gramStart"/>
      <w:r>
        <w:t>d.light</w:t>
      </w:r>
      <w:proofErr w:type="spellEnd"/>
      <w:proofErr w:type="gramEnd"/>
      <w:r>
        <w:t xml:space="preserve"> had the option of using “above-the-line” media (e.g., </w:t>
      </w:r>
      <w:r>
        <w:rPr>
          <w:color w:val="090909"/>
        </w:rPr>
        <w:t>radio, television, billboa</w:t>
      </w:r>
      <w:r>
        <w:rPr>
          <w:color w:val="090909"/>
        </w:rPr>
        <w:t xml:space="preserve">rds, print, film and the Internet) or “below-the-line” media (e.g., direct-mail campaigns, trade shows and catalogues). The former would not reach the BOP consumers, and the latter would be expensive. </w:t>
      </w:r>
      <w:r>
        <w:t>Said Mukherji:</w:t>
      </w:r>
    </w:p>
    <w:p w:rsidR="00DF695B" w:rsidRDefault="00DF695B">
      <w:pPr>
        <w:pStyle w:val="BodyText"/>
        <w:spacing w:before="1"/>
      </w:pPr>
    </w:p>
    <w:p w:rsidR="00DF695B" w:rsidRDefault="00645EAA">
      <w:pPr>
        <w:pStyle w:val="BodyText"/>
        <w:ind w:left="859" w:right="1438"/>
        <w:jc w:val="both"/>
      </w:pPr>
      <w:r>
        <w:t>Our competitor is kerosene. We have a d</w:t>
      </w:r>
      <w:r>
        <w:t>ilemma in developing the competitive messaging for solar lamps. What should we focus on — the positive elements of the solar lamp or the negative elements of kerosene? The latter comes up regularly as a pain point in our one-on-one interactions with consum</w:t>
      </w:r>
      <w:r>
        <w:t>ers. It resonates with them. Should we therefore address it</w:t>
      </w:r>
      <w:r>
        <w:rPr>
          <w:spacing w:val="-19"/>
        </w:rPr>
        <w:t xml:space="preserve"> </w:t>
      </w:r>
      <w:r>
        <w:t>head-on?</w:t>
      </w:r>
    </w:p>
    <w:p w:rsidR="00DF695B" w:rsidRDefault="00DF695B">
      <w:pPr>
        <w:pStyle w:val="BodyText"/>
        <w:rPr>
          <w:sz w:val="24"/>
        </w:rPr>
      </w:pPr>
    </w:p>
    <w:p w:rsidR="00DF695B" w:rsidRDefault="00DF695B">
      <w:pPr>
        <w:pStyle w:val="BodyText"/>
        <w:spacing w:before="2"/>
        <w:rPr>
          <w:sz w:val="20"/>
        </w:rPr>
      </w:pPr>
    </w:p>
    <w:p w:rsidR="00DF695B" w:rsidRDefault="00645EAA">
      <w:pPr>
        <w:ind w:left="140"/>
        <w:jc w:val="both"/>
        <w:rPr>
          <w:rFonts w:ascii="Arial"/>
          <w:b/>
          <w:sz w:val="20"/>
        </w:rPr>
      </w:pPr>
      <w:r>
        <w:rPr>
          <w:rFonts w:ascii="Arial"/>
          <w:b/>
          <w:sz w:val="20"/>
        </w:rPr>
        <w:t>Improving Channel Productivity</w:t>
      </w:r>
    </w:p>
    <w:p w:rsidR="00DF695B" w:rsidRDefault="00DF695B">
      <w:pPr>
        <w:pStyle w:val="BodyText"/>
        <w:spacing w:before="10"/>
        <w:rPr>
          <w:rFonts w:ascii="Arial"/>
          <w:b/>
          <w:sz w:val="21"/>
        </w:rPr>
      </w:pPr>
    </w:p>
    <w:p w:rsidR="00DF695B" w:rsidRDefault="00645EAA">
      <w:pPr>
        <w:pStyle w:val="BodyText"/>
        <w:ind w:left="140" w:right="1434" w:hanging="1"/>
        <w:jc w:val="both"/>
      </w:pPr>
      <w:r>
        <w:t xml:space="preserve">In 2013, </w:t>
      </w:r>
      <w:proofErr w:type="spellStart"/>
      <w:proofErr w:type="gramStart"/>
      <w:r>
        <w:t>d.light</w:t>
      </w:r>
      <w:proofErr w:type="spellEnd"/>
      <w:proofErr w:type="gramEnd"/>
      <w:r>
        <w:t xml:space="preserve"> sold a total of 1.7 million solar lamps: 200,000 through post offices, 400,000 through CSCs, 800,000 through LPG distributors and 300,000 through general retailers. The company believed it could improve sales in each of the channels by aim</w:t>
      </w:r>
      <w:r>
        <w:t xml:space="preserve">ing at strengthening </w:t>
      </w:r>
      <w:proofErr w:type="spellStart"/>
      <w:proofErr w:type="gramStart"/>
      <w:r>
        <w:t>d.light’s</w:t>
      </w:r>
      <w:proofErr w:type="spellEnd"/>
      <w:proofErr w:type="gramEnd"/>
      <w:r>
        <w:t xml:space="preserve"> competitive advantage. Said Mukherji:</w:t>
      </w:r>
    </w:p>
    <w:p w:rsidR="00DF695B" w:rsidRDefault="00DF695B">
      <w:pPr>
        <w:jc w:val="both"/>
        <w:sectPr w:rsidR="00DF695B">
          <w:pgSz w:w="12240" w:h="15840"/>
          <w:pgMar w:top="1360" w:right="0" w:bottom="280" w:left="1300" w:header="1082" w:footer="0" w:gutter="0"/>
          <w:cols w:space="720"/>
        </w:sectPr>
      </w:pPr>
    </w:p>
    <w:p w:rsidR="00DF695B" w:rsidRDefault="00DF695B">
      <w:pPr>
        <w:pStyle w:val="BodyText"/>
        <w:spacing w:before="4"/>
        <w:rPr>
          <w:sz w:val="27"/>
        </w:rPr>
      </w:pPr>
    </w:p>
    <w:p w:rsidR="00DF695B" w:rsidRDefault="00645EAA">
      <w:pPr>
        <w:pStyle w:val="BodyText"/>
        <w:spacing w:before="92"/>
        <w:ind w:left="860" w:right="1432"/>
        <w:jc w:val="both"/>
      </w:pPr>
      <w:r>
        <w:t xml:space="preserve">Our partners give us the benefit of reach. They also give us the benefit of their own credibility with their customers. But selling solar lamps is not their core activity. </w:t>
      </w:r>
      <w:r>
        <w:t>It is unrelated to what they do. It is also a minor part of their income. How do we keep the staff at our distributor channels motivated? How we generate a higher share of their attention? We can’t really incentivize them because we don’t employ them.</w:t>
      </w:r>
    </w:p>
    <w:p w:rsidR="00DF695B" w:rsidRDefault="00DF695B">
      <w:pPr>
        <w:pStyle w:val="BodyText"/>
        <w:spacing w:before="1"/>
      </w:pPr>
    </w:p>
    <w:p w:rsidR="00DF695B" w:rsidRDefault="00645EAA">
      <w:pPr>
        <w:pStyle w:val="BodyText"/>
        <w:ind w:left="139" w:right="1436"/>
        <w:jc w:val="both"/>
      </w:pPr>
      <w:r>
        <w:t xml:space="preserve">Overall, Mukherji believed that </w:t>
      </w:r>
      <w:proofErr w:type="spellStart"/>
      <w:proofErr w:type="gramStart"/>
      <w:r>
        <w:t>d.Light</w:t>
      </w:r>
      <w:proofErr w:type="spellEnd"/>
      <w:proofErr w:type="gramEnd"/>
      <w:r>
        <w:t xml:space="preserve"> had achieved much progress. Althou</w:t>
      </w:r>
      <w:r>
        <w:t xml:space="preserve">gh most of the potential of solar lamps for BOP customers had yet to be realized, the future for </w:t>
      </w:r>
      <w:proofErr w:type="spellStart"/>
      <w:proofErr w:type="gramStart"/>
      <w:r>
        <w:t>d.light</w:t>
      </w:r>
      <w:proofErr w:type="spellEnd"/>
      <w:proofErr w:type="gramEnd"/>
      <w:r>
        <w:t xml:space="preserve"> and for providing solar- powered light to BOP populations continued to be bright.</w:t>
      </w:r>
    </w:p>
    <w:p w:rsidR="00DF695B" w:rsidRDefault="00DF695B">
      <w:pPr>
        <w:jc w:val="both"/>
        <w:sectPr w:rsidR="00DF695B">
          <w:pgSz w:w="12240" w:h="15840"/>
          <w:pgMar w:top="1360" w:right="0" w:bottom="280" w:left="1300" w:header="1082" w:footer="0" w:gutter="0"/>
          <w:cols w:space="720"/>
        </w:sectPr>
      </w:pPr>
    </w:p>
    <w:p w:rsidR="00DF695B" w:rsidRDefault="00DF695B">
      <w:pPr>
        <w:pStyle w:val="BodyText"/>
        <w:spacing w:before="4"/>
        <w:rPr>
          <w:sz w:val="27"/>
        </w:rPr>
      </w:pPr>
    </w:p>
    <w:p w:rsidR="00DF695B" w:rsidRDefault="00645EAA">
      <w:pPr>
        <w:spacing w:before="93"/>
        <w:ind w:left="442"/>
        <w:rPr>
          <w:rFonts w:ascii="Arial" w:hAnsi="Arial"/>
          <w:b/>
          <w:sz w:val="20"/>
        </w:rPr>
      </w:pPr>
      <w:r>
        <w:rPr>
          <w:rFonts w:ascii="Arial" w:hAnsi="Arial"/>
          <w:b/>
          <w:sz w:val="20"/>
        </w:rPr>
        <w:t xml:space="preserve">EXHIBIT 1: SOLAR LAMP MARKET IN INDIA AND </w:t>
      </w:r>
      <w:proofErr w:type="gramStart"/>
      <w:r>
        <w:rPr>
          <w:rFonts w:ascii="Arial" w:hAnsi="Arial"/>
          <w:b/>
          <w:sz w:val="20"/>
        </w:rPr>
        <w:t>D.LIGHT’S</w:t>
      </w:r>
      <w:proofErr w:type="gramEnd"/>
      <w:r>
        <w:rPr>
          <w:rFonts w:ascii="Arial" w:hAnsi="Arial"/>
          <w:b/>
          <w:sz w:val="20"/>
        </w:rPr>
        <w:t xml:space="preserve"> MA</w:t>
      </w:r>
      <w:r>
        <w:rPr>
          <w:rFonts w:ascii="Arial" w:hAnsi="Arial"/>
          <w:b/>
          <w:sz w:val="20"/>
        </w:rPr>
        <w:t>RKET SHARE, 2008 TO 2013</w:t>
      </w:r>
    </w:p>
    <w:p w:rsidR="00DF695B" w:rsidRDefault="00DF695B">
      <w:pPr>
        <w:pStyle w:val="BodyText"/>
        <w:spacing w:before="4"/>
        <w:rPr>
          <w:rFonts w:ascii="Arial"/>
          <w:b/>
        </w:rPr>
      </w:pPr>
    </w:p>
    <w:tbl>
      <w:tblPr>
        <w:tblW w:w="0" w:type="auto"/>
        <w:tblInd w:w="1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9"/>
        <w:gridCol w:w="1891"/>
        <w:gridCol w:w="2249"/>
        <w:gridCol w:w="2160"/>
        <w:gridCol w:w="2309"/>
      </w:tblGrid>
      <w:tr w:rsidR="00DF695B">
        <w:trPr>
          <w:trHeight w:val="229"/>
        </w:trPr>
        <w:tc>
          <w:tcPr>
            <w:tcW w:w="689" w:type="dxa"/>
            <w:vMerge w:val="restart"/>
          </w:tcPr>
          <w:p w:rsidR="00DF695B" w:rsidRDefault="00645EAA">
            <w:pPr>
              <w:pStyle w:val="TableParagraph"/>
              <w:spacing w:line="229" w:lineRule="exact"/>
              <w:ind w:left="129"/>
              <w:rPr>
                <w:sz w:val="20"/>
              </w:rPr>
            </w:pPr>
            <w:r>
              <w:rPr>
                <w:sz w:val="20"/>
              </w:rPr>
              <w:t>Year</w:t>
            </w:r>
          </w:p>
        </w:tc>
        <w:tc>
          <w:tcPr>
            <w:tcW w:w="4140" w:type="dxa"/>
            <w:gridSpan w:val="2"/>
          </w:tcPr>
          <w:p w:rsidR="00DF695B" w:rsidRDefault="00645EAA">
            <w:pPr>
              <w:pStyle w:val="TableParagraph"/>
              <w:spacing w:line="210" w:lineRule="exact"/>
              <w:ind w:left="1710" w:right="1701"/>
              <w:jc w:val="center"/>
              <w:rPr>
                <w:sz w:val="20"/>
              </w:rPr>
            </w:pPr>
            <w:r>
              <w:rPr>
                <w:sz w:val="20"/>
              </w:rPr>
              <w:t>Volume</w:t>
            </w:r>
          </w:p>
        </w:tc>
        <w:tc>
          <w:tcPr>
            <w:tcW w:w="4469" w:type="dxa"/>
            <w:gridSpan w:val="2"/>
          </w:tcPr>
          <w:p w:rsidR="00DF695B" w:rsidRDefault="00645EAA">
            <w:pPr>
              <w:pStyle w:val="TableParagraph"/>
              <w:spacing w:line="210" w:lineRule="exact"/>
              <w:ind w:left="1955" w:right="1951"/>
              <w:jc w:val="center"/>
              <w:rPr>
                <w:sz w:val="20"/>
              </w:rPr>
            </w:pPr>
            <w:r>
              <w:rPr>
                <w:sz w:val="20"/>
              </w:rPr>
              <w:t>Value</w:t>
            </w:r>
          </w:p>
        </w:tc>
      </w:tr>
      <w:tr w:rsidR="00DF695B">
        <w:trPr>
          <w:trHeight w:val="460"/>
        </w:trPr>
        <w:tc>
          <w:tcPr>
            <w:tcW w:w="689" w:type="dxa"/>
            <w:vMerge/>
            <w:tcBorders>
              <w:top w:val="nil"/>
            </w:tcBorders>
          </w:tcPr>
          <w:p w:rsidR="00DF695B" w:rsidRDefault="00DF695B">
            <w:pPr>
              <w:rPr>
                <w:sz w:val="2"/>
                <w:szCs w:val="2"/>
              </w:rPr>
            </w:pPr>
          </w:p>
        </w:tc>
        <w:tc>
          <w:tcPr>
            <w:tcW w:w="1891" w:type="dxa"/>
          </w:tcPr>
          <w:p w:rsidR="00DF695B" w:rsidRDefault="00645EAA">
            <w:pPr>
              <w:pStyle w:val="TableParagraph"/>
              <w:spacing w:before="4" w:line="228" w:lineRule="exact"/>
              <w:ind w:left="710" w:right="305" w:hanging="377"/>
              <w:rPr>
                <w:sz w:val="20"/>
              </w:rPr>
            </w:pPr>
            <w:r>
              <w:rPr>
                <w:sz w:val="20"/>
              </w:rPr>
              <w:t>All India Units (000)</w:t>
            </w:r>
          </w:p>
        </w:tc>
        <w:tc>
          <w:tcPr>
            <w:tcW w:w="2249" w:type="dxa"/>
          </w:tcPr>
          <w:p w:rsidR="00DF695B" w:rsidRDefault="00645EAA">
            <w:pPr>
              <w:pStyle w:val="TableParagraph"/>
              <w:spacing w:before="4" w:line="228" w:lineRule="exact"/>
              <w:ind w:left="765" w:right="426" w:hanging="317"/>
              <w:rPr>
                <w:sz w:val="20"/>
              </w:rPr>
            </w:pPr>
            <w:proofErr w:type="spellStart"/>
            <w:r>
              <w:rPr>
                <w:sz w:val="20"/>
              </w:rPr>
              <w:t>d.light’s</w:t>
            </w:r>
            <w:proofErr w:type="spellEnd"/>
            <w:r>
              <w:rPr>
                <w:sz w:val="20"/>
              </w:rPr>
              <w:t xml:space="preserve"> Market Share%</w:t>
            </w:r>
          </w:p>
        </w:tc>
        <w:tc>
          <w:tcPr>
            <w:tcW w:w="2160" w:type="dxa"/>
          </w:tcPr>
          <w:p w:rsidR="00DF695B" w:rsidRDefault="00645EAA">
            <w:pPr>
              <w:pStyle w:val="TableParagraph"/>
              <w:spacing w:before="4" w:line="228" w:lineRule="exact"/>
              <w:ind w:left="712" w:right="460" w:hanging="221"/>
              <w:rPr>
                <w:sz w:val="20"/>
              </w:rPr>
            </w:pPr>
            <w:r>
              <w:rPr>
                <w:sz w:val="20"/>
              </w:rPr>
              <w:t>All India (INR millions)</w:t>
            </w:r>
          </w:p>
        </w:tc>
        <w:tc>
          <w:tcPr>
            <w:tcW w:w="2309" w:type="dxa"/>
          </w:tcPr>
          <w:p w:rsidR="00DF695B" w:rsidRDefault="00645EAA">
            <w:pPr>
              <w:pStyle w:val="TableParagraph"/>
              <w:spacing w:before="4" w:line="228" w:lineRule="exact"/>
              <w:ind w:left="813" w:right="425" w:hanging="360"/>
              <w:rPr>
                <w:sz w:val="20"/>
              </w:rPr>
            </w:pPr>
            <w:r>
              <w:rPr>
                <w:sz w:val="20"/>
              </w:rPr>
              <w:t>d. light’s Market share%</w:t>
            </w:r>
          </w:p>
        </w:tc>
      </w:tr>
      <w:tr w:rsidR="00DF695B">
        <w:trPr>
          <w:trHeight w:val="230"/>
        </w:trPr>
        <w:tc>
          <w:tcPr>
            <w:tcW w:w="689" w:type="dxa"/>
            <w:tcBorders>
              <w:bottom w:val="nil"/>
            </w:tcBorders>
          </w:tcPr>
          <w:p w:rsidR="00DF695B" w:rsidRDefault="00645EAA">
            <w:pPr>
              <w:pStyle w:val="TableParagraph"/>
              <w:spacing w:line="211" w:lineRule="exact"/>
              <w:ind w:left="98" w:right="96"/>
              <w:jc w:val="center"/>
              <w:rPr>
                <w:sz w:val="20"/>
              </w:rPr>
            </w:pPr>
            <w:r>
              <w:rPr>
                <w:sz w:val="20"/>
              </w:rPr>
              <w:t>2008</w:t>
            </w:r>
          </w:p>
        </w:tc>
        <w:tc>
          <w:tcPr>
            <w:tcW w:w="1891" w:type="dxa"/>
            <w:tcBorders>
              <w:bottom w:val="nil"/>
            </w:tcBorders>
          </w:tcPr>
          <w:p w:rsidR="00DF695B" w:rsidRDefault="00645EAA">
            <w:pPr>
              <w:pStyle w:val="TableParagraph"/>
              <w:spacing w:line="211" w:lineRule="exact"/>
              <w:ind w:left="0" w:right="984"/>
              <w:jc w:val="right"/>
              <w:rPr>
                <w:sz w:val="20"/>
              </w:rPr>
            </w:pPr>
            <w:r>
              <w:rPr>
                <w:w w:val="95"/>
                <w:sz w:val="20"/>
              </w:rPr>
              <w:t>300</w:t>
            </w:r>
          </w:p>
        </w:tc>
        <w:tc>
          <w:tcPr>
            <w:tcW w:w="2249" w:type="dxa"/>
            <w:tcBorders>
              <w:bottom w:val="nil"/>
            </w:tcBorders>
          </w:tcPr>
          <w:p w:rsidR="00DF695B" w:rsidRDefault="00645EAA">
            <w:pPr>
              <w:pStyle w:val="TableParagraph"/>
              <w:spacing w:line="211" w:lineRule="exact"/>
              <w:ind w:left="1065"/>
              <w:rPr>
                <w:sz w:val="20"/>
              </w:rPr>
            </w:pPr>
            <w:r>
              <w:rPr>
                <w:w w:val="99"/>
                <w:sz w:val="20"/>
              </w:rPr>
              <w:t>–</w:t>
            </w:r>
          </w:p>
        </w:tc>
        <w:tc>
          <w:tcPr>
            <w:tcW w:w="2160" w:type="dxa"/>
            <w:tcBorders>
              <w:bottom w:val="nil"/>
            </w:tcBorders>
          </w:tcPr>
          <w:p w:rsidR="00DF695B" w:rsidRDefault="00645EAA">
            <w:pPr>
              <w:pStyle w:val="TableParagraph"/>
              <w:spacing w:line="211" w:lineRule="exact"/>
              <w:ind w:left="0" w:right="1193"/>
              <w:jc w:val="right"/>
              <w:rPr>
                <w:sz w:val="20"/>
              </w:rPr>
            </w:pPr>
            <w:r>
              <w:rPr>
                <w:w w:val="95"/>
                <w:sz w:val="20"/>
              </w:rPr>
              <w:t>330</w:t>
            </w:r>
          </w:p>
        </w:tc>
        <w:tc>
          <w:tcPr>
            <w:tcW w:w="2309" w:type="dxa"/>
            <w:tcBorders>
              <w:bottom w:val="nil"/>
            </w:tcBorders>
          </w:tcPr>
          <w:p w:rsidR="00DF695B" w:rsidRDefault="00645EAA">
            <w:pPr>
              <w:pStyle w:val="TableParagraph"/>
              <w:spacing w:line="211" w:lineRule="exact"/>
              <w:ind w:left="9"/>
              <w:jc w:val="center"/>
              <w:rPr>
                <w:sz w:val="20"/>
              </w:rPr>
            </w:pPr>
            <w:r>
              <w:rPr>
                <w:w w:val="99"/>
                <w:sz w:val="20"/>
              </w:rPr>
              <w:t>–</w:t>
            </w:r>
          </w:p>
        </w:tc>
      </w:tr>
      <w:tr w:rsidR="00DF695B">
        <w:trPr>
          <w:trHeight w:val="230"/>
        </w:trPr>
        <w:tc>
          <w:tcPr>
            <w:tcW w:w="689" w:type="dxa"/>
            <w:tcBorders>
              <w:top w:val="nil"/>
              <w:bottom w:val="nil"/>
            </w:tcBorders>
          </w:tcPr>
          <w:p w:rsidR="00DF695B" w:rsidRDefault="00645EAA">
            <w:pPr>
              <w:pStyle w:val="TableParagraph"/>
              <w:spacing w:line="210" w:lineRule="exact"/>
              <w:ind w:left="98" w:right="96"/>
              <w:jc w:val="center"/>
              <w:rPr>
                <w:sz w:val="20"/>
              </w:rPr>
            </w:pPr>
            <w:r>
              <w:rPr>
                <w:sz w:val="20"/>
              </w:rPr>
              <w:t>2009</w:t>
            </w:r>
          </w:p>
        </w:tc>
        <w:tc>
          <w:tcPr>
            <w:tcW w:w="1891" w:type="dxa"/>
            <w:tcBorders>
              <w:top w:val="nil"/>
              <w:bottom w:val="nil"/>
            </w:tcBorders>
          </w:tcPr>
          <w:p w:rsidR="00DF695B" w:rsidRDefault="00645EAA">
            <w:pPr>
              <w:pStyle w:val="TableParagraph"/>
              <w:spacing w:line="210" w:lineRule="exact"/>
              <w:ind w:left="0" w:right="984"/>
              <w:jc w:val="right"/>
              <w:rPr>
                <w:sz w:val="20"/>
              </w:rPr>
            </w:pPr>
            <w:r>
              <w:rPr>
                <w:w w:val="95"/>
                <w:sz w:val="20"/>
              </w:rPr>
              <w:t>400</w:t>
            </w:r>
          </w:p>
        </w:tc>
        <w:tc>
          <w:tcPr>
            <w:tcW w:w="2249" w:type="dxa"/>
            <w:tcBorders>
              <w:top w:val="nil"/>
              <w:bottom w:val="nil"/>
            </w:tcBorders>
          </w:tcPr>
          <w:p w:rsidR="00DF695B" w:rsidRDefault="00645EAA">
            <w:pPr>
              <w:pStyle w:val="TableParagraph"/>
              <w:spacing w:line="210" w:lineRule="exact"/>
              <w:ind w:left="1010"/>
              <w:rPr>
                <w:sz w:val="20"/>
              </w:rPr>
            </w:pPr>
            <w:r>
              <w:rPr>
                <w:sz w:val="20"/>
              </w:rPr>
              <w:t>50</w:t>
            </w:r>
          </w:p>
        </w:tc>
        <w:tc>
          <w:tcPr>
            <w:tcW w:w="2160" w:type="dxa"/>
            <w:tcBorders>
              <w:top w:val="nil"/>
              <w:bottom w:val="nil"/>
            </w:tcBorders>
          </w:tcPr>
          <w:p w:rsidR="00DF695B" w:rsidRDefault="00645EAA">
            <w:pPr>
              <w:pStyle w:val="TableParagraph"/>
              <w:spacing w:line="210" w:lineRule="exact"/>
              <w:ind w:left="0" w:right="1193"/>
              <w:jc w:val="right"/>
              <w:rPr>
                <w:sz w:val="20"/>
              </w:rPr>
            </w:pPr>
            <w:r>
              <w:rPr>
                <w:w w:val="95"/>
                <w:sz w:val="20"/>
              </w:rPr>
              <w:t>400</w:t>
            </w:r>
          </w:p>
        </w:tc>
        <w:tc>
          <w:tcPr>
            <w:tcW w:w="2309" w:type="dxa"/>
            <w:tcBorders>
              <w:top w:val="nil"/>
              <w:bottom w:val="nil"/>
            </w:tcBorders>
          </w:tcPr>
          <w:p w:rsidR="00DF695B" w:rsidRDefault="00645EAA">
            <w:pPr>
              <w:pStyle w:val="TableParagraph"/>
              <w:spacing w:line="210" w:lineRule="exact"/>
              <w:ind w:left="1020" w:right="1016"/>
              <w:jc w:val="center"/>
              <w:rPr>
                <w:sz w:val="20"/>
              </w:rPr>
            </w:pPr>
            <w:r>
              <w:rPr>
                <w:sz w:val="20"/>
              </w:rPr>
              <w:t>42</w:t>
            </w:r>
          </w:p>
        </w:tc>
      </w:tr>
      <w:tr w:rsidR="00DF695B">
        <w:trPr>
          <w:trHeight w:val="230"/>
        </w:trPr>
        <w:tc>
          <w:tcPr>
            <w:tcW w:w="689" w:type="dxa"/>
            <w:tcBorders>
              <w:top w:val="nil"/>
              <w:bottom w:val="nil"/>
            </w:tcBorders>
          </w:tcPr>
          <w:p w:rsidR="00DF695B" w:rsidRDefault="00645EAA">
            <w:pPr>
              <w:pStyle w:val="TableParagraph"/>
              <w:spacing w:line="210" w:lineRule="exact"/>
              <w:ind w:left="98" w:right="96"/>
              <w:jc w:val="center"/>
              <w:rPr>
                <w:sz w:val="20"/>
              </w:rPr>
            </w:pPr>
            <w:r>
              <w:rPr>
                <w:sz w:val="20"/>
              </w:rPr>
              <w:t>2010</w:t>
            </w:r>
          </w:p>
        </w:tc>
        <w:tc>
          <w:tcPr>
            <w:tcW w:w="1891" w:type="dxa"/>
            <w:tcBorders>
              <w:top w:val="nil"/>
              <w:bottom w:val="nil"/>
            </w:tcBorders>
          </w:tcPr>
          <w:p w:rsidR="00DF695B" w:rsidRDefault="00645EAA">
            <w:pPr>
              <w:pStyle w:val="TableParagraph"/>
              <w:spacing w:line="210" w:lineRule="exact"/>
              <w:ind w:left="0" w:right="984"/>
              <w:jc w:val="right"/>
              <w:rPr>
                <w:sz w:val="20"/>
              </w:rPr>
            </w:pPr>
            <w:r>
              <w:rPr>
                <w:w w:val="95"/>
                <w:sz w:val="20"/>
              </w:rPr>
              <w:t>600</w:t>
            </w:r>
          </w:p>
        </w:tc>
        <w:tc>
          <w:tcPr>
            <w:tcW w:w="2249" w:type="dxa"/>
            <w:tcBorders>
              <w:top w:val="nil"/>
              <w:bottom w:val="nil"/>
            </w:tcBorders>
          </w:tcPr>
          <w:p w:rsidR="00DF695B" w:rsidRDefault="00645EAA">
            <w:pPr>
              <w:pStyle w:val="TableParagraph"/>
              <w:spacing w:line="210" w:lineRule="exact"/>
              <w:ind w:left="1010"/>
              <w:rPr>
                <w:sz w:val="20"/>
              </w:rPr>
            </w:pPr>
            <w:r>
              <w:rPr>
                <w:sz w:val="20"/>
              </w:rPr>
              <w:t>51</w:t>
            </w:r>
          </w:p>
        </w:tc>
        <w:tc>
          <w:tcPr>
            <w:tcW w:w="2160" w:type="dxa"/>
            <w:tcBorders>
              <w:top w:val="nil"/>
              <w:bottom w:val="nil"/>
            </w:tcBorders>
          </w:tcPr>
          <w:p w:rsidR="00DF695B" w:rsidRDefault="00645EAA">
            <w:pPr>
              <w:pStyle w:val="TableParagraph"/>
              <w:spacing w:line="210" w:lineRule="exact"/>
              <w:ind w:left="0" w:right="1193"/>
              <w:jc w:val="right"/>
              <w:rPr>
                <w:sz w:val="20"/>
              </w:rPr>
            </w:pPr>
            <w:r>
              <w:rPr>
                <w:w w:val="95"/>
                <w:sz w:val="20"/>
              </w:rPr>
              <w:t>570</w:t>
            </w:r>
          </w:p>
        </w:tc>
        <w:tc>
          <w:tcPr>
            <w:tcW w:w="2309" w:type="dxa"/>
            <w:tcBorders>
              <w:top w:val="nil"/>
              <w:bottom w:val="nil"/>
            </w:tcBorders>
          </w:tcPr>
          <w:p w:rsidR="00DF695B" w:rsidRDefault="00645EAA">
            <w:pPr>
              <w:pStyle w:val="TableParagraph"/>
              <w:spacing w:line="210" w:lineRule="exact"/>
              <w:ind w:left="1020" w:right="1016"/>
              <w:jc w:val="center"/>
              <w:rPr>
                <w:sz w:val="20"/>
              </w:rPr>
            </w:pPr>
            <w:r>
              <w:rPr>
                <w:sz w:val="20"/>
              </w:rPr>
              <w:t>44</w:t>
            </w:r>
          </w:p>
        </w:tc>
      </w:tr>
      <w:tr w:rsidR="00DF695B">
        <w:trPr>
          <w:trHeight w:val="230"/>
        </w:trPr>
        <w:tc>
          <w:tcPr>
            <w:tcW w:w="689" w:type="dxa"/>
            <w:tcBorders>
              <w:top w:val="nil"/>
              <w:bottom w:val="nil"/>
            </w:tcBorders>
          </w:tcPr>
          <w:p w:rsidR="00DF695B" w:rsidRDefault="00645EAA">
            <w:pPr>
              <w:pStyle w:val="TableParagraph"/>
              <w:spacing w:line="210" w:lineRule="exact"/>
              <w:ind w:left="98" w:right="96"/>
              <w:jc w:val="center"/>
              <w:rPr>
                <w:sz w:val="20"/>
              </w:rPr>
            </w:pPr>
            <w:r>
              <w:rPr>
                <w:sz w:val="20"/>
              </w:rPr>
              <w:t>2011</w:t>
            </w:r>
          </w:p>
        </w:tc>
        <w:tc>
          <w:tcPr>
            <w:tcW w:w="1891" w:type="dxa"/>
            <w:tcBorders>
              <w:top w:val="nil"/>
              <w:bottom w:val="nil"/>
            </w:tcBorders>
          </w:tcPr>
          <w:p w:rsidR="00DF695B" w:rsidRDefault="00645EAA">
            <w:pPr>
              <w:pStyle w:val="TableParagraph"/>
              <w:spacing w:line="210" w:lineRule="exact"/>
              <w:ind w:left="0" w:right="983"/>
              <w:jc w:val="right"/>
              <w:rPr>
                <w:sz w:val="20"/>
              </w:rPr>
            </w:pPr>
            <w:r>
              <w:rPr>
                <w:sz w:val="20"/>
              </w:rPr>
              <w:t>1,000</w:t>
            </w:r>
          </w:p>
        </w:tc>
        <w:tc>
          <w:tcPr>
            <w:tcW w:w="2249" w:type="dxa"/>
            <w:tcBorders>
              <w:top w:val="nil"/>
              <w:bottom w:val="nil"/>
            </w:tcBorders>
          </w:tcPr>
          <w:p w:rsidR="00DF695B" w:rsidRDefault="00645EAA">
            <w:pPr>
              <w:pStyle w:val="TableParagraph"/>
              <w:spacing w:line="210" w:lineRule="exact"/>
              <w:ind w:left="1010"/>
              <w:rPr>
                <w:sz w:val="20"/>
              </w:rPr>
            </w:pPr>
            <w:r>
              <w:rPr>
                <w:sz w:val="20"/>
              </w:rPr>
              <w:t>52</w:t>
            </w:r>
          </w:p>
        </w:tc>
        <w:tc>
          <w:tcPr>
            <w:tcW w:w="2160" w:type="dxa"/>
            <w:tcBorders>
              <w:top w:val="nil"/>
              <w:bottom w:val="nil"/>
            </w:tcBorders>
          </w:tcPr>
          <w:p w:rsidR="00DF695B" w:rsidRDefault="00645EAA">
            <w:pPr>
              <w:pStyle w:val="TableParagraph"/>
              <w:spacing w:line="210" w:lineRule="exact"/>
              <w:ind w:left="0" w:right="1193"/>
              <w:jc w:val="right"/>
              <w:rPr>
                <w:sz w:val="20"/>
              </w:rPr>
            </w:pPr>
            <w:r>
              <w:rPr>
                <w:w w:val="95"/>
                <w:sz w:val="20"/>
              </w:rPr>
              <w:t>850</w:t>
            </w:r>
          </w:p>
        </w:tc>
        <w:tc>
          <w:tcPr>
            <w:tcW w:w="2309" w:type="dxa"/>
            <w:tcBorders>
              <w:top w:val="nil"/>
              <w:bottom w:val="nil"/>
            </w:tcBorders>
          </w:tcPr>
          <w:p w:rsidR="00DF695B" w:rsidRDefault="00645EAA">
            <w:pPr>
              <w:pStyle w:val="TableParagraph"/>
              <w:spacing w:line="210" w:lineRule="exact"/>
              <w:ind w:left="1020" w:right="1016"/>
              <w:jc w:val="center"/>
              <w:rPr>
                <w:sz w:val="20"/>
              </w:rPr>
            </w:pPr>
            <w:r>
              <w:rPr>
                <w:sz w:val="20"/>
              </w:rPr>
              <w:t>45</w:t>
            </w:r>
          </w:p>
        </w:tc>
      </w:tr>
      <w:tr w:rsidR="00DF695B">
        <w:trPr>
          <w:trHeight w:val="229"/>
        </w:trPr>
        <w:tc>
          <w:tcPr>
            <w:tcW w:w="689" w:type="dxa"/>
            <w:tcBorders>
              <w:top w:val="nil"/>
              <w:bottom w:val="nil"/>
            </w:tcBorders>
          </w:tcPr>
          <w:p w:rsidR="00DF695B" w:rsidRDefault="00645EAA">
            <w:pPr>
              <w:pStyle w:val="TableParagraph"/>
              <w:spacing w:line="209" w:lineRule="exact"/>
              <w:ind w:left="98" w:right="96"/>
              <w:jc w:val="center"/>
              <w:rPr>
                <w:sz w:val="20"/>
              </w:rPr>
            </w:pPr>
            <w:r>
              <w:rPr>
                <w:sz w:val="20"/>
              </w:rPr>
              <w:t>2012</w:t>
            </w:r>
          </w:p>
        </w:tc>
        <w:tc>
          <w:tcPr>
            <w:tcW w:w="1891" w:type="dxa"/>
            <w:tcBorders>
              <w:top w:val="nil"/>
              <w:bottom w:val="nil"/>
            </w:tcBorders>
          </w:tcPr>
          <w:p w:rsidR="00DF695B" w:rsidRDefault="00645EAA">
            <w:pPr>
              <w:pStyle w:val="TableParagraph"/>
              <w:spacing w:line="209" w:lineRule="exact"/>
              <w:ind w:left="0" w:right="983"/>
              <w:jc w:val="right"/>
              <w:rPr>
                <w:sz w:val="20"/>
              </w:rPr>
            </w:pPr>
            <w:r>
              <w:rPr>
                <w:sz w:val="20"/>
              </w:rPr>
              <w:t>1,800</w:t>
            </w:r>
          </w:p>
        </w:tc>
        <w:tc>
          <w:tcPr>
            <w:tcW w:w="2249" w:type="dxa"/>
            <w:tcBorders>
              <w:top w:val="nil"/>
              <w:bottom w:val="nil"/>
            </w:tcBorders>
          </w:tcPr>
          <w:p w:rsidR="00DF695B" w:rsidRDefault="00645EAA">
            <w:pPr>
              <w:pStyle w:val="TableParagraph"/>
              <w:spacing w:line="209" w:lineRule="exact"/>
              <w:ind w:left="1010"/>
              <w:rPr>
                <w:sz w:val="20"/>
              </w:rPr>
            </w:pPr>
            <w:r>
              <w:rPr>
                <w:sz w:val="20"/>
              </w:rPr>
              <w:t>52</w:t>
            </w:r>
          </w:p>
        </w:tc>
        <w:tc>
          <w:tcPr>
            <w:tcW w:w="2160" w:type="dxa"/>
            <w:tcBorders>
              <w:top w:val="nil"/>
              <w:bottom w:val="nil"/>
            </w:tcBorders>
          </w:tcPr>
          <w:p w:rsidR="00DF695B" w:rsidRDefault="00645EAA">
            <w:pPr>
              <w:pStyle w:val="TableParagraph"/>
              <w:spacing w:line="209" w:lineRule="exact"/>
              <w:ind w:left="0" w:right="1192"/>
              <w:jc w:val="right"/>
              <w:rPr>
                <w:sz w:val="20"/>
              </w:rPr>
            </w:pPr>
            <w:r>
              <w:rPr>
                <w:sz w:val="20"/>
              </w:rPr>
              <w:t>1,420</w:t>
            </w:r>
          </w:p>
        </w:tc>
        <w:tc>
          <w:tcPr>
            <w:tcW w:w="2309" w:type="dxa"/>
            <w:tcBorders>
              <w:top w:val="nil"/>
              <w:bottom w:val="nil"/>
            </w:tcBorders>
          </w:tcPr>
          <w:p w:rsidR="00DF695B" w:rsidRDefault="00645EAA">
            <w:pPr>
              <w:pStyle w:val="TableParagraph"/>
              <w:spacing w:line="209" w:lineRule="exact"/>
              <w:ind w:left="1020" w:right="1016"/>
              <w:jc w:val="center"/>
              <w:rPr>
                <w:sz w:val="20"/>
              </w:rPr>
            </w:pPr>
            <w:r>
              <w:rPr>
                <w:sz w:val="20"/>
              </w:rPr>
              <w:t>46</w:t>
            </w:r>
          </w:p>
        </w:tc>
      </w:tr>
      <w:tr w:rsidR="00DF695B">
        <w:trPr>
          <w:trHeight w:val="228"/>
        </w:trPr>
        <w:tc>
          <w:tcPr>
            <w:tcW w:w="689" w:type="dxa"/>
            <w:tcBorders>
              <w:top w:val="nil"/>
            </w:tcBorders>
          </w:tcPr>
          <w:p w:rsidR="00DF695B" w:rsidRDefault="00645EAA">
            <w:pPr>
              <w:pStyle w:val="TableParagraph"/>
              <w:spacing w:line="208" w:lineRule="exact"/>
              <w:ind w:left="98" w:right="96"/>
              <w:jc w:val="center"/>
              <w:rPr>
                <w:sz w:val="20"/>
              </w:rPr>
            </w:pPr>
            <w:r>
              <w:rPr>
                <w:sz w:val="20"/>
              </w:rPr>
              <w:t>2013</w:t>
            </w:r>
          </w:p>
        </w:tc>
        <w:tc>
          <w:tcPr>
            <w:tcW w:w="1891" w:type="dxa"/>
            <w:tcBorders>
              <w:top w:val="nil"/>
            </w:tcBorders>
          </w:tcPr>
          <w:p w:rsidR="00DF695B" w:rsidRDefault="00645EAA">
            <w:pPr>
              <w:pStyle w:val="TableParagraph"/>
              <w:spacing w:line="208" w:lineRule="exact"/>
              <w:ind w:left="0" w:right="983"/>
              <w:jc w:val="right"/>
              <w:rPr>
                <w:sz w:val="20"/>
              </w:rPr>
            </w:pPr>
            <w:r>
              <w:rPr>
                <w:sz w:val="20"/>
              </w:rPr>
              <w:t>3,000</w:t>
            </w:r>
          </w:p>
        </w:tc>
        <w:tc>
          <w:tcPr>
            <w:tcW w:w="2249" w:type="dxa"/>
            <w:tcBorders>
              <w:top w:val="nil"/>
            </w:tcBorders>
          </w:tcPr>
          <w:p w:rsidR="00DF695B" w:rsidRDefault="00645EAA">
            <w:pPr>
              <w:pStyle w:val="TableParagraph"/>
              <w:spacing w:line="208" w:lineRule="exact"/>
              <w:ind w:left="1010"/>
              <w:rPr>
                <w:sz w:val="20"/>
              </w:rPr>
            </w:pPr>
            <w:r>
              <w:rPr>
                <w:sz w:val="20"/>
              </w:rPr>
              <w:t>56</w:t>
            </w:r>
          </w:p>
        </w:tc>
        <w:tc>
          <w:tcPr>
            <w:tcW w:w="2160" w:type="dxa"/>
            <w:tcBorders>
              <w:top w:val="nil"/>
            </w:tcBorders>
          </w:tcPr>
          <w:p w:rsidR="00DF695B" w:rsidRDefault="00645EAA">
            <w:pPr>
              <w:pStyle w:val="TableParagraph"/>
              <w:spacing w:line="208" w:lineRule="exact"/>
              <w:ind w:left="0" w:right="1192"/>
              <w:jc w:val="right"/>
              <w:rPr>
                <w:sz w:val="20"/>
              </w:rPr>
            </w:pPr>
            <w:r>
              <w:rPr>
                <w:sz w:val="20"/>
              </w:rPr>
              <w:t>2,460</w:t>
            </w:r>
          </w:p>
        </w:tc>
        <w:tc>
          <w:tcPr>
            <w:tcW w:w="2309" w:type="dxa"/>
            <w:tcBorders>
              <w:top w:val="nil"/>
            </w:tcBorders>
          </w:tcPr>
          <w:p w:rsidR="00DF695B" w:rsidRDefault="00645EAA">
            <w:pPr>
              <w:pStyle w:val="TableParagraph"/>
              <w:spacing w:line="208" w:lineRule="exact"/>
              <w:ind w:left="1020" w:right="1016"/>
              <w:jc w:val="center"/>
              <w:rPr>
                <w:sz w:val="20"/>
              </w:rPr>
            </w:pPr>
            <w:r>
              <w:rPr>
                <w:sz w:val="20"/>
              </w:rPr>
              <w:t>50</w:t>
            </w:r>
          </w:p>
        </w:tc>
      </w:tr>
    </w:tbl>
    <w:p w:rsidR="00DF695B" w:rsidRDefault="00645EAA">
      <w:pPr>
        <w:ind w:left="140"/>
        <w:rPr>
          <w:rFonts w:ascii="Arial"/>
          <w:i/>
          <w:sz w:val="17"/>
        </w:rPr>
      </w:pPr>
      <w:r>
        <w:rPr>
          <w:rFonts w:ascii="Arial"/>
          <w:i/>
          <w:sz w:val="17"/>
        </w:rPr>
        <w:t>Source: Company files.</w:t>
      </w:r>
    </w:p>
    <w:p w:rsidR="00DF695B" w:rsidRDefault="00DF695B">
      <w:pPr>
        <w:pStyle w:val="BodyText"/>
        <w:rPr>
          <w:rFonts w:ascii="Arial"/>
          <w:i/>
          <w:sz w:val="18"/>
        </w:rPr>
      </w:pPr>
    </w:p>
    <w:p w:rsidR="00DF695B" w:rsidRDefault="00DF695B">
      <w:pPr>
        <w:pStyle w:val="BodyText"/>
        <w:rPr>
          <w:rFonts w:ascii="Arial"/>
          <w:i/>
          <w:sz w:val="18"/>
        </w:rPr>
      </w:pPr>
    </w:p>
    <w:p w:rsidR="00DF695B" w:rsidRDefault="00DF695B">
      <w:pPr>
        <w:pStyle w:val="BodyText"/>
        <w:rPr>
          <w:rFonts w:ascii="Arial"/>
          <w:i/>
          <w:sz w:val="18"/>
        </w:rPr>
      </w:pPr>
    </w:p>
    <w:p w:rsidR="00DF695B" w:rsidRDefault="00645EAA">
      <w:pPr>
        <w:spacing w:before="137"/>
        <w:ind w:left="447"/>
        <w:rPr>
          <w:rFonts w:ascii="Arial"/>
          <w:b/>
          <w:sz w:val="20"/>
        </w:rPr>
      </w:pPr>
      <w:r>
        <w:rPr>
          <w:rFonts w:ascii="Arial"/>
          <w:b/>
          <w:sz w:val="20"/>
        </w:rPr>
        <w:t>EXHIBIT 2: POPULATION AND HOUSEHOLD INCOME IN BASE OF THE PYRAMID MARKETS</w:t>
      </w:r>
    </w:p>
    <w:p w:rsidR="00DF695B" w:rsidRDefault="00DF695B">
      <w:pPr>
        <w:pStyle w:val="BodyText"/>
        <w:spacing w:before="4"/>
        <w:rPr>
          <w:rFonts w:ascii="Arial"/>
          <w:b/>
        </w:rPr>
      </w:pPr>
    </w:p>
    <w:tbl>
      <w:tblPr>
        <w:tblW w:w="0" w:type="auto"/>
        <w:tblInd w:w="1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51"/>
        <w:gridCol w:w="2369"/>
        <w:gridCol w:w="2986"/>
      </w:tblGrid>
      <w:tr w:rsidR="00DF695B">
        <w:trPr>
          <w:trHeight w:val="460"/>
        </w:trPr>
        <w:tc>
          <w:tcPr>
            <w:tcW w:w="1651" w:type="dxa"/>
          </w:tcPr>
          <w:p w:rsidR="00DF695B" w:rsidRDefault="00645EAA">
            <w:pPr>
              <w:pStyle w:val="TableParagraph"/>
              <w:spacing w:line="229" w:lineRule="exact"/>
              <w:rPr>
                <w:sz w:val="20"/>
              </w:rPr>
            </w:pPr>
            <w:r>
              <w:rPr>
                <w:sz w:val="20"/>
              </w:rPr>
              <w:t>Region</w:t>
            </w:r>
          </w:p>
        </w:tc>
        <w:tc>
          <w:tcPr>
            <w:tcW w:w="2369" w:type="dxa"/>
          </w:tcPr>
          <w:p w:rsidR="00DF695B" w:rsidRDefault="00645EAA">
            <w:pPr>
              <w:pStyle w:val="TableParagraph"/>
              <w:spacing w:line="229" w:lineRule="exact"/>
              <w:ind w:left="203"/>
              <w:rPr>
                <w:sz w:val="20"/>
              </w:rPr>
            </w:pPr>
            <w:proofErr w:type="gramStart"/>
            <w:r>
              <w:rPr>
                <w:sz w:val="20"/>
              </w:rPr>
              <w:t>Population(</w:t>
            </w:r>
            <w:proofErr w:type="gramEnd"/>
            <w:r>
              <w:rPr>
                <w:sz w:val="20"/>
              </w:rPr>
              <w:t>in millions)</w:t>
            </w:r>
          </w:p>
        </w:tc>
        <w:tc>
          <w:tcPr>
            <w:tcW w:w="2986" w:type="dxa"/>
          </w:tcPr>
          <w:p w:rsidR="00DF695B" w:rsidRDefault="00645EAA">
            <w:pPr>
              <w:pStyle w:val="TableParagraph"/>
              <w:spacing w:before="4" w:line="228" w:lineRule="exact"/>
              <w:ind w:left="762" w:right="143" w:hanging="596"/>
              <w:rPr>
                <w:sz w:val="20"/>
              </w:rPr>
            </w:pPr>
            <w:r>
              <w:rPr>
                <w:sz w:val="20"/>
              </w:rPr>
              <w:t>Aggregate Household Income (in US$ millions)</w:t>
            </w:r>
          </w:p>
        </w:tc>
      </w:tr>
      <w:tr w:rsidR="00DF695B">
        <w:trPr>
          <w:trHeight w:val="921"/>
        </w:trPr>
        <w:tc>
          <w:tcPr>
            <w:tcW w:w="1651" w:type="dxa"/>
          </w:tcPr>
          <w:p w:rsidR="00DF695B" w:rsidRDefault="00645EAA">
            <w:pPr>
              <w:pStyle w:val="TableParagraph"/>
              <w:rPr>
                <w:sz w:val="20"/>
              </w:rPr>
            </w:pPr>
            <w:r>
              <w:rPr>
                <w:sz w:val="20"/>
              </w:rPr>
              <w:t>Asia</w:t>
            </w:r>
          </w:p>
          <w:p w:rsidR="00DF695B" w:rsidRDefault="00645EAA">
            <w:pPr>
              <w:pStyle w:val="TableParagraph"/>
              <w:spacing w:line="230" w:lineRule="atLeast"/>
              <w:ind w:right="124"/>
              <w:rPr>
                <w:sz w:val="20"/>
              </w:rPr>
            </w:pPr>
            <w:r>
              <w:rPr>
                <w:sz w:val="20"/>
              </w:rPr>
              <w:t>Eastern Europe Latin America Africa</w:t>
            </w:r>
          </w:p>
        </w:tc>
        <w:tc>
          <w:tcPr>
            <w:tcW w:w="2369" w:type="dxa"/>
          </w:tcPr>
          <w:p w:rsidR="00DF695B" w:rsidRDefault="00645EAA">
            <w:pPr>
              <w:pStyle w:val="TableParagraph"/>
              <w:ind w:left="859" w:right="959"/>
              <w:jc w:val="center"/>
              <w:rPr>
                <w:sz w:val="20"/>
              </w:rPr>
            </w:pPr>
            <w:r>
              <w:rPr>
                <w:sz w:val="20"/>
              </w:rPr>
              <w:t>2,860</w:t>
            </w:r>
          </w:p>
          <w:p w:rsidR="00DF695B" w:rsidRDefault="00645EAA">
            <w:pPr>
              <w:pStyle w:val="TableParagraph"/>
              <w:spacing w:line="240" w:lineRule="auto"/>
              <w:ind w:left="859" w:right="852"/>
              <w:jc w:val="center"/>
              <w:rPr>
                <w:sz w:val="20"/>
              </w:rPr>
            </w:pPr>
            <w:r>
              <w:rPr>
                <w:sz w:val="20"/>
              </w:rPr>
              <w:t>254</w:t>
            </w:r>
          </w:p>
          <w:p w:rsidR="00DF695B" w:rsidRDefault="00645EAA">
            <w:pPr>
              <w:pStyle w:val="TableParagraph"/>
              <w:spacing w:before="1" w:line="240" w:lineRule="auto"/>
              <w:ind w:left="859" w:right="852"/>
              <w:jc w:val="center"/>
              <w:rPr>
                <w:sz w:val="20"/>
              </w:rPr>
            </w:pPr>
            <w:r>
              <w:rPr>
                <w:sz w:val="20"/>
              </w:rPr>
              <w:t>360</w:t>
            </w:r>
          </w:p>
          <w:p w:rsidR="00DF695B" w:rsidRDefault="00645EAA">
            <w:pPr>
              <w:pStyle w:val="TableParagraph"/>
              <w:spacing w:line="213" w:lineRule="exact"/>
              <w:ind w:left="859" w:right="852"/>
              <w:jc w:val="center"/>
              <w:rPr>
                <w:sz w:val="20"/>
              </w:rPr>
            </w:pPr>
            <w:r>
              <w:rPr>
                <w:sz w:val="20"/>
              </w:rPr>
              <w:t>486</w:t>
            </w:r>
          </w:p>
        </w:tc>
        <w:tc>
          <w:tcPr>
            <w:tcW w:w="2986" w:type="dxa"/>
          </w:tcPr>
          <w:p w:rsidR="00DF695B" w:rsidRDefault="00645EAA">
            <w:pPr>
              <w:pStyle w:val="TableParagraph"/>
              <w:ind w:left="1219" w:right="1215"/>
              <w:jc w:val="center"/>
              <w:rPr>
                <w:sz w:val="20"/>
              </w:rPr>
            </w:pPr>
            <w:r>
              <w:rPr>
                <w:sz w:val="20"/>
              </w:rPr>
              <w:t>3,470</w:t>
            </w:r>
          </w:p>
          <w:p w:rsidR="00DF695B" w:rsidRDefault="00645EAA">
            <w:pPr>
              <w:pStyle w:val="TableParagraph"/>
              <w:spacing w:line="240" w:lineRule="auto"/>
              <w:ind w:left="1219" w:right="1049"/>
              <w:jc w:val="center"/>
              <w:rPr>
                <w:sz w:val="20"/>
              </w:rPr>
            </w:pPr>
            <w:r>
              <w:rPr>
                <w:sz w:val="20"/>
              </w:rPr>
              <w:t>458</w:t>
            </w:r>
          </w:p>
          <w:p w:rsidR="00DF695B" w:rsidRDefault="00645EAA">
            <w:pPr>
              <w:pStyle w:val="TableParagraph"/>
              <w:spacing w:before="1" w:line="240" w:lineRule="auto"/>
              <w:ind w:left="1219" w:right="1049"/>
              <w:jc w:val="center"/>
              <w:rPr>
                <w:sz w:val="20"/>
              </w:rPr>
            </w:pPr>
            <w:r>
              <w:rPr>
                <w:sz w:val="20"/>
              </w:rPr>
              <w:t>509</w:t>
            </w:r>
          </w:p>
          <w:p w:rsidR="00DF695B" w:rsidRDefault="00645EAA">
            <w:pPr>
              <w:pStyle w:val="TableParagraph"/>
              <w:spacing w:line="213" w:lineRule="exact"/>
              <w:ind w:left="1219" w:right="1049"/>
              <w:jc w:val="center"/>
              <w:rPr>
                <w:sz w:val="20"/>
              </w:rPr>
            </w:pPr>
            <w:r>
              <w:rPr>
                <w:sz w:val="20"/>
              </w:rPr>
              <w:t>429</w:t>
            </w:r>
          </w:p>
        </w:tc>
      </w:tr>
      <w:tr w:rsidR="00DF695B">
        <w:trPr>
          <w:trHeight w:val="230"/>
        </w:trPr>
        <w:tc>
          <w:tcPr>
            <w:tcW w:w="1651" w:type="dxa"/>
          </w:tcPr>
          <w:p w:rsidR="00DF695B" w:rsidRDefault="00645EAA">
            <w:pPr>
              <w:pStyle w:val="TableParagraph"/>
              <w:spacing w:line="210" w:lineRule="exact"/>
              <w:rPr>
                <w:sz w:val="20"/>
              </w:rPr>
            </w:pPr>
            <w:r>
              <w:rPr>
                <w:sz w:val="20"/>
              </w:rPr>
              <w:t>Total</w:t>
            </w:r>
          </w:p>
        </w:tc>
        <w:tc>
          <w:tcPr>
            <w:tcW w:w="2369" w:type="dxa"/>
          </w:tcPr>
          <w:p w:rsidR="00DF695B" w:rsidRDefault="00645EAA">
            <w:pPr>
              <w:pStyle w:val="TableParagraph"/>
              <w:spacing w:line="210" w:lineRule="exact"/>
              <w:ind w:left="859" w:right="959"/>
              <w:jc w:val="center"/>
              <w:rPr>
                <w:sz w:val="20"/>
              </w:rPr>
            </w:pPr>
            <w:r>
              <w:rPr>
                <w:sz w:val="20"/>
              </w:rPr>
              <w:t>3,960</w:t>
            </w:r>
          </w:p>
        </w:tc>
        <w:tc>
          <w:tcPr>
            <w:tcW w:w="2986" w:type="dxa"/>
          </w:tcPr>
          <w:p w:rsidR="00DF695B" w:rsidRDefault="00645EAA">
            <w:pPr>
              <w:pStyle w:val="TableParagraph"/>
              <w:spacing w:line="210" w:lineRule="exact"/>
              <w:ind w:left="1219" w:right="1215"/>
              <w:jc w:val="center"/>
              <w:rPr>
                <w:sz w:val="20"/>
              </w:rPr>
            </w:pPr>
            <w:r>
              <w:rPr>
                <w:sz w:val="20"/>
              </w:rPr>
              <w:t>4,866</w:t>
            </w:r>
          </w:p>
        </w:tc>
      </w:tr>
    </w:tbl>
    <w:p w:rsidR="00DF695B" w:rsidRDefault="00645EAA">
      <w:pPr>
        <w:spacing w:before="191"/>
        <w:ind w:left="139" w:right="1436"/>
        <w:jc w:val="both"/>
        <w:rPr>
          <w:rFonts w:ascii="Arial" w:hAnsi="Arial"/>
          <w:i/>
          <w:sz w:val="17"/>
        </w:rPr>
      </w:pPr>
      <w:r>
        <w:rPr>
          <w:rFonts w:ascii="Arial" w:hAnsi="Arial"/>
          <w:i/>
          <w:sz w:val="17"/>
        </w:rPr>
        <w:t xml:space="preserve">Source: Allen Hammond, William J. Kraemer, Julia Tran, Rob Katz and Courtland Walker, “Introduction and Market Review,” Chapter 1 of The Next 4 Billion: Market Size and Business Strategy at the Base of the Pyramid, World Resources Institute, – Washington, </w:t>
      </w:r>
      <w:r>
        <w:rPr>
          <w:rFonts w:ascii="Arial" w:hAnsi="Arial"/>
          <w:i/>
          <w:sz w:val="17"/>
        </w:rPr>
        <w:t xml:space="preserve">DC, 2007, </w:t>
      </w:r>
      <w:hyperlink r:id="rId21">
        <w:r>
          <w:rPr>
            <w:rFonts w:ascii="Arial" w:hAnsi="Arial"/>
            <w:i/>
            <w:sz w:val="17"/>
          </w:rPr>
          <w:t xml:space="preserve">www.wri.org/publication/next-4-billion, </w:t>
        </w:r>
      </w:hyperlink>
      <w:r>
        <w:rPr>
          <w:rFonts w:ascii="Arial" w:hAnsi="Arial"/>
          <w:i/>
          <w:sz w:val="17"/>
        </w:rPr>
        <w:t>accessed March 1, 2014.</w:t>
      </w:r>
    </w:p>
    <w:p w:rsidR="00DF695B" w:rsidRDefault="00DF695B">
      <w:pPr>
        <w:jc w:val="both"/>
        <w:rPr>
          <w:rFonts w:ascii="Arial" w:hAnsi="Arial"/>
          <w:sz w:val="17"/>
        </w:rPr>
        <w:sectPr w:rsidR="00DF695B">
          <w:pgSz w:w="12240" w:h="15840"/>
          <w:pgMar w:top="1360" w:right="0" w:bottom="280" w:left="1300" w:header="1082" w:footer="0" w:gutter="0"/>
          <w:cols w:space="720"/>
        </w:sectPr>
      </w:pPr>
    </w:p>
    <w:p w:rsidR="00DF695B" w:rsidRDefault="00DF695B">
      <w:pPr>
        <w:pStyle w:val="BodyText"/>
        <w:spacing w:before="4"/>
        <w:rPr>
          <w:rFonts w:ascii="Arial"/>
          <w:i/>
          <w:sz w:val="27"/>
        </w:rPr>
      </w:pPr>
      <w:bookmarkStart w:id="15" w:name="_GoBack"/>
      <w:bookmarkEnd w:id="15"/>
    </w:p>
    <w:p w:rsidR="00DF695B" w:rsidRDefault="00645EAA">
      <w:pPr>
        <w:spacing w:before="93"/>
        <w:ind w:left="658"/>
        <w:rPr>
          <w:rFonts w:ascii="Arial"/>
          <w:b/>
          <w:sz w:val="20"/>
        </w:rPr>
      </w:pPr>
      <w:r>
        <w:rPr>
          <w:rFonts w:ascii="Arial"/>
          <w:b/>
          <w:sz w:val="20"/>
        </w:rPr>
        <w:t>EXHIBIT 3: SHARE OF PEOPLE WITHOUT ELECTRICITY (IN DEVELOPING COUNTRIES)</w:t>
      </w:r>
    </w:p>
    <w:p w:rsidR="00DF695B" w:rsidRDefault="00645EAA">
      <w:pPr>
        <w:pStyle w:val="BodyText"/>
        <w:spacing w:before="4"/>
        <w:rPr>
          <w:rFonts w:ascii="Arial"/>
          <w:b/>
          <w:sz w:val="19"/>
        </w:rPr>
      </w:pPr>
      <w:r>
        <w:rPr>
          <w:noProof/>
        </w:rPr>
        <w:drawing>
          <wp:anchor distT="0" distB="0" distL="0" distR="0" simplePos="0" relativeHeight="251665408" behindDoc="1" locked="0" layoutInCell="1" allowOverlap="1">
            <wp:simplePos x="0" y="0"/>
            <wp:positionH relativeFrom="page">
              <wp:posOffset>916331</wp:posOffset>
            </wp:positionH>
            <wp:positionV relativeFrom="paragraph">
              <wp:posOffset>166170</wp:posOffset>
            </wp:positionV>
            <wp:extent cx="5939503" cy="3115055"/>
            <wp:effectExtent l="0" t="0" r="0" b="0"/>
            <wp:wrapTopAndBottom/>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22" cstate="print"/>
                    <a:stretch>
                      <a:fillRect/>
                    </a:stretch>
                  </pic:blipFill>
                  <pic:spPr>
                    <a:xfrm>
                      <a:off x="0" y="0"/>
                      <a:ext cx="5939503" cy="3115055"/>
                    </a:xfrm>
                    <a:prstGeom prst="rect">
                      <a:avLst/>
                    </a:prstGeom>
                  </pic:spPr>
                </pic:pic>
              </a:graphicData>
            </a:graphic>
          </wp:anchor>
        </w:drawing>
      </w:r>
    </w:p>
    <w:p w:rsidR="00DF695B" w:rsidRDefault="00645EAA">
      <w:pPr>
        <w:ind w:left="140"/>
        <w:rPr>
          <w:rFonts w:ascii="Arial"/>
          <w:i/>
          <w:sz w:val="17"/>
        </w:rPr>
      </w:pPr>
      <w:r>
        <w:rPr>
          <w:rFonts w:ascii="Arial"/>
          <w:i/>
          <w:sz w:val="17"/>
        </w:rPr>
        <w:t>Note: The data pertains to 2008.</w:t>
      </w:r>
    </w:p>
    <w:p w:rsidR="00DF695B" w:rsidRDefault="00DF695B">
      <w:pPr>
        <w:pStyle w:val="BodyText"/>
        <w:rPr>
          <w:rFonts w:ascii="Arial"/>
          <w:i/>
          <w:sz w:val="17"/>
        </w:rPr>
      </w:pPr>
    </w:p>
    <w:p w:rsidR="00DF695B" w:rsidRDefault="00645EAA">
      <w:pPr>
        <w:ind w:left="140" w:right="1437"/>
        <w:jc w:val="both"/>
        <w:rPr>
          <w:rFonts w:ascii="Arial"/>
          <w:i/>
          <w:sz w:val="17"/>
        </w:rPr>
      </w:pPr>
      <w:r>
        <w:rPr>
          <w:rFonts w:ascii="Arial"/>
          <w:i/>
          <w:sz w:val="17"/>
        </w:rPr>
        <w:t xml:space="preserve">Source: United Nations Development </w:t>
      </w:r>
      <w:proofErr w:type="spellStart"/>
      <w:r>
        <w:rPr>
          <w:rFonts w:ascii="Arial"/>
          <w:i/>
          <w:sz w:val="17"/>
        </w:rPr>
        <w:t>Programme</w:t>
      </w:r>
      <w:proofErr w:type="spellEnd"/>
      <w:r>
        <w:rPr>
          <w:rFonts w:ascii="Arial"/>
          <w:i/>
          <w:sz w:val="17"/>
        </w:rPr>
        <w:t xml:space="preserve"> and the World Health Organization, </w:t>
      </w:r>
      <w:r>
        <w:rPr>
          <w:rFonts w:ascii="Arial"/>
          <w:i/>
          <w:sz w:val="17"/>
          <w:u w:val="single"/>
        </w:rPr>
        <w:t>The Energy Access Situation in</w:t>
      </w:r>
      <w:r>
        <w:rPr>
          <w:rFonts w:ascii="Arial"/>
          <w:i/>
          <w:sz w:val="17"/>
        </w:rPr>
        <w:t xml:space="preserve"> </w:t>
      </w:r>
      <w:r>
        <w:rPr>
          <w:rFonts w:ascii="Arial"/>
          <w:i/>
          <w:sz w:val="17"/>
          <w:u w:val="single"/>
        </w:rPr>
        <w:t>Developing Countries</w:t>
      </w:r>
      <w:r>
        <w:rPr>
          <w:rFonts w:ascii="Arial"/>
          <w:i/>
          <w:sz w:val="17"/>
        </w:rPr>
        <w:t xml:space="preserve">, November 2009, </w:t>
      </w:r>
      <w:hyperlink r:id="rId23">
        <w:r>
          <w:rPr>
            <w:rFonts w:ascii="Arial"/>
            <w:i/>
            <w:sz w:val="17"/>
          </w:rPr>
          <w:t>www.who.int/indoorair/publications/energyaccesssituation/en/,</w:t>
        </w:r>
      </w:hyperlink>
      <w:r>
        <w:rPr>
          <w:rFonts w:ascii="Arial"/>
          <w:i/>
          <w:sz w:val="17"/>
        </w:rPr>
        <w:t xml:space="preserve"> accessed May 27, 2014.</w:t>
      </w:r>
    </w:p>
    <w:p w:rsidR="00DF695B" w:rsidRDefault="00DF695B">
      <w:pPr>
        <w:pStyle w:val="BodyText"/>
        <w:rPr>
          <w:rFonts w:ascii="Arial"/>
          <w:i/>
          <w:sz w:val="18"/>
        </w:rPr>
      </w:pPr>
    </w:p>
    <w:p w:rsidR="00DF695B" w:rsidRDefault="00DF695B">
      <w:pPr>
        <w:pStyle w:val="BodyText"/>
        <w:rPr>
          <w:rFonts w:ascii="Arial"/>
          <w:i/>
          <w:sz w:val="18"/>
        </w:rPr>
      </w:pPr>
    </w:p>
    <w:p w:rsidR="00DF695B" w:rsidRDefault="00DF695B">
      <w:pPr>
        <w:pStyle w:val="BodyText"/>
        <w:rPr>
          <w:rFonts w:ascii="Arial"/>
          <w:i/>
          <w:sz w:val="18"/>
        </w:rPr>
      </w:pPr>
    </w:p>
    <w:p w:rsidR="00DF695B" w:rsidRDefault="00645EAA">
      <w:pPr>
        <w:spacing w:before="135"/>
        <w:ind w:left="1709"/>
        <w:rPr>
          <w:rFonts w:ascii="Arial"/>
          <w:b/>
          <w:sz w:val="20"/>
        </w:rPr>
      </w:pPr>
      <w:r>
        <w:rPr>
          <w:rFonts w:ascii="Arial"/>
          <w:b/>
          <w:sz w:val="20"/>
        </w:rPr>
        <w:t>EXHIBIT 4: GLOBAL PRIMARY ENERGY DEMAND BY FUEL TYPE</w:t>
      </w:r>
    </w:p>
    <w:p w:rsidR="00DF695B" w:rsidRDefault="00645EAA">
      <w:pPr>
        <w:pStyle w:val="BodyText"/>
        <w:rPr>
          <w:rFonts w:ascii="Arial"/>
          <w:b/>
          <w:sz w:val="12"/>
        </w:rPr>
      </w:pPr>
      <w:r>
        <w:rPr>
          <w:noProof/>
        </w:rPr>
        <w:drawing>
          <wp:anchor distT="0" distB="0" distL="0" distR="0" simplePos="0" relativeHeight="251666432" behindDoc="1" locked="0" layoutInCell="1" allowOverlap="1">
            <wp:simplePos x="0" y="0"/>
            <wp:positionH relativeFrom="page">
              <wp:posOffset>2346960</wp:posOffset>
            </wp:positionH>
            <wp:positionV relativeFrom="paragraph">
              <wp:posOffset>112963</wp:posOffset>
            </wp:positionV>
            <wp:extent cx="2970178" cy="1762125"/>
            <wp:effectExtent l="0" t="0" r="0" b="0"/>
            <wp:wrapTopAndBottom/>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24" cstate="print"/>
                    <a:stretch>
                      <a:fillRect/>
                    </a:stretch>
                  </pic:blipFill>
                  <pic:spPr>
                    <a:xfrm>
                      <a:off x="0" y="0"/>
                      <a:ext cx="2970178" cy="1762125"/>
                    </a:xfrm>
                    <a:prstGeom prst="rect">
                      <a:avLst/>
                    </a:prstGeom>
                  </pic:spPr>
                </pic:pic>
              </a:graphicData>
            </a:graphic>
          </wp:anchor>
        </w:drawing>
      </w:r>
    </w:p>
    <w:p w:rsidR="00DF695B" w:rsidRDefault="00645EAA">
      <w:pPr>
        <w:spacing w:before="111"/>
        <w:ind w:left="140" w:right="1438"/>
        <w:jc w:val="both"/>
        <w:rPr>
          <w:rFonts w:ascii="Arial"/>
          <w:i/>
          <w:sz w:val="17"/>
        </w:rPr>
      </w:pPr>
      <w:r>
        <w:rPr>
          <w:rFonts w:ascii="Arial"/>
          <w:i/>
          <w:sz w:val="17"/>
        </w:rPr>
        <w:t xml:space="preserve">Source: International Energy Agency, </w:t>
      </w:r>
      <w:r>
        <w:rPr>
          <w:rFonts w:ascii="Arial"/>
          <w:i/>
          <w:sz w:val="17"/>
          <w:u w:val="single"/>
        </w:rPr>
        <w:t>World Energy Outlook Report 2006</w:t>
      </w:r>
      <w:r>
        <w:rPr>
          <w:rFonts w:ascii="Arial"/>
          <w:i/>
          <w:sz w:val="17"/>
        </w:rPr>
        <w:t xml:space="preserve">, </w:t>
      </w:r>
      <w:hyperlink r:id="rId25">
        <w:r>
          <w:rPr>
            <w:rFonts w:ascii="Arial"/>
            <w:i/>
            <w:sz w:val="17"/>
          </w:rPr>
          <w:t>www.</w:t>
        </w:r>
      </w:hyperlink>
      <w:r>
        <w:rPr>
          <w:rFonts w:ascii="Arial"/>
          <w:i/>
          <w:sz w:val="17"/>
        </w:rPr>
        <w:t xml:space="preserve"> worldenergyoutlook.org/media/</w:t>
      </w:r>
      <w:proofErr w:type="spellStart"/>
      <w:r>
        <w:rPr>
          <w:rFonts w:ascii="Arial"/>
          <w:i/>
          <w:sz w:val="17"/>
        </w:rPr>
        <w:t>weowebsite</w:t>
      </w:r>
      <w:proofErr w:type="spellEnd"/>
      <w:r>
        <w:rPr>
          <w:rFonts w:ascii="Arial"/>
          <w:i/>
          <w:sz w:val="17"/>
        </w:rPr>
        <w:t>/2008-1994/WEO2006.pdf, accessed March 2, 2014.</w:t>
      </w:r>
    </w:p>
    <w:p w:rsidR="00DF695B" w:rsidRDefault="00DF695B">
      <w:pPr>
        <w:jc w:val="both"/>
        <w:rPr>
          <w:rFonts w:ascii="Arial"/>
          <w:sz w:val="17"/>
        </w:rPr>
        <w:sectPr w:rsidR="00DF695B">
          <w:pgSz w:w="12240" w:h="15840"/>
          <w:pgMar w:top="1360" w:right="0" w:bottom="280" w:left="1300" w:header="1082" w:footer="0" w:gutter="0"/>
          <w:cols w:space="720"/>
        </w:sectPr>
      </w:pPr>
    </w:p>
    <w:p w:rsidR="00DF695B" w:rsidRDefault="00645EAA">
      <w:pPr>
        <w:pStyle w:val="BodyText"/>
        <w:rPr>
          <w:rFonts w:ascii="Arial"/>
          <w:i/>
          <w:sz w:val="20"/>
        </w:rPr>
      </w:pPr>
      <w:r>
        <w:lastRenderedPageBreak/>
        <w:pict>
          <v:line id="_x0000_s1042" style="position:absolute;z-index:251649024;mso-position-horizontal-relative:page;mso-position-vertical-relative:page" from="724.45pt,70.55pt" to="724.45pt,541.45pt" strokeweight="2.16pt">
            <w10:wrap anchorx="page" anchory="page"/>
          </v:line>
        </w:pict>
      </w:r>
      <w:r>
        <w:pict>
          <v:shapetype id="_x0000_t202" coordsize="21600,21600" o:spt="202" path="m,l,21600r21600,l21600,xe">
            <v:stroke joinstyle="miter"/>
            <v:path gradientshapeok="t" o:connecttype="rect"/>
          </v:shapetype>
          <v:shape id="_x0000_s1041" type="#_x0000_t202" style="position:absolute;margin-left:725.75pt;margin-top:71pt;width:13.15pt;height:39.7pt;z-index:251650048;mso-position-horizontal-relative:page;mso-position-vertical-relative:page" filled="f" stroked="f">
            <v:textbox style="layout-flow:vertical" inset="0,0,0,0">
              <w:txbxContent>
                <w:p w:rsidR="00DF695B" w:rsidRDefault="00645EAA">
                  <w:pPr>
                    <w:spacing w:before="12"/>
                    <w:ind w:left="20"/>
                    <w:rPr>
                      <w:rFonts w:ascii="Arial"/>
                      <w:b/>
                      <w:sz w:val="20"/>
                    </w:rPr>
                  </w:pPr>
                  <w:r>
                    <w:rPr>
                      <w:rFonts w:ascii="Arial"/>
                      <w:b/>
                      <w:sz w:val="20"/>
                    </w:rPr>
                    <w:t>Page 12</w:t>
                  </w:r>
                </w:p>
              </w:txbxContent>
            </v:textbox>
            <w10:wrap anchorx="page" anchory="page"/>
          </v:shape>
        </w:pict>
      </w:r>
      <w:r>
        <w:pict>
          <v:shape id="_x0000_s1040" type="#_x0000_t202" style="position:absolute;margin-left:725.75pt;margin-top:491.25pt;width:13.15pt;height:49.65pt;z-index:251651072;mso-position-horizontal-relative:page;mso-position-vertical-relative:page" filled="f" stroked="f">
            <v:textbox style="layout-flow:vertical" inset="0,0,0,0">
              <w:txbxContent>
                <w:p w:rsidR="00DF695B" w:rsidRDefault="00645EAA">
                  <w:pPr>
                    <w:spacing w:before="12"/>
                    <w:ind w:left="20"/>
                    <w:rPr>
                      <w:rFonts w:ascii="Arial"/>
                      <w:b/>
                      <w:sz w:val="20"/>
                    </w:rPr>
                  </w:pPr>
                  <w:r>
                    <w:rPr>
                      <w:rFonts w:ascii="Arial"/>
                      <w:b/>
                      <w:sz w:val="20"/>
                    </w:rPr>
                    <w:t>9B14A023</w:t>
                  </w:r>
                </w:p>
              </w:txbxContent>
            </v:textbox>
            <w10:wrap anchorx="page" anchory="page"/>
          </v:shape>
        </w:pict>
      </w:r>
      <w:r>
        <w:pict>
          <v:shape id="_x0000_s1039" type="#_x0000_t202" style="position:absolute;margin-left:690.5pt;margin-top:212.5pt;width:13.15pt;height:186.95pt;z-index:251652096;mso-position-horizontal-relative:page;mso-position-vertical-relative:page" filled="f" stroked="f">
            <v:textbox style="layout-flow:vertical" inset="0,0,0,0">
              <w:txbxContent>
                <w:p w:rsidR="00DF695B" w:rsidRDefault="00645EAA">
                  <w:pPr>
                    <w:spacing w:before="12"/>
                    <w:ind w:left="20"/>
                    <w:rPr>
                      <w:rFonts w:ascii="Arial"/>
                      <w:b/>
                      <w:sz w:val="20"/>
                    </w:rPr>
                  </w:pPr>
                  <w:r>
                    <w:rPr>
                      <w:rFonts w:ascii="Arial"/>
                      <w:b/>
                      <w:sz w:val="20"/>
                    </w:rPr>
                    <w:t xml:space="preserve">EXHIBIT 5A: </w:t>
                  </w:r>
                  <w:proofErr w:type="gramStart"/>
                  <w:r>
                    <w:rPr>
                      <w:rFonts w:ascii="Arial"/>
                      <w:b/>
                      <w:sz w:val="20"/>
                    </w:rPr>
                    <w:t>D.LIGHT</w:t>
                  </w:r>
                  <w:proofErr w:type="gramEnd"/>
                  <w:r>
                    <w:rPr>
                      <w:rFonts w:ascii="Arial"/>
                      <w:b/>
                      <w:sz w:val="20"/>
                    </w:rPr>
                    <w:t xml:space="preserve"> SOLAR LAMP S2</w:t>
                  </w:r>
                </w:p>
              </w:txbxContent>
            </v:textbox>
            <w10:wrap anchorx="page" anchory="page"/>
          </v:shape>
        </w:pict>
      </w:r>
      <w:r>
        <w:pict>
          <v:shape id="_x0000_s1038" type="#_x0000_t202" style="position:absolute;margin-left:88.25pt;margin-top:71pt;width:11.55pt;height:89.9pt;z-index:251653120;mso-position-horizontal-relative:page;mso-position-vertical-relative:page" filled="f" stroked="f">
            <v:textbox style="layout-flow:vertical" inset="0,0,0,0">
              <w:txbxContent>
                <w:p w:rsidR="00DF695B" w:rsidRDefault="00645EAA">
                  <w:pPr>
                    <w:spacing w:before="15"/>
                    <w:ind w:left="20"/>
                    <w:rPr>
                      <w:rFonts w:ascii="Arial"/>
                      <w:i/>
                      <w:sz w:val="17"/>
                    </w:rPr>
                  </w:pPr>
                  <w:r>
                    <w:rPr>
                      <w:rFonts w:ascii="Arial"/>
                      <w:i/>
                      <w:sz w:val="17"/>
                    </w:rPr>
                    <w:t>Source: Company files.</w:t>
                  </w:r>
                </w:p>
              </w:txbxContent>
            </v:textbox>
            <w10:wrap anchorx="page" anchory="page"/>
          </v:shape>
        </w:pict>
      </w:r>
    </w:p>
    <w:p w:rsidR="00DF695B" w:rsidRDefault="00DF695B">
      <w:pPr>
        <w:pStyle w:val="BodyText"/>
        <w:rPr>
          <w:rFonts w:ascii="Arial"/>
          <w:i/>
          <w:sz w:val="20"/>
        </w:rPr>
      </w:pPr>
    </w:p>
    <w:p w:rsidR="00DF695B" w:rsidRDefault="00DF695B">
      <w:pPr>
        <w:pStyle w:val="BodyText"/>
        <w:rPr>
          <w:rFonts w:ascii="Arial"/>
          <w:i/>
          <w:sz w:val="20"/>
        </w:rPr>
      </w:pPr>
    </w:p>
    <w:p w:rsidR="00DF695B" w:rsidRDefault="00DF695B">
      <w:pPr>
        <w:pStyle w:val="BodyText"/>
        <w:rPr>
          <w:rFonts w:ascii="Arial"/>
          <w:i/>
          <w:sz w:val="20"/>
        </w:rPr>
      </w:pPr>
    </w:p>
    <w:p w:rsidR="00DF695B" w:rsidRDefault="00DF695B">
      <w:pPr>
        <w:pStyle w:val="BodyText"/>
        <w:rPr>
          <w:rFonts w:ascii="Arial"/>
          <w:i/>
          <w:sz w:val="20"/>
        </w:rPr>
      </w:pPr>
    </w:p>
    <w:p w:rsidR="00DF695B" w:rsidRDefault="00DF695B">
      <w:pPr>
        <w:pStyle w:val="BodyText"/>
        <w:spacing w:before="6"/>
        <w:rPr>
          <w:rFonts w:ascii="Arial"/>
          <w:i/>
          <w:sz w:val="25"/>
        </w:rPr>
      </w:pPr>
    </w:p>
    <w:p w:rsidR="00DF695B" w:rsidRDefault="00645EAA">
      <w:pPr>
        <w:pStyle w:val="BodyText"/>
        <w:ind w:left="917"/>
        <w:rPr>
          <w:rFonts w:ascii="Arial"/>
          <w:sz w:val="20"/>
        </w:rPr>
      </w:pPr>
      <w:r>
        <w:rPr>
          <w:rFonts w:ascii="Arial"/>
          <w:noProof/>
          <w:sz w:val="20"/>
        </w:rPr>
        <w:drawing>
          <wp:inline distT="0" distB="0" distL="0" distR="0">
            <wp:extent cx="7168729" cy="5913405"/>
            <wp:effectExtent l="0" t="0" r="0" b="0"/>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26" cstate="print"/>
                    <a:stretch>
                      <a:fillRect/>
                    </a:stretch>
                  </pic:blipFill>
                  <pic:spPr>
                    <a:xfrm>
                      <a:off x="0" y="0"/>
                      <a:ext cx="7168729" cy="5913405"/>
                    </a:xfrm>
                    <a:prstGeom prst="rect">
                      <a:avLst/>
                    </a:prstGeom>
                  </pic:spPr>
                </pic:pic>
              </a:graphicData>
            </a:graphic>
          </wp:inline>
        </w:drawing>
      </w:r>
    </w:p>
    <w:p w:rsidR="00DF695B" w:rsidRDefault="00DF695B">
      <w:pPr>
        <w:pStyle w:val="BodyText"/>
        <w:rPr>
          <w:rFonts w:ascii="Arial"/>
          <w:i/>
          <w:sz w:val="20"/>
        </w:rPr>
      </w:pPr>
    </w:p>
    <w:p w:rsidR="00DF695B" w:rsidRDefault="00DF695B">
      <w:pPr>
        <w:pStyle w:val="BodyText"/>
        <w:rPr>
          <w:rFonts w:ascii="Arial"/>
          <w:i/>
          <w:sz w:val="20"/>
        </w:rPr>
      </w:pPr>
    </w:p>
    <w:p w:rsidR="00DF695B" w:rsidRDefault="00DF695B">
      <w:pPr>
        <w:pStyle w:val="BodyText"/>
        <w:spacing w:before="10"/>
        <w:rPr>
          <w:rFonts w:ascii="Arial"/>
          <w:i/>
          <w:sz w:val="19"/>
        </w:rPr>
      </w:pPr>
    </w:p>
    <w:p w:rsidR="00DF695B" w:rsidRDefault="00645EAA">
      <w:pPr>
        <w:spacing w:line="172" w:lineRule="exact"/>
        <w:ind w:left="2044" w:right="1204"/>
        <w:jc w:val="center"/>
        <w:rPr>
          <w:rFonts w:ascii="Arial"/>
          <w:sz w:val="16"/>
        </w:rPr>
      </w:pPr>
      <w:r>
        <w:rPr>
          <w:rFonts w:ascii="Arial"/>
          <w:color w:val="7F7F7F"/>
          <w:sz w:val="16"/>
        </w:rPr>
        <w:t xml:space="preserve">Authorized for use only by Abdullah </w:t>
      </w:r>
      <w:proofErr w:type="spellStart"/>
      <w:r>
        <w:rPr>
          <w:rFonts w:ascii="Arial"/>
          <w:color w:val="7F7F7F"/>
          <w:sz w:val="16"/>
        </w:rPr>
        <w:t>Alwasmi</w:t>
      </w:r>
      <w:proofErr w:type="spellEnd"/>
      <w:r>
        <w:rPr>
          <w:rFonts w:ascii="Arial"/>
          <w:color w:val="7F7F7F"/>
          <w:sz w:val="16"/>
        </w:rPr>
        <w:t xml:space="preserve"> in International business at Oakland University from Sep 05, 2018 to Dec 15, 2018.</w:t>
      </w:r>
    </w:p>
    <w:p w:rsidR="00DF695B" w:rsidRDefault="00645EAA">
      <w:pPr>
        <w:spacing w:line="172" w:lineRule="exact"/>
        <w:ind w:left="2044" w:right="1204"/>
        <w:jc w:val="center"/>
        <w:rPr>
          <w:rFonts w:ascii="Arial"/>
          <w:sz w:val="16"/>
        </w:rPr>
      </w:pPr>
      <w:r>
        <w:rPr>
          <w:rFonts w:ascii="Arial"/>
          <w:color w:val="7F7F7F"/>
          <w:sz w:val="16"/>
        </w:rPr>
        <w:t>Use outside these parameters is a copyright violation.</w:t>
      </w:r>
    </w:p>
    <w:p w:rsidR="00DF695B" w:rsidRDefault="00DF695B">
      <w:pPr>
        <w:spacing w:line="172" w:lineRule="exact"/>
        <w:jc w:val="center"/>
        <w:rPr>
          <w:rFonts w:ascii="Arial"/>
          <w:sz w:val="16"/>
        </w:rPr>
        <w:sectPr w:rsidR="00DF695B">
          <w:headerReference w:type="default" r:id="rId27"/>
          <w:pgSz w:w="15840" w:h="12240" w:orient="landscape"/>
          <w:pgMar w:top="0" w:right="2160" w:bottom="280" w:left="1320" w:header="0" w:footer="0" w:gutter="0"/>
          <w:cols w:space="720"/>
        </w:sectPr>
      </w:pPr>
    </w:p>
    <w:p w:rsidR="00DF695B" w:rsidRDefault="00645EAA">
      <w:pPr>
        <w:pStyle w:val="BodyText"/>
        <w:rPr>
          <w:rFonts w:ascii="Arial"/>
          <w:sz w:val="20"/>
        </w:rPr>
      </w:pPr>
      <w:r>
        <w:lastRenderedPageBreak/>
        <w:pict>
          <v:line id="_x0000_s1037" style="position:absolute;z-index:251654144;mso-position-horizontal-relative:page;mso-position-vertical-relative:page" from="724.45pt,70.55pt" to="724.45pt,541.45pt" strokeweight="2.16pt">
            <w10:wrap anchorx="page" anchory="page"/>
          </v:line>
        </w:pict>
      </w:r>
      <w:r>
        <w:pict>
          <v:shape id="_x0000_s1036" type="#_x0000_t202" style="position:absolute;margin-left:725.75pt;margin-top:71pt;width:13.15pt;height:39.7pt;z-index:251655168;mso-position-horizontal-relative:page;mso-position-vertical-relative:page" filled="f" stroked="f">
            <v:textbox style="layout-flow:vertical" inset="0,0,0,0">
              <w:txbxContent>
                <w:p w:rsidR="00DF695B" w:rsidRDefault="00645EAA">
                  <w:pPr>
                    <w:spacing w:before="12"/>
                    <w:ind w:left="20"/>
                    <w:rPr>
                      <w:rFonts w:ascii="Arial"/>
                      <w:b/>
                      <w:sz w:val="20"/>
                    </w:rPr>
                  </w:pPr>
                  <w:r>
                    <w:rPr>
                      <w:rFonts w:ascii="Arial"/>
                      <w:b/>
                      <w:sz w:val="20"/>
                    </w:rPr>
                    <w:t>Page 13</w:t>
                  </w:r>
                </w:p>
              </w:txbxContent>
            </v:textbox>
            <w10:wrap anchorx="page" anchory="page"/>
          </v:shape>
        </w:pict>
      </w:r>
      <w:r>
        <w:pict>
          <v:shape id="_x0000_s1035" type="#_x0000_t202" style="position:absolute;margin-left:725.75pt;margin-top:491.25pt;width:13.15pt;height:49.65pt;z-index:251656192;mso-position-horizontal-relative:page;mso-position-vertical-relative:page" filled="f" stroked="f">
            <v:textbox style="layout-flow:vertical" inset="0,0,0,0">
              <w:txbxContent>
                <w:p w:rsidR="00DF695B" w:rsidRDefault="00645EAA">
                  <w:pPr>
                    <w:spacing w:before="12"/>
                    <w:ind w:left="20"/>
                    <w:rPr>
                      <w:rFonts w:ascii="Arial"/>
                      <w:b/>
                      <w:sz w:val="20"/>
                    </w:rPr>
                  </w:pPr>
                  <w:r>
                    <w:rPr>
                      <w:rFonts w:ascii="Arial"/>
                      <w:b/>
                      <w:sz w:val="20"/>
                    </w:rPr>
                    <w:t>9B14A023</w:t>
                  </w:r>
                </w:p>
              </w:txbxContent>
            </v:textbox>
            <w10:wrap anchorx="page" anchory="page"/>
          </v:shape>
        </w:pict>
      </w:r>
      <w:r>
        <w:pict>
          <v:shape id="_x0000_s1034" type="#_x0000_t202" style="position:absolute;margin-left:690.5pt;margin-top:209.7pt;width:13.15pt;height:192.45pt;z-index:251657216;mso-position-horizontal-relative:page;mso-position-vertical-relative:page" filled="f" stroked="f">
            <v:textbox style="layout-flow:vertical" inset="0,0,0,0">
              <w:txbxContent>
                <w:p w:rsidR="00DF695B" w:rsidRDefault="00645EAA">
                  <w:pPr>
                    <w:spacing w:before="12"/>
                    <w:ind w:left="20"/>
                    <w:rPr>
                      <w:rFonts w:ascii="Arial"/>
                      <w:b/>
                      <w:sz w:val="20"/>
                    </w:rPr>
                  </w:pPr>
                  <w:r>
                    <w:rPr>
                      <w:rFonts w:ascii="Arial"/>
                      <w:b/>
                      <w:sz w:val="20"/>
                    </w:rPr>
                    <w:t xml:space="preserve">EXHIBIT 5B: </w:t>
                  </w:r>
                  <w:proofErr w:type="gramStart"/>
                  <w:r>
                    <w:rPr>
                      <w:rFonts w:ascii="Arial"/>
                      <w:b/>
                      <w:sz w:val="20"/>
                    </w:rPr>
                    <w:t>D.LIGHT</w:t>
                  </w:r>
                  <w:proofErr w:type="gramEnd"/>
                  <w:r>
                    <w:rPr>
                      <w:rFonts w:ascii="Arial"/>
                      <w:b/>
                      <w:sz w:val="20"/>
                    </w:rPr>
                    <w:t xml:space="preserve"> SOLAR LAMP S20</w:t>
                  </w:r>
                </w:p>
              </w:txbxContent>
            </v:textbox>
            <w10:wrap anchorx="page" anchory="page"/>
          </v:shape>
        </w:pict>
      </w:r>
      <w:r>
        <w:pict>
          <v:shape id="_x0000_s1033" type="#_x0000_t202" style="position:absolute;margin-left:88.15pt;margin-top:71pt;width:11.55pt;height:89.9pt;z-index:251658240;mso-position-horizontal-relative:page;mso-position-vertical-relative:page" filled="f" stroked="f">
            <v:textbox style="layout-flow:vertical" inset="0,0,0,0">
              <w:txbxContent>
                <w:p w:rsidR="00DF695B" w:rsidRDefault="00645EAA">
                  <w:pPr>
                    <w:spacing w:before="15"/>
                    <w:ind w:left="20"/>
                    <w:rPr>
                      <w:rFonts w:ascii="Arial"/>
                      <w:i/>
                      <w:sz w:val="17"/>
                    </w:rPr>
                  </w:pPr>
                  <w:r>
                    <w:rPr>
                      <w:rFonts w:ascii="Arial"/>
                      <w:i/>
                      <w:sz w:val="17"/>
                    </w:rPr>
                    <w:t>Source: Company files.</w:t>
                  </w:r>
                </w:p>
              </w:txbxContent>
            </v:textbox>
            <w10:wrap anchorx="page" anchory="page"/>
          </v:shape>
        </w:pict>
      </w:r>
    </w:p>
    <w:p w:rsidR="00DF695B" w:rsidRDefault="00DF695B">
      <w:pPr>
        <w:pStyle w:val="BodyText"/>
        <w:rPr>
          <w:rFonts w:ascii="Arial"/>
          <w:sz w:val="20"/>
        </w:rPr>
      </w:pPr>
    </w:p>
    <w:p w:rsidR="00DF695B" w:rsidRDefault="00DF695B">
      <w:pPr>
        <w:pStyle w:val="BodyText"/>
        <w:rPr>
          <w:rFonts w:ascii="Arial"/>
          <w:sz w:val="20"/>
        </w:rPr>
      </w:pPr>
    </w:p>
    <w:p w:rsidR="00DF695B" w:rsidRDefault="00DF695B">
      <w:pPr>
        <w:pStyle w:val="BodyText"/>
        <w:rPr>
          <w:rFonts w:ascii="Arial"/>
          <w:sz w:val="20"/>
        </w:rPr>
      </w:pPr>
    </w:p>
    <w:p w:rsidR="00DF695B" w:rsidRDefault="00DF695B">
      <w:pPr>
        <w:pStyle w:val="BodyText"/>
        <w:rPr>
          <w:rFonts w:ascii="Arial"/>
          <w:sz w:val="20"/>
        </w:rPr>
      </w:pPr>
    </w:p>
    <w:p w:rsidR="00DF695B" w:rsidRDefault="00DF695B">
      <w:pPr>
        <w:pStyle w:val="BodyText"/>
        <w:spacing w:before="6"/>
        <w:rPr>
          <w:rFonts w:ascii="Arial"/>
          <w:sz w:val="25"/>
        </w:rPr>
      </w:pPr>
    </w:p>
    <w:p w:rsidR="00DF695B" w:rsidRDefault="00645EAA">
      <w:pPr>
        <w:pStyle w:val="BodyText"/>
        <w:ind w:left="907"/>
        <w:rPr>
          <w:rFonts w:ascii="Arial"/>
          <w:sz w:val="20"/>
        </w:rPr>
      </w:pPr>
      <w:r>
        <w:rPr>
          <w:rFonts w:ascii="Arial"/>
          <w:noProof/>
          <w:sz w:val="20"/>
        </w:rPr>
        <w:drawing>
          <wp:inline distT="0" distB="0" distL="0" distR="0">
            <wp:extent cx="7164449" cy="5913405"/>
            <wp:effectExtent l="0" t="0" r="0" b="0"/>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28" cstate="print"/>
                    <a:stretch>
                      <a:fillRect/>
                    </a:stretch>
                  </pic:blipFill>
                  <pic:spPr>
                    <a:xfrm>
                      <a:off x="0" y="0"/>
                      <a:ext cx="7164449" cy="5913405"/>
                    </a:xfrm>
                    <a:prstGeom prst="rect">
                      <a:avLst/>
                    </a:prstGeom>
                  </pic:spPr>
                </pic:pic>
              </a:graphicData>
            </a:graphic>
          </wp:inline>
        </w:drawing>
      </w:r>
    </w:p>
    <w:p w:rsidR="00DF695B" w:rsidRDefault="00DF695B">
      <w:pPr>
        <w:pStyle w:val="BodyText"/>
        <w:rPr>
          <w:rFonts w:ascii="Arial"/>
          <w:sz w:val="20"/>
        </w:rPr>
      </w:pPr>
    </w:p>
    <w:p w:rsidR="00DF695B" w:rsidRDefault="00DF695B">
      <w:pPr>
        <w:pStyle w:val="BodyText"/>
        <w:rPr>
          <w:rFonts w:ascii="Arial"/>
          <w:sz w:val="20"/>
        </w:rPr>
      </w:pPr>
    </w:p>
    <w:p w:rsidR="00DF695B" w:rsidRDefault="00DF695B">
      <w:pPr>
        <w:pStyle w:val="BodyText"/>
        <w:spacing w:before="10"/>
        <w:rPr>
          <w:rFonts w:ascii="Arial"/>
          <w:sz w:val="19"/>
        </w:rPr>
      </w:pPr>
    </w:p>
    <w:p w:rsidR="00DF695B" w:rsidRDefault="00645EAA">
      <w:pPr>
        <w:spacing w:line="172" w:lineRule="exact"/>
        <w:ind w:left="2044" w:right="1204"/>
        <w:jc w:val="center"/>
        <w:rPr>
          <w:rFonts w:ascii="Arial"/>
          <w:sz w:val="16"/>
        </w:rPr>
      </w:pPr>
      <w:r>
        <w:rPr>
          <w:rFonts w:ascii="Arial"/>
          <w:color w:val="7F7F7F"/>
          <w:sz w:val="16"/>
        </w:rPr>
        <w:t xml:space="preserve">Authorized for use only by Abdullah </w:t>
      </w:r>
      <w:proofErr w:type="spellStart"/>
      <w:r>
        <w:rPr>
          <w:rFonts w:ascii="Arial"/>
          <w:color w:val="7F7F7F"/>
          <w:sz w:val="16"/>
        </w:rPr>
        <w:t>Alwasmi</w:t>
      </w:r>
      <w:proofErr w:type="spellEnd"/>
      <w:r>
        <w:rPr>
          <w:rFonts w:ascii="Arial"/>
          <w:color w:val="7F7F7F"/>
          <w:sz w:val="16"/>
        </w:rPr>
        <w:t xml:space="preserve"> in International business at Oakland University from Sep 05, 2018 to Dec 15, 2018.</w:t>
      </w:r>
    </w:p>
    <w:p w:rsidR="00DF695B" w:rsidRDefault="00645EAA">
      <w:pPr>
        <w:spacing w:line="172" w:lineRule="exact"/>
        <w:ind w:left="2044" w:right="1204"/>
        <w:jc w:val="center"/>
        <w:rPr>
          <w:rFonts w:ascii="Arial"/>
          <w:sz w:val="16"/>
        </w:rPr>
      </w:pPr>
      <w:r>
        <w:rPr>
          <w:rFonts w:ascii="Arial"/>
          <w:color w:val="7F7F7F"/>
          <w:sz w:val="16"/>
        </w:rPr>
        <w:t>Use outside these parameters is a copyright violation.</w:t>
      </w:r>
    </w:p>
    <w:p w:rsidR="00DF695B" w:rsidRDefault="00DF695B">
      <w:pPr>
        <w:spacing w:line="172" w:lineRule="exact"/>
        <w:jc w:val="center"/>
        <w:rPr>
          <w:rFonts w:ascii="Arial"/>
          <w:sz w:val="16"/>
        </w:rPr>
        <w:sectPr w:rsidR="00DF695B">
          <w:headerReference w:type="default" r:id="rId29"/>
          <w:pgSz w:w="15840" w:h="12240" w:orient="landscape"/>
          <w:pgMar w:top="0" w:right="2160" w:bottom="280" w:left="1320" w:header="0" w:footer="0" w:gutter="0"/>
          <w:cols w:space="720"/>
        </w:sectPr>
      </w:pPr>
    </w:p>
    <w:p w:rsidR="00DF695B" w:rsidRDefault="00645EAA">
      <w:pPr>
        <w:pStyle w:val="BodyText"/>
        <w:rPr>
          <w:rFonts w:ascii="Arial"/>
          <w:sz w:val="20"/>
        </w:rPr>
      </w:pPr>
      <w:r>
        <w:lastRenderedPageBreak/>
        <w:pict>
          <v:line id="_x0000_s1032" style="position:absolute;z-index:251659264;mso-position-horizontal-relative:page;mso-position-vertical-relative:page" from="724.45pt,70.55pt" to="724.45pt,541.45pt" strokeweight="2.16pt">
            <w10:wrap anchorx="page" anchory="page"/>
          </v:line>
        </w:pict>
      </w:r>
      <w:r>
        <w:pict>
          <v:shape id="_x0000_s1031" type="#_x0000_t202" style="position:absolute;margin-left:725.75pt;margin-top:71pt;width:13.15pt;height:39.7pt;z-index:251660288;mso-position-horizontal-relative:page;mso-position-vertical-relative:page" filled="f" stroked="f">
            <v:textbox style="layout-flow:vertical" inset="0,0,0,0">
              <w:txbxContent>
                <w:p w:rsidR="00DF695B" w:rsidRDefault="00645EAA">
                  <w:pPr>
                    <w:spacing w:before="12"/>
                    <w:ind w:left="20"/>
                    <w:rPr>
                      <w:rFonts w:ascii="Arial"/>
                      <w:b/>
                      <w:sz w:val="20"/>
                    </w:rPr>
                  </w:pPr>
                  <w:r>
                    <w:rPr>
                      <w:rFonts w:ascii="Arial"/>
                      <w:b/>
                      <w:sz w:val="20"/>
                    </w:rPr>
                    <w:t>Page 14</w:t>
                  </w:r>
                </w:p>
              </w:txbxContent>
            </v:textbox>
            <w10:wrap anchorx="page" anchory="page"/>
          </v:shape>
        </w:pict>
      </w:r>
      <w:r>
        <w:pict>
          <v:shape id="_x0000_s1030" type="#_x0000_t202" style="position:absolute;margin-left:725.75pt;margin-top:491.25pt;width:13.15pt;height:49.65pt;z-index:251661312;mso-position-horizontal-relative:page;mso-position-vertical-relative:page" filled="f" stroked="f">
            <v:textbox style="layout-flow:vertical" inset="0,0,0,0">
              <w:txbxContent>
                <w:p w:rsidR="00DF695B" w:rsidRDefault="00645EAA">
                  <w:pPr>
                    <w:spacing w:before="12"/>
                    <w:ind w:left="20"/>
                    <w:rPr>
                      <w:rFonts w:ascii="Arial"/>
                      <w:b/>
                      <w:sz w:val="20"/>
                    </w:rPr>
                  </w:pPr>
                  <w:r>
                    <w:rPr>
                      <w:rFonts w:ascii="Arial"/>
                      <w:b/>
                      <w:sz w:val="20"/>
                    </w:rPr>
                    <w:t>9B14A023</w:t>
                  </w:r>
                </w:p>
              </w:txbxContent>
            </v:textbox>
            <w10:wrap anchorx="page" anchory="page"/>
          </v:shape>
        </w:pict>
      </w:r>
      <w:r>
        <w:pict>
          <v:shape id="_x0000_s1029" type="#_x0000_t202" style="position:absolute;margin-left:690.5pt;margin-top:206.95pt;width:13.15pt;height:197.95pt;z-index:251662336;mso-position-horizontal-relative:page;mso-position-vertical-relative:page" filled="f" stroked="f">
            <v:textbox style="layout-flow:vertical" inset="0,0,0,0">
              <w:txbxContent>
                <w:p w:rsidR="00DF695B" w:rsidRDefault="00645EAA">
                  <w:pPr>
                    <w:spacing w:before="12"/>
                    <w:ind w:left="20"/>
                    <w:rPr>
                      <w:rFonts w:ascii="Arial"/>
                      <w:b/>
                      <w:sz w:val="20"/>
                    </w:rPr>
                  </w:pPr>
                  <w:r>
                    <w:rPr>
                      <w:rFonts w:ascii="Arial"/>
                      <w:b/>
                      <w:sz w:val="20"/>
                    </w:rPr>
                    <w:t xml:space="preserve">EXHIBIT 5C: </w:t>
                  </w:r>
                  <w:proofErr w:type="gramStart"/>
                  <w:r>
                    <w:rPr>
                      <w:rFonts w:ascii="Arial"/>
                      <w:b/>
                      <w:sz w:val="20"/>
                    </w:rPr>
                    <w:t>D.LIGHT</w:t>
                  </w:r>
                  <w:proofErr w:type="gramEnd"/>
                  <w:r>
                    <w:rPr>
                      <w:rFonts w:ascii="Arial"/>
                      <w:b/>
                      <w:sz w:val="20"/>
                    </w:rPr>
                    <w:t xml:space="preserve"> SOLAR LAMP S300</w:t>
                  </w:r>
                </w:p>
              </w:txbxContent>
            </v:textbox>
            <w10:wrap anchorx="page" anchory="page"/>
          </v:shape>
        </w:pict>
      </w:r>
      <w:r>
        <w:pict>
          <v:shape id="_x0000_s1028" type="#_x0000_t202" style="position:absolute;margin-left:122.1pt;margin-top:71pt;width:11.55pt;height:89.9pt;z-index:251663360;mso-position-horizontal-relative:page;mso-position-vertical-relative:page" filled="f" stroked="f">
            <v:textbox style="layout-flow:vertical" inset="0,0,0,0">
              <w:txbxContent>
                <w:p w:rsidR="00DF695B" w:rsidRDefault="00645EAA">
                  <w:pPr>
                    <w:spacing w:before="15"/>
                    <w:ind w:left="20"/>
                    <w:rPr>
                      <w:rFonts w:ascii="Arial"/>
                      <w:i/>
                      <w:sz w:val="17"/>
                    </w:rPr>
                  </w:pPr>
                  <w:r>
                    <w:rPr>
                      <w:rFonts w:ascii="Arial"/>
                      <w:i/>
                      <w:sz w:val="17"/>
                    </w:rPr>
                    <w:t>Source: Company files.</w:t>
                  </w:r>
                </w:p>
              </w:txbxContent>
            </v:textbox>
            <w10:wrap anchorx="page" anchory="page"/>
          </v:shape>
        </w:pict>
      </w:r>
    </w:p>
    <w:p w:rsidR="00DF695B" w:rsidRDefault="00DF695B">
      <w:pPr>
        <w:pStyle w:val="BodyText"/>
        <w:rPr>
          <w:rFonts w:ascii="Arial"/>
          <w:sz w:val="20"/>
        </w:rPr>
      </w:pPr>
    </w:p>
    <w:p w:rsidR="00DF695B" w:rsidRDefault="00DF695B">
      <w:pPr>
        <w:pStyle w:val="BodyText"/>
        <w:rPr>
          <w:rFonts w:ascii="Arial"/>
          <w:sz w:val="20"/>
        </w:rPr>
      </w:pPr>
    </w:p>
    <w:p w:rsidR="00DF695B" w:rsidRDefault="00DF695B">
      <w:pPr>
        <w:pStyle w:val="BodyText"/>
        <w:rPr>
          <w:rFonts w:ascii="Arial"/>
          <w:sz w:val="20"/>
        </w:rPr>
      </w:pPr>
    </w:p>
    <w:p w:rsidR="00DF695B" w:rsidRDefault="00DF695B">
      <w:pPr>
        <w:pStyle w:val="BodyText"/>
        <w:rPr>
          <w:rFonts w:ascii="Arial"/>
          <w:sz w:val="20"/>
        </w:rPr>
      </w:pPr>
    </w:p>
    <w:p w:rsidR="00DF695B" w:rsidRDefault="00DF695B">
      <w:pPr>
        <w:pStyle w:val="BodyText"/>
        <w:spacing w:before="6"/>
        <w:rPr>
          <w:rFonts w:ascii="Arial"/>
          <w:sz w:val="25"/>
        </w:rPr>
      </w:pPr>
    </w:p>
    <w:p w:rsidR="00DF695B" w:rsidRDefault="00645EAA">
      <w:pPr>
        <w:pStyle w:val="BodyText"/>
        <w:ind w:left="1586"/>
        <w:rPr>
          <w:rFonts w:ascii="Arial"/>
          <w:sz w:val="20"/>
        </w:rPr>
      </w:pPr>
      <w:r>
        <w:rPr>
          <w:rFonts w:ascii="Arial"/>
          <w:noProof/>
          <w:sz w:val="20"/>
        </w:rPr>
        <w:drawing>
          <wp:inline distT="0" distB="0" distL="0" distR="0">
            <wp:extent cx="6727433" cy="5897499"/>
            <wp:effectExtent l="0" t="0" r="0" b="0"/>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30" cstate="print"/>
                    <a:stretch>
                      <a:fillRect/>
                    </a:stretch>
                  </pic:blipFill>
                  <pic:spPr>
                    <a:xfrm>
                      <a:off x="0" y="0"/>
                      <a:ext cx="6727433" cy="5897499"/>
                    </a:xfrm>
                    <a:prstGeom prst="rect">
                      <a:avLst/>
                    </a:prstGeom>
                  </pic:spPr>
                </pic:pic>
              </a:graphicData>
            </a:graphic>
          </wp:inline>
        </w:drawing>
      </w:r>
    </w:p>
    <w:p w:rsidR="00DF695B" w:rsidRDefault="00DF695B">
      <w:pPr>
        <w:pStyle w:val="BodyText"/>
        <w:rPr>
          <w:rFonts w:ascii="Arial"/>
          <w:sz w:val="20"/>
        </w:rPr>
      </w:pPr>
    </w:p>
    <w:p w:rsidR="00DF695B" w:rsidRDefault="00DF695B">
      <w:pPr>
        <w:pStyle w:val="BodyText"/>
        <w:rPr>
          <w:rFonts w:ascii="Arial"/>
          <w:sz w:val="20"/>
        </w:rPr>
      </w:pPr>
    </w:p>
    <w:p w:rsidR="00DF695B" w:rsidRDefault="00DF695B">
      <w:pPr>
        <w:pStyle w:val="BodyText"/>
        <w:spacing w:before="1"/>
        <w:rPr>
          <w:rFonts w:ascii="Arial"/>
        </w:rPr>
      </w:pPr>
    </w:p>
    <w:p w:rsidR="00DF695B" w:rsidRDefault="00645EAA">
      <w:pPr>
        <w:spacing w:line="172" w:lineRule="exact"/>
        <w:ind w:left="2044" w:right="1204"/>
        <w:jc w:val="center"/>
        <w:rPr>
          <w:rFonts w:ascii="Arial"/>
          <w:sz w:val="16"/>
        </w:rPr>
      </w:pPr>
      <w:r>
        <w:rPr>
          <w:rFonts w:ascii="Arial"/>
          <w:color w:val="7F7F7F"/>
          <w:sz w:val="16"/>
        </w:rPr>
        <w:t xml:space="preserve">Authorized for use only by Abdullah </w:t>
      </w:r>
      <w:proofErr w:type="spellStart"/>
      <w:r>
        <w:rPr>
          <w:rFonts w:ascii="Arial"/>
          <w:color w:val="7F7F7F"/>
          <w:sz w:val="16"/>
        </w:rPr>
        <w:t>Alwasmi</w:t>
      </w:r>
      <w:proofErr w:type="spellEnd"/>
      <w:r>
        <w:rPr>
          <w:rFonts w:ascii="Arial"/>
          <w:color w:val="7F7F7F"/>
          <w:sz w:val="16"/>
        </w:rPr>
        <w:t xml:space="preserve"> in International business at Oakland University from Sep 05, 2018 to Dec 15, 2018.</w:t>
      </w:r>
    </w:p>
    <w:p w:rsidR="00DF695B" w:rsidRDefault="00645EAA">
      <w:pPr>
        <w:spacing w:line="172" w:lineRule="exact"/>
        <w:ind w:left="2044" w:right="1204"/>
        <w:jc w:val="center"/>
        <w:rPr>
          <w:rFonts w:ascii="Arial"/>
          <w:sz w:val="16"/>
        </w:rPr>
      </w:pPr>
      <w:r>
        <w:rPr>
          <w:rFonts w:ascii="Arial"/>
          <w:color w:val="7F7F7F"/>
          <w:sz w:val="16"/>
        </w:rPr>
        <w:t>Use outside these parameters is a copyright violation.</w:t>
      </w:r>
    </w:p>
    <w:p w:rsidR="00DF695B" w:rsidRDefault="00DF695B">
      <w:pPr>
        <w:spacing w:line="172" w:lineRule="exact"/>
        <w:jc w:val="center"/>
        <w:rPr>
          <w:rFonts w:ascii="Arial"/>
          <w:sz w:val="16"/>
        </w:rPr>
        <w:sectPr w:rsidR="00DF695B">
          <w:headerReference w:type="default" r:id="rId31"/>
          <w:pgSz w:w="15840" w:h="12240" w:orient="landscape"/>
          <w:pgMar w:top="0" w:right="2160" w:bottom="280" w:left="1320" w:header="0" w:footer="0" w:gutter="0"/>
          <w:cols w:space="720"/>
        </w:sectPr>
      </w:pPr>
    </w:p>
    <w:p w:rsidR="00DF695B" w:rsidRDefault="00645EAA">
      <w:pPr>
        <w:tabs>
          <w:tab w:val="left" w:pos="8544"/>
        </w:tabs>
        <w:spacing w:before="75"/>
        <w:ind w:left="140"/>
        <w:rPr>
          <w:rFonts w:ascii="Arial"/>
          <w:b/>
          <w:sz w:val="20"/>
        </w:rPr>
      </w:pPr>
      <w:r>
        <w:lastRenderedPageBreak/>
        <w:pict>
          <v:line id="_x0000_s1027" style="position:absolute;left:0;text-align:left;z-index:-251640832;mso-wrap-distance-left:0;mso-wrap-distance-right:0;mso-position-horizontal-relative:page" from="70.55pt,17.55pt" to="541.45pt,17.55pt" strokeweight="2.16pt">
            <w10:wrap type="topAndBottom" anchorx="page"/>
          </v:line>
        </w:pict>
      </w:r>
      <w:r>
        <w:rPr>
          <w:rFonts w:ascii="Arial"/>
          <w:b/>
          <w:sz w:val="20"/>
        </w:rPr>
        <w:t>Page</w:t>
      </w:r>
      <w:r>
        <w:rPr>
          <w:rFonts w:ascii="Arial"/>
          <w:b/>
          <w:spacing w:val="-1"/>
          <w:sz w:val="20"/>
        </w:rPr>
        <w:t xml:space="preserve"> </w:t>
      </w:r>
      <w:r>
        <w:rPr>
          <w:rFonts w:ascii="Arial"/>
          <w:b/>
          <w:sz w:val="20"/>
        </w:rPr>
        <w:t>15</w:t>
      </w:r>
      <w:r>
        <w:rPr>
          <w:rFonts w:ascii="Arial"/>
          <w:b/>
          <w:sz w:val="20"/>
        </w:rPr>
        <w:tab/>
        <w:t>9B14A023</w:t>
      </w:r>
    </w:p>
    <w:p w:rsidR="00DF695B" w:rsidRDefault="00DF695B">
      <w:pPr>
        <w:pStyle w:val="BodyText"/>
        <w:spacing w:before="9"/>
        <w:rPr>
          <w:rFonts w:ascii="Arial"/>
          <w:b/>
          <w:sz w:val="24"/>
        </w:rPr>
      </w:pPr>
    </w:p>
    <w:p w:rsidR="00DF695B" w:rsidRDefault="00645EAA">
      <w:pPr>
        <w:spacing w:before="93"/>
        <w:ind w:left="1884"/>
        <w:rPr>
          <w:rFonts w:ascii="Arial"/>
          <w:b/>
          <w:sz w:val="20"/>
        </w:rPr>
      </w:pPr>
      <w:r>
        <w:pict>
          <v:shape id="_x0000_s1026" type="#_x0000_t202" style="position:absolute;left:0;text-align:left;margin-left:571.55pt;margin-top:83.8pt;width:18.95pt;height:455.6pt;z-index:251664384;mso-position-horizontal-relative:page" filled="f" stroked="f">
            <v:textbox style="layout-flow:vertical;mso-layout-flow-alt:bottom-to-top" inset="0,0,0,0">
              <w:txbxContent>
                <w:p w:rsidR="00DF695B" w:rsidRDefault="00645EAA">
                  <w:pPr>
                    <w:spacing w:before="14" w:line="172" w:lineRule="exact"/>
                    <w:jc w:val="center"/>
                    <w:rPr>
                      <w:rFonts w:ascii="Arial"/>
                      <w:sz w:val="16"/>
                    </w:rPr>
                  </w:pPr>
                  <w:r>
                    <w:rPr>
                      <w:rFonts w:ascii="Arial"/>
                      <w:color w:val="7F7F7F"/>
                      <w:sz w:val="16"/>
                    </w:rPr>
                    <w:t xml:space="preserve">Authorized for use only by Abdullah </w:t>
                  </w:r>
                  <w:proofErr w:type="spellStart"/>
                  <w:r>
                    <w:rPr>
                      <w:rFonts w:ascii="Arial"/>
                      <w:color w:val="7F7F7F"/>
                      <w:sz w:val="16"/>
                    </w:rPr>
                    <w:t>Alwasmi</w:t>
                  </w:r>
                  <w:proofErr w:type="spellEnd"/>
                  <w:r>
                    <w:rPr>
                      <w:rFonts w:ascii="Arial"/>
                      <w:color w:val="7F7F7F"/>
                      <w:sz w:val="16"/>
                    </w:rPr>
                    <w:t xml:space="preserve"> in International business at Oakland University from Sep 05, 2018 to Dec 15, 2018.</w:t>
                  </w:r>
                </w:p>
                <w:p w:rsidR="00DF695B" w:rsidRDefault="00645EAA">
                  <w:pPr>
                    <w:spacing w:line="172" w:lineRule="exact"/>
                    <w:jc w:val="center"/>
                    <w:rPr>
                      <w:rFonts w:ascii="Arial"/>
                      <w:sz w:val="16"/>
                    </w:rPr>
                  </w:pPr>
                  <w:r>
                    <w:rPr>
                      <w:rFonts w:ascii="Arial"/>
                      <w:color w:val="7F7F7F"/>
                      <w:sz w:val="16"/>
                    </w:rPr>
                    <w:t>Use outside these parameters is</w:t>
                  </w:r>
                  <w:r>
                    <w:rPr>
                      <w:rFonts w:ascii="Arial"/>
                      <w:color w:val="7F7F7F"/>
                      <w:sz w:val="16"/>
                    </w:rPr>
                    <w:t xml:space="preserve"> a copyright violation.</w:t>
                  </w:r>
                </w:p>
              </w:txbxContent>
            </v:textbox>
            <w10:wrap anchorx="page"/>
          </v:shape>
        </w:pict>
      </w:r>
      <w:r>
        <w:rPr>
          <w:rFonts w:ascii="Arial"/>
          <w:b/>
          <w:sz w:val="20"/>
        </w:rPr>
        <w:t>EXHIBIT 6: COMPARATIVE COSTS OF LIGHTING SOLUTIONS</w:t>
      </w:r>
    </w:p>
    <w:p w:rsidR="00DF695B" w:rsidRDefault="00DF695B">
      <w:pPr>
        <w:pStyle w:val="BodyText"/>
        <w:spacing w:before="4" w:after="1"/>
        <w:rPr>
          <w:rFonts w:ascii="Arial"/>
          <w:b/>
        </w:rPr>
      </w:pP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8"/>
        <w:gridCol w:w="1529"/>
        <w:gridCol w:w="2071"/>
        <w:gridCol w:w="2609"/>
        <w:gridCol w:w="2242"/>
      </w:tblGrid>
      <w:tr w:rsidR="00DF695B">
        <w:trPr>
          <w:trHeight w:val="462"/>
        </w:trPr>
        <w:tc>
          <w:tcPr>
            <w:tcW w:w="468" w:type="dxa"/>
          </w:tcPr>
          <w:p w:rsidR="00DF695B" w:rsidRDefault="00DF695B">
            <w:pPr>
              <w:pStyle w:val="TableParagraph"/>
              <w:spacing w:line="240" w:lineRule="auto"/>
              <w:ind w:left="0"/>
              <w:rPr>
                <w:rFonts w:ascii="Times New Roman"/>
                <w:sz w:val="18"/>
              </w:rPr>
            </w:pPr>
          </w:p>
        </w:tc>
        <w:tc>
          <w:tcPr>
            <w:tcW w:w="1529" w:type="dxa"/>
          </w:tcPr>
          <w:p w:rsidR="00DF695B" w:rsidRDefault="00DF695B">
            <w:pPr>
              <w:pStyle w:val="TableParagraph"/>
              <w:spacing w:line="240" w:lineRule="auto"/>
              <w:ind w:left="0"/>
              <w:rPr>
                <w:rFonts w:ascii="Times New Roman"/>
                <w:sz w:val="18"/>
              </w:rPr>
            </w:pPr>
          </w:p>
        </w:tc>
        <w:tc>
          <w:tcPr>
            <w:tcW w:w="2071" w:type="dxa"/>
          </w:tcPr>
          <w:p w:rsidR="00DF695B" w:rsidRDefault="00645EAA">
            <w:pPr>
              <w:pStyle w:val="TableParagraph"/>
              <w:spacing w:line="228" w:lineRule="exact"/>
              <w:rPr>
                <w:rFonts w:ascii="Times New Roman"/>
                <w:sz w:val="20"/>
              </w:rPr>
            </w:pPr>
            <w:r>
              <w:rPr>
                <w:sz w:val="20"/>
              </w:rPr>
              <w:t>Initial cost (in INR</w:t>
            </w:r>
            <w:r>
              <w:rPr>
                <w:rFonts w:ascii="Times New Roman"/>
                <w:sz w:val="20"/>
              </w:rPr>
              <w:t>)</w:t>
            </w:r>
          </w:p>
        </w:tc>
        <w:tc>
          <w:tcPr>
            <w:tcW w:w="2609" w:type="dxa"/>
          </w:tcPr>
          <w:p w:rsidR="00DF695B" w:rsidRDefault="00645EAA">
            <w:pPr>
              <w:pStyle w:val="TableParagraph"/>
              <w:spacing w:line="228" w:lineRule="exact"/>
              <w:rPr>
                <w:rFonts w:ascii="Times New Roman"/>
                <w:sz w:val="20"/>
              </w:rPr>
            </w:pPr>
            <w:r>
              <w:rPr>
                <w:sz w:val="20"/>
              </w:rPr>
              <w:t>Recurring cost (in INR</w:t>
            </w:r>
            <w:r>
              <w:rPr>
                <w:rFonts w:ascii="Times New Roman"/>
                <w:sz w:val="20"/>
              </w:rPr>
              <w:t>)</w:t>
            </w:r>
          </w:p>
        </w:tc>
        <w:tc>
          <w:tcPr>
            <w:tcW w:w="2242" w:type="dxa"/>
          </w:tcPr>
          <w:p w:rsidR="00DF695B" w:rsidRDefault="00645EAA">
            <w:pPr>
              <w:pStyle w:val="TableParagraph"/>
              <w:spacing w:before="6" w:line="226" w:lineRule="exact"/>
              <w:ind w:right="337"/>
              <w:rPr>
                <w:rFonts w:ascii="Times New Roman"/>
                <w:sz w:val="20"/>
              </w:rPr>
            </w:pPr>
            <w:r>
              <w:rPr>
                <w:sz w:val="20"/>
              </w:rPr>
              <w:t>Cost per annum per household (in INR</w:t>
            </w:r>
            <w:r>
              <w:rPr>
                <w:rFonts w:ascii="Times New Roman"/>
                <w:sz w:val="20"/>
              </w:rPr>
              <w:t>)</w:t>
            </w:r>
          </w:p>
        </w:tc>
      </w:tr>
      <w:tr w:rsidR="00DF695B">
        <w:trPr>
          <w:trHeight w:val="457"/>
        </w:trPr>
        <w:tc>
          <w:tcPr>
            <w:tcW w:w="468" w:type="dxa"/>
          </w:tcPr>
          <w:p w:rsidR="00DF695B" w:rsidRDefault="00645EAA">
            <w:pPr>
              <w:pStyle w:val="TableParagraph"/>
              <w:rPr>
                <w:sz w:val="20"/>
              </w:rPr>
            </w:pPr>
            <w:r>
              <w:rPr>
                <w:w w:val="99"/>
                <w:sz w:val="20"/>
              </w:rPr>
              <w:t>1</w:t>
            </w:r>
          </w:p>
        </w:tc>
        <w:tc>
          <w:tcPr>
            <w:tcW w:w="1529" w:type="dxa"/>
          </w:tcPr>
          <w:p w:rsidR="00DF695B" w:rsidRDefault="00645EAA">
            <w:pPr>
              <w:pStyle w:val="TableParagraph"/>
              <w:rPr>
                <w:sz w:val="20"/>
              </w:rPr>
            </w:pPr>
            <w:r>
              <w:rPr>
                <w:sz w:val="20"/>
              </w:rPr>
              <w:t>Candle</w:t>
            </w:r>
          </w:p>
        </w:tc>
        <w:tc>
          <w:tcPr>
            <w:tcW w:w="2071" w:type="dxa"/>
          </w:tcPr>
          <w:p w:rsidR="00DF695B" w:rsidRDefault="00645EAA">
            <w:pPr>
              <w:pStyle w:val="TableParagraph"/>
              <w:rPr>
                <w:sz w:val="20"/>
              </w:rPr>
            </w:pPr>
            <w:r>
              <w:rPr>
                <w:sz w:val="20"/>
              </w:rPr>
              <w:t>5 per unit</w:t>
            </w:r>
          </w:p>
        </w:tc>
        <w:tc>
          <w:tcPr>
            <w:tcW w:w="2609" w:type="dxa"/>
          </w:tcPr>
          <w:p w:rsidR="00DF695B" w:rsidRDefault="00645EAA">
            <w:pPr>
              <w:pStyle w:val="TableParagraph"/>
              <w:spacing w:line="230" w:lineRule="exact"/>
              <w:ind w:right="404"/>
              <w:rPr>
                <w:sz w:val="20"/>
              </w:rPr>
            </w:pPr>
            <w:r>
              <w:rPr>
                <w:sz w:val="20"/>
              </w:rPr>
              <w:t>Minimum 2 candles per night</w:t>
            </w:r>
          </w:p>
        </w:tc>
        <w:tc>
          <w:tcPr>
            <w:tcW w:w="2242" w:type="dxa"/>
          </w:tcPr>
          <w:p w:rsidR="00DF695B" w:rsidRDefault="00645EAA">
            <w:pPr>
              <w:pStyle w:val="TableParagraph"/>
              <w:ind w:left="0" w:right="984"/>
              <w:jc w:val="right"/>
              <w:rPr>
                <w:sz w:val="20"/>
              </w:rPr>
            </w:pPr>
            <w:r>
              <w:rPr>
                <w:sz w:val="20"/>
              </w:rPr>
              <w:t>3,600</w:t>
            </w:r>
          </w:p>
        </w:tc>
      </w:tr>
      <w:tr w:rsidR="00DF695B">
        <w:trPr>
          <w:trHeight w:val="458"/>
        </w:trPr>
        <w:tc>
          <w:tcPr>
            <w:tcW w:w="468" w:type="dxa"/>
          </w:tcPr>
          <w:p w:rsidR="00DF695B" w:rsidRDefault="00645EAA">
            <w:pPr>
              <w:pStyle w:val="TableParagraph"/>
              <w:rPr>
                <w:sz w:val="20"/>
              </w:rPr>
            </w:pPr>
            <w:r>
              <w:rPr>
                <w:w w:val="99"/>
                <w:sz w:val="20"/>
              </w:rPr>
              <w:t>2</w:t>
            </w:r>
          </w:p>
        </w:tc>
        <w:tc>
          <w:tcPr>
            <w:tcW w:w="1529" w:type="dxa"/>
          </w:tcPr>
          <w:p w:rsidR="00DF695B" w:rsidRDefault="00645EAA">
            <w:pPr>
              <w:pStyle w:val="TableParagraph"/>
              <w:rPr>
                <w:sz w:val="20"/>
              </w:rPr>
            </w:pPr>
            <w:r>
              <w:rPr>
                <w:sz w:val="20"/>
              </w:rPr>
              <w:t>Flashlight</w:t>
            </w:r>
          </w:p>
        </w:tc>
        <w:tc>
          <w:tcPr>
            <w:tcW w:w="2071" w:type="dxa"/>
          </w:tcPr>
          <w:p w:rsidR="00DF695B" w:rsidRDefault="00645EAA">
            <w:pPr>
              <w:pStyle w:val="TableParagraph"/>
              <w:rPr>
                <w:sz w:val="20"/>
              </w:rPr>
            </w:pPr>
            <w:r>
              <w:rPr>
                <w:sz w:val="20"/>
              </w:rPr>
              <w:t>100</w:t>
            </w:r>
          </w:p>
        </w:tc>
        <w:tc>
          <w:tcPr>
            <w:tcW w:w="2609" w:type="dxa"/>
          </w:tcPr>
          <w:p w:rsidR="00DF695B" w:rsidRDefault="00645EAA">
            <w:pPr>
              <w:pStyle w:val="TableParagraph"/>
              <w:spacing w:before="2" w:line="228" w:lineRule="exact"/>
              <w:ind w:right="323"/>
              <w:rPr>
                <w:sz w:val="20"/>
              </w:rPr>
            </w:pPr>
            <w:r>
              <w:rPr>
                <w:sz w:val="20"/>
              </w:rPr>
              <w:t>3 batteries per month @ 15</w:t>
            </w:r>
          </w:p>
        </w:tc>
        <w:tc>
          <w:tcPr>
            <w:tcW w:w="2242" w:type="dxa"/>
          </w:tcPr>
          <w:p w:rsidR="00DF695B" w:rsidRDefault="00645EAA">
            <w:pPr>
              <w:pStyle w:val="TableParagraph"/>
              <w:ind w:left="0" w:right="984"/>
              <w:jc w:val="right"/>
              <w:rPr>
                <w:sz w:val="20"/>
              </w:rPr>
            </w:pPr>
            <w:r>
              <w:rPr>
                <w:w w:val="95"/>
                <w:sz w:val="20"/>
              </w:rPr>
              <w:t>540</w:t>
            </w:r>
          </w:p>
        </w:tc>
      </w:tr>
      <w:tr w:rsidR="00DF695B">
        <w:trPr>
          <w:trHeight w:val="460"/>
        </w:trPr>
        <w:tc>
          <w:tcPr>
            <w:tcW w:w="468" w:type="dxa"/>
          </w:tcPr>
          <w:p w:rsidR="00DF695B" w:rsidRDefault="00645EAA">
            <w:pPr>
              <w:pStyle w:val="TableParagraph"/>
              <w:rPr>
                <w:sz w:val="20"/>
              </w:rPr>
            </w:pPr>
            <w:r>
              <w:rPr>
                <w:w w:val="99"/>
                <w:sz w:val="20"/>
              </w:rPr>
              <w:t>3</w:t>
            </w:r>
          </w:p>
        </w:tc>
        <w:tc>
          <w:tcPr>
            <w:tcW w:w="1529" w:type="dxa"/>
          </w:tcPr>
          <w:p w:rsidR="00DF695B" w:rsidRDefault="00645EAA">
            <w:pPr>
              <w:pStyle w:val="TableParagraph"/>
              <w:spacing w:line="230" w:lineRule="exact"/>
              <w:rPr>
                <w:sz w:val="20"/>
              </w:rPr>
            </w:pPr>
            <w:r>
              <w:rPr>
                <w:sz w:val="20"/>
              </w:rPr>
              <w:t>Diesel Generator</w:t>
            </w:r>
          </w:p>
        </w:tc>
        <w:tc>
          <w:tcPr>
            <w:tcW w:w="2071" w:type="dxa"/>
          </w:tcPr>
          <w:p w:rsidR="00DF695B" w:rsidRDefault="00645EAA">
            <w:pPr>
              <w:pStyle w:val="TableParagraph"/>
              <w:rPr>
                <w:sz w:val="20"/>
              </w:rPr>
            </w:pPr>
            <w:r>
              <w:rPr>
                <w:sz w:val="20"/>
              </w:rPr>
              <w:t>12,000</w:t>
            </w:r>
          </w:p>
        </w:tc>
        <w:tc>
          <w:tcPr>
            <w:tcW w:w="2609" w:type="dxa"/>
          </w:tcPr>
          <w:p w:rsidR="00DF695B" w:rsidRDefault="00645EAA">
            <w:pPr>
              <w:pStyle w:val="TableParagraph"/>
              <w:spacing w:line="230" w:lineRule="exact"/>
              <w:ind w:right="323"/>
              <w:rPr>
                <w:sz w:val="20"/>
              </w:rPr>
            </w:pPr>
            <w:r>
              <w:rPr>
                <w:sz w:val="20"/>
              </w:rPr>
              <w:t xml:space="preserve">2 </w:t>
            </w:r>
            <w:proofErr w:type="spellStart"/>
            <w:r>
              <w:rPr>
                <w:sz w:val="20"/>
              </w:rPr>
              <w:t>litres</w:t>
            </w:r>
            <w:proofErr w:type="spellEnd"/>
            <w:r>
              <w:rPr>
                <w:sz w:val="20"/>
              </w:rPr>
              <w:t xml:space="preserve"> diesel per day @ 55 per liter</w:t>
            </w:r>
          </w:p>
        </w:tc>
        <w:tc>
          <w:tcPr>
            <w:tcW w:w="2242" w:type="dxa"/>
          </w:tcPr>
          <w:p w:rsidR="00DF695B" w:rsidRDefault="00645EAA">
            <w:pPr>
              <w:pStyle w:val="TableParagraph"/>
              <w:ind w:left="0" w:right="984"/>
              <w:jc w:val="right"/>
              <w:rPr>
                <w:sz w:val="20"/>
              </w:rPr>
            </w:pPr>
            <w:r>
              <w:rPr>
                <w:sz w:val="20"/>
              </w:rPr>
              <w:t>39,600</w:t>
            </w:r>
          </w:p>
        </w:tc>
      </w:tr>
      <w:tr w:rsidR="00DF695B">
        <w:trPr>
          <w:trHeight w:val="690"/>
        </w:trPr>
        <w:tc>
          <w:tcPr>
            <w:tcW w:w="468" w:type="dxa"/>
          </w:tcPr>
          <w:p w:rsidR="00DF695B" w:rsidRDefault="00645EAA">
            <w:pPr>
              <w:pStyle w:val="TableParagraph"/>
              <w:rPr>
                <w:sz w:val="20"/>
              </w:rPr>
            </w:pPr>
            <w:r>
              <w:rPr>
                <w:w w:val="99"/>
                <w:sz w:val="20"/>
              </w:rPr>
              <w:t>4</w:t>
            </w:r>
          </w:p>
        </w:tc>
        <w:tc>
          <w:tcPr>
            <w:tcW w:w="1529" w:type="dxa"/>
          </w:tcPr>
          <w:p w:rsidR="00DF695B" w:rsidRDefault="00645EAA">
            <w:pPr>
              <w:pStyle w:val="TableParagraph"/>
              <w:rPr>
                <w:sz w:val="20"/>
              </w:rPr>
            </w:pPr>
            <w:r>
              <w:rPr>
                <w:sz w:val="20"/>
              </w:rPr>
              <w:t>Petromax</w:t>
            </w:r>
          </w:p>
        </w:tc>
        <w:tc>
          <w:tcPr>
            <w:tcW w:w="2071" w:type="dxa"/>
          </w:tcPr>
          <w:p w:rsidR="00DF695B" w:rsidRDefault="00645EAA">
            <w:pPr>
              <w:pStyle w:val="TableParagraph"/>
              <w:rPr>
                <w:sz w:val="20"/>
              </w:rPr>
            </w:pPr>
            <w:r>
              <w:rPr>
                <w:sz w:val="20"/>
              </w:rPr>
              <w:t>1,000</w:t>
            </w:r>
          </w:p>
        </w:tc>
        <w:tc>
          <w:tcPr>
            <w:tcW w:w="2609" w:type="dxa"/>
          </w:tcPr>
          <w:p w:rsidR="00DF695B" w:rsidRDefault="00645EAA">
            <w:pPr>
              <w:pStyle w:val="TableParagraph"/>
              <w:spacing w:line="230" w:lineRule="exact"/>
              <w:ind w:right="126"/>
              <w:rPr>
                <w:sz w:val="20"/>
              </w:rPr>
            </w:pPr>
            <w:r>
              <w:rPr>
                <w:sz w:val="20"/>
              </w:rPr>
              <w:t>250 grams of gas per hour for 4 hours @ 30 per kilogram</w:t>
            </w:r>
          </w:p>
        </w:tc>
        <w:tc>
          <w:tcPr>
            <w:tcW w:w="2242" w:type="dxa"/>
          </w:tcPr>
          <w:p w:rsidR="00DF695B" w:rsidRDefault="00645EAA">
            <w:pPr>
              <w:pStyle w:val="TableParagraph"/>
              <w:ind w:left="0" w:right="984"/>
              <w:jc w:val="right"/>
              <w:rPr>
                <w:sz w:val="20"/>
              </w:rPr>
            </w:pPr>
            <w:r>
              <w:rPr>
                <w:sz w:val="20"/>
              </w:rPr>
              <w:t>10,800</w:t>
            </w:r>
          </w:p>
        </w:tc>
      </w:tr>
      <w:tr w:rsidR="00DF695B">
        <w:trPr>
          <w:trHeight w:val="457"/>
        </w:trPr>
        <w:tc>
          <w:tcPr>
            <w:tcW w:w="468" w:type="dxa"/>
          </w:tcPr>
          <w:p w:rsidR="00DF695B" w:rsidRDefault="00645EAA">
            <w:pPr>
              <w:pStyle w:val="TableParagraph"/>
              <w:rPr>
                <w:sz w:val="20"/>
              </w:rPr>
            </w:pPr>
            <w:r>
              <w:rPr>
                <w:w w:val="99"/>
                <w:sz w:val="20"/>
              </w:rPr>
              <w:t>5</w:t>
            </w:r>
          </w:p>
        </w:tc>
        <w:tc>
          <w:tcPr>
            <w:tcW w:w="1529" w:type="dxa"/>
          </w:tcPr>
          <w:p w:rsidR="00DF695B" w:rsidRDefault="00645EAA">
            <w:pPr>
              <w:pStyle w:val="TableParagraph"/>
              <w:rPr>
                <w:sz w:val="20"/>
              </w:rPr>
            </w:pPr>
            <w:r>
              <w:rPr>
                <w:sz w:val="20"/>
              </w:rPr>
              <w:t>Kerosene</w:t>
            </w:r>
          </w:p>
        </w:tc>
        <w:tc>
          <w:tcPr>
            <w:tcW w:w="2071" w:type="dxa"/>
          </w:tcPr>
          <w:p w:rsidR="00DF695B" w:rsidRDefault="00645EAA">
            <w:pPr>
              <w:pStyle w:val="TableParagraph"/>
              <w:rPr>
                <w:sz w:val="20"/>
              </w:rPr>
            </w:pPr>
            <w:r>
              <w:rPr>
                <w:sz w:val="20"/>
              </w:rPr>
              <w:t>120</w:t>
            </w:r>
          </w:p>
        </w:tc>
        <w:tc>
          <w:tcPr>
            <w:tcW w:w="2609" w:type="dxa"/>
          </w:tcPr>
          <w:p w:rsidR="00DF695B" w:rsidRDefault="00645EAA">
            <w:pPr>
              <w:pStyle w:val="TableParagraph"/>
              <w:spacing w:line="230" w:lineRule="exact"/>
              <w:ind w:right="137"/>
              <w:rPr>
                <w:sz w:val="20"/>
              </w:rPr>
            </w:pPr>
            <w:r>
              <w:rPr>
                <w:sz w:val="20"/>
              </w:rPr>
              <w:t>INR5 per day on kerosene and consumables</w:t>
            </w:r>
          </w:p>
        </w:tc>
        <w:tc>
          <w:tcPr>
            <w:tcW w:w="2242" w:type="dxa"/>
          </w:tcPr>
          <w:p w:rsidR="00DF695B" w:rsidRDefault="00645EAA">
            <w:pPr>
              <w:pStyle w:val="TableParagraph"/>
              <w:ind w:left="0" w:right="984"/>
              <w:jc w:val="right"/>
              <w:rPr>
                <w:sz w:val="20"/>
              </w:rPr>
            </w:pPr>
            <w:r>
              <w:rPr>
                <w:sz w:val="20"/>
              </w:rPr>
              <w:t>1,800</w:t>
            </w:r>
          </w:p>
        </w:tc>
      </w:tr>
      <w:tr w:rsidR="00DF695B">
        <w:trPr>
          <w:trHeight w:val="355"/>
        </w:trPr>
        <w:tc>
          <w:tcPr>
            <w:tcW w:w="468" w:type="dxa"/>
          </w:tcPr>
          <w:p w:rsidR="00DF695B" w:rsidRDefault="00645EAA">
            <w:pPr>
              <w:pStyle w:val="TableParagraph"/>
              <w:rPr>
                <w:sz w:val="20"/>
              </w:rPr>
            </w:pPr>
            <w:r>
              <w:rPr>
                <w:w w:val="99"/>
                <w:sz w:val="20"/>
              </w:rPr>
              <w:t>6</w:t>
            </w:r>
          </w:p>
        </w:tc>
        <w:tc>
          <w:tcPr>
            <w:tcW w:w="1529" w:type="dxa"/>
          </w:tcPr>
          <w:p w:rsidR="00DF695B" w:rsidRDefault="00645EAA">
            <w:pPr>
              <w:pStyle w:val="TableParagraph"/>
              <w:rPr>
                <w:sz w:val="20"/>
              </w:rPr>
            </w:pPr>
            <w:r>
              <w:rPr>
                <w:sz w:val="20"/>
              </w:rPr>
              <w:t>Solar Lamp</w:t>
            </w:r>
          </w:p>
        </w:tc>
        <w:tc>
          <w:tcPr>
            <w:tcW w:w="2071" w:type="dxa"/>
          </w:tcPr>
          <w:p w:rsidR="00DF695B" w:rsidRDefault="00645EAA">
            <w:pPr>
              <w:pStyle w:val="TableParagraph"/>
              <w:rPr>
                <w:sz w:val="20"/>
              </w:rPr>
            </w:pPr>
            <w:r>
              <w:rPr>
                <w:sz w:val="20"/>
              </w:rPr>
              <w:t>645</w:t>
            </w:r>
          </w:p>
        </w:tc>
        <w:tc>
          <w:tcPr>
            <w:tcW w:w="2609" w:type="dxa"/>
          </w:tcPr>
          <w:p w:rsidR="00DF695B" w:rsidRDefault="00645EAA">
            <w:pPr>
              <w:pStyle w:val="TableParagraph"/>
              <w:rPr>
                <w:sz w:val="20"/>
              </w:rPr>
            </w:pPr>
            <w:r>
              <w:rPr>
                <w:sz w:val="20"/>
              </w:rPr>
              <w:t>None</w:t>
            </w:r>
          </w:p>
        </w:tc>
        <w:tc>
          <w:tcPr>
            <w:tcW w:w="2242" w:type="dxa"/>
          </w:tcPr>
          <w:p w:rsidR="00DF695B" w:rsidRDefault="00645EAA">
            <w:pPr>
              <w:pStyle w:val="TableParagraph"/>
              <w:ind w:left="0" w:right="987"/>
              <w:jc w:val="right"/>
              <w:rPr>
                <w:sz w:val="20"/>
              </w:rPr>
            </w:pPr>
            <w:r>
              <w:rPr>
                <w:w w:val="95"/>
                <w:sz w:val="20"/>
              </w:rPr>
              <w:t>None</w:t>
            </w:r>
          </w:p>
        </w:tc>
      </w:tr>
      <w:tr w:rsidR="00DF695B">
        <w:trPr>
          <w:trHeight w:val="460"/>
        </w:trPr>
        <w:tc>
          <w:tcPr>
            <w:tcW w:w="468" w:type="dxa"/>
          </w:tcPr>
          <w:p w:rsidR="00DF695B" w:rsidRDefault="00645EAA">
            <w:pPr>
              <w:pStyle w:val="TableParagraph"/>
              <w:rPr>
                <w:sz w:val="20"/>
              </w:rPr>
            </w:pPr>
            <w:r>
              <w:rPr>
                <w:w w:val="99"/>
                <w:sz w:val="20"/>
              </w:rPr>
              <w:t>7</w:t>
            </w:r>
          </w:p>
        </w:tc>
        <w:tc>
          <w:tcPr>
            <w:tcW w:w="1529" w:type="dxa"/>
          </w:tcPr>
          <w:p w:rsidR="00DF695B" w:rsidRDefault="00645EAA">
            <w:pPr>
              <w:pStyle w:val="TableParagraph"/>
              <w:rPr>
                <w:sz w:val="20"/>
              </w:rPr>
            </w:pPr>
            <w:r>
              <w:rPr>
                <w:sz w:val="20"/>
              </w:rPr>
              <w:t>Electricity</w:t>
            </w:r>
          </w:p>
        </w:tc>
        <w:tc>
          <w:tcPr>
            <w:tcW w:w="2071" w:type="dxa"/>
          </w:tcPr>
          <w:p w:rsidR="00DF695B" w:rsidRDefault="00645EAA">
            <w:pPr>
              <w:pStyle w:val="TableParagraph"/>
              <w:rPr>
                <w:sz w:val="20"/>
              </w:rPr>
            </w:pPr>
            <w:r>
              <w:rPr>
                <w:sz w:val="20"/>
              </w:rPr>
              <w:t>1,500 for connection</w:t>
            </w:r>
          </w:p>
          <w:p w:rsidR="00DF695B" w:rsidRDefault="00645EAA">
            <w:pPr>
              <w:pStyle w:val="TableParagraph"/>
              <w:spacing w:line="213" w:lineRule="exact"/>
              <w:rPr>
                <w:sz w:val="20"/>
              </w:rPr>
            </w:pPr>
            <w:r>
              <w:rPr>
                <w:sz w:val="20"/>
              </w:rPr>
              <w:t>&amp; 150 for 1 bulb</w:t>
            </w:r>
          </w:p>
        </w:tc>
        <w:tc>
          <w:tcPr>
            <w:tcW w:w="2609" w:type="dxa"/>
          </w:tcPr>
          <w:p w:rsidR="00DF695B" w:rsidRDefault="00645EAA">
            <w:pPr>
              <w:pStyle w:val="TableParagraph"/>
              <w:spacing w:line="230" w:lineRule="exact"/>
              <w:ind w:right="259"/>
              <w:rPr>
                <w:sz w:val="20"/>
              </w:rPr>
            </w:pPr>
            <w:r>
              <w:rPr>
                <w:sz w:val="20"/>
              </w:rPr>
              <w:t>INR20–30 for 1 light bulb CFL per month</w:t>
            </w:r>
          </w:p>
        </w:tc>
        <w:tc>
          <w:tcPr>
            <w:tcW w:w="2242" w:type="dxa"/>
          </w:tcPr>
          <w:p w:rsidR="00DF695B" w:rsidRDefault="00645EAA">
            <w:pPr>
              <w:pStyle w:val="TableParagraph"/>
              <w:ind w:left="0" w:right="984"/>
              <w:jc w:val="right"/>
              <w:rPr>
                <w:sz w:val="20"/>
              </w:rPr>
            </w:pPr>
            <w:r>
              <w:rPr>
                <w:w w:val="95"/>
                <w:sz w:val="20"/>
              </w:rPr>
              <w:t>360</w:t>
            </w:r>
          </w:p>
        </w:tc>
      </w:tr>
    </w:tbl>
    <w:p w:rsidR="00DF695B" w:rsidRDefault="00DF695B">
      <w:pPr>
        <w:pStyle w:val="BodyText"/>
        <w:spacing w:before="7"/>
        <w:rPr>
          <w:rFonts w:ascii="Arial"/>
          <w:b/>
          <w:sz w:val="21"/>
        </w:rPr>
      </w:pPr>
    </w:p>
    <w:p w:rsidR="00DF695B" w:rsidRDefault="00645EAA">
      <w:pPr>
        <w:spacing w:line="480" w:lineRule="auto"/>
        <w:ind w:left="140" w:right="4091" w:hanging="1"/>
        <w:rPr>
          <w:rFonts w:ascii="Arial"/>
          <w:i/>
          <w:sz w:val="17"/>
        </w:rPr>
      </w:pPr>
      <w:r>
        <w:rPr>
          <w:rFonts w:ascii="Arial"/>
          <w:i/>
          <w:sz w:val="17"/>
        </w:rPr>
        <w:t>Note: The solar lamp battery runs for five years and is replaceable at INR150 per battery. Source: Company</w:t>
      </w:r>
    </w:p>
    <w:sectPr w:rsidR="00DF695B">
      <w:headerReference w:type="default" r:id="rId32"/>
      <w:pgSz w:w="12240" w:h="15840"/>
      <w:pgMar w:top="1000" w:right="0" w:bottom="280" w:left="130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45EAA" w:rsidRDefault="00645EAA">
      <w:r>
        <w:separator/>
      </w:r>
    </w:p>
  </w:endnote>
  <w:endnote w:type="continuationSeparator" w:id="0">
    <w:p w:rsidR="00645EAA" w:rsidRDefault="00645E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45EAA" w:rsidRDefault="00645EAA">
      <w:r>
        <w:separator/>
      </w:r>
    </w:p>
  </w:footnote>
  <w:footnote w:type="continuationSeparator" w:id="0">
    <w:p w:rsidR="00645EAA" w:rsidRDefault="00645E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695B" w:rsidRDefault="00645EAA">
    <w:pPr>
      <w:pStyle w:val="BodyText"/>
      <w:spacing w:line="14" w:lineRule="auto"/>
      <w:rPr>
        <w:sz w:val="20"/>
      </w:rPr>
    </w:pPr>
    <w:r>
      <w:pict>
        <v:line id="_x0000_s2051" style="position:absolute;z-index:-19960;mso-position-horizontal-relative:page;mso-position-vertical-relative:page" from="70.55pt,67.55pt" to="541.45pt,67.55pt" strokeweight="2.16pt">
          <w10:wrap anchorx="page" anchory="page"/>
        </v:line>
      </w:pict>
    </w:r>
    <w:r>
      <w:pict>
        <v:shapetype id="_x0000_t202" coordsize="21600,21600" o:spt="202" path="m,l,21600r21600,l21600,xe">
          <v:stroke joinstyle="miter"/>
          <v:path gradientshapeok="t" o:connecttype="rect"/>
        </v:shapetype>
        <v:shape id="_x0000_s2050" type="#_x0000_t202" style="position:absolute;margin-left:71pt;margin-top:53.1pt;width:40.7pt;height:13.15pt;z-index:-19936;mso-position-horizontal-relative:page;mso-position-vertical-relative:page" filled="f" stroked="f">
          <v:textbox inset="0,0,0,0">
            <w:txbxContent>
              <w:p w:rsidR="00DF695B" w:rsidRDefault="00645EAA">
                <w:pPr>
                  <w:spacing w:before="12"/>
                  <w:ind w:left="20"/>
                  <w:rPr>
                    <w:rFonts w:ascii="Arial"/>
                    <w:b/>
                    <w:sz w:val="20"/>
                  </w:rPr>
                </w:pPr>
                <w:r>
                  <w:rPr>
                    <w:rFonts w:ascii="Arial"/>
                    <w:b/>
                    <w:sz w:val="20"/>
                  </w:rPr>
                  <w:t xml:space="preserve">Page </w:t>
                </w:r>
                <w:r>
                  <w:fldChar w:fldCharType="begin"/>
                </w:r>
                <w:r>
                  <w:rPr>
                    <w:rFonts w:ascii="Arial"/>
                    <w:b/>
                    <w:sz w:val="20"/>
                  </w:rPr>
                  <w:instrText xml:space="preserve"> PAGE </w:instrText>
                </w:r>
                <w:r>
                  <w:fldChar w:fldCharType="separate"/>
                </w:r>
                <w:r>
                  <w:t>10</w:t>
                </w:r>
                <w:r>
                  <w:fldChar w:fldCharType="end"/>
                </w:r>
              </w:p>
            </w:txbxContent>
          </v:textbox>
          <w10:wrap anchorx="page" anchory="page"/>
        </v:shape>
      </w:pict>
    </w:r>
    <w:r>
      <w:pict>
        <v:shape id="_x0000_s2049" type="#_x0000_t202" style="position:absolute;margin-left:491.25pt;margin-top:53.1pt;width:49.65pt;height:13.15pt;z-index:-19912;mso-position-horizontal-relative:page;mso-position-vertical-relative:page" filled="f" stroked="f">
          <v:textbox inset="0,0,0,0">
            <w:txbxContent>
              <w:p w:rsidR="00DF695B" w:rsidRDefault="00645EAA">
                <w:pPr>
                  <w:spacing w:before="12"/>
                  <w:ind w:left="20"/>
                  <w:rPr>
                    <w:rFonts w:ascii="Arial"/>
                    <w:b/>
                    <w:sz w:val="20"/>
                  </w:rPr>
                </w:pPr>
                <w:r>
                  <w:rPr>
                    <w:rFonts w:ascii="Arial"/>
                    <w:b/>
                    <w:sz w:val="20"/>
                  </w:rPr>
                  <w:t>9B14A023</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695B" w:rsidRDefault="00DF695B">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695B" w:rsidRDefault="00DF695B">
    <w:pPr>
      <w:pStyle w:val="BodyText"/>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695B" w:rsidRDefault="00DF695B">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695B" w:rsidRDefault="00DF695B">
    <w:pPr>
      <w:pStyle w:val="BodyText"/>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DF695B"/>
    <w:rsid w:val="004B6C7D"/>
    <w:rsid w:val="00645EAA"/>
    <w:rsid w:val="00DF695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EE890C2"/>
  <w15:docId w15:val="{CF454B5A-7F2F-4779-B1C2-F38624462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pPr>
      <w:spacing w:line="227" w:lineRule="exact"/>
      <w:ind w:left="107"/>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veycases.com/" TargetMode="External"/><Relationship Id="rId13" Type="http://schemas.openxmlformats.org/officeDocument/2006/relationships/hyperlink" Target="http://opinionator.blogs.nytimes.com/2013/09/11/the-next-wireless-revolution-in-light/?_r=1" TargetMode="External"/><Relationship Id="rId18" Type="http://schemas.openxmlformats.org/officeDocument/2006/relationships/hyperlink" Target="http://www.indiapost.gov.in/Our_Network.aspx" TargetMode="External"/><Relationship Id="rId26" Type="http://schemas.openxmlformats.org/officeDocument/2006/relationships/image" Target="media/image4.png"/><Relationship Id="rId3" Type="http://schemas.openxmlformats.org/officeDocument/2006/relationships/webSettings" Target="webSettings.xml"/><Relationship Id="rId21" Type="http://schemas.openxmlformats.org/officeDocument/2006/relationships/hyperlink" Target="http://www.wri.org/publication/next-4-billion" TargetMode="External"/><Relationship Id="rId34" Type="http://schemas.openxmlformats.org/officeDocument/2006/relationships/theme" Target="theme/theme1.xml"/><Relationship Id="rId7" Type="http://schemas.openxmlformats.org/officeDocument/2006/relationships/hyperlink" Target="mailto:cases@ivey.ca" TargetMode="External"/><Relationship Id="rId12" Type="http://schemas.openxmlformats.org/officeDocument/2006/relationships/hyperlink" Target="http://www.wri.org/publication/next-4-billion" TargetMode="External"/><Relationship Id="rId17" Type="http://schemas.openxmlformats.org/officeDocument/2006/relationships/hyperlink" Target="http://www.ifc.org/report-lightingasia" TargetMode="External"/><Relationship Id="rId25" Type="http://schemas.openxmlformats.org/officeDocument/2006/relationships/hyperlink" Target="http://www/" TargetMode="Externa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www.wri.org/publication/next-4-billion" TargetMode="External"/><Relationship Id="rId20" Type="http://schemas.openxmlformats.org/officeDocument/2006/relationships/hyperlink" Target="https://unfccc.int/secretariat/momentum_for_change/items/7072.php%2C%20accessed%20March%201" TargetMode="External"/><Relationship Id="rId29" Type="http://schemas.openxmlformats.org/officeDocument/2006/relationships/header" Target="header3.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www.worldbank.org/content/dam/Worldbank/document/State_of_the_poor_paper_April17.pdf" TargetMode="External"/><Relationship Id="rId24" Type="http://schemas.openxmlformats.org/officeDocument/2006/relationships/image" Target="media/image3.png"/><Relationship Id="rId32" Type="http://schemas.openxmlformats.org/officeDocument/2006/relationships/header" Target="header5.xml"/><Relationship Id="rId5" Type="http://schemas.openxmlformats.org/officeDocument/2006/relationships/endnotes" Target="endnotes.xml"/><Relationship Id="rId15" Type="http://schemas.openxmlformats.org/officeDocument/2006/relationships/hyperlink" Target="http://mospi.nic.in/mospi_new/upload/Energy_Statistics_2013.pdf?status=1&amp;amp;menu_id=216" TargetMode="External"/><Relationship Id="rId23" Type="http://schemas.openxmlformats.org/officeDocument/2006/relationships/hyperlink" Target="http://www.who.int/indoorair/publications/energyaccesssituation/en/" TargetMode="External"/><Relationship Id="rId28" Type="http://schemas.openxmlformats.org/officeDocument/2006/relationships/image" Target="media/image5.png"/><Relationship Id="rId10" Type="http://schemas.openxmlformats.org/officeDocument/2006/relationships/hyperlink" Target="http://www.dlightdesign.com/who-we-are/" TargetMode="External"/><Relationship Id="rId19" Type="http://schemas.openxmlformats.org/officeDocument/2006/relationships/hyperlink" Target="http://csc.gov.in/" TargetMode="External"/><Relationship Id="rId31" Type="http://schemas.openxmlformats.org/officeDocument/2006/relationships/header" Target="header4.xml"/><Relationship Id="rId4" Type="http://schemas.openxmlformats.org/officeDocument/2006/relationships/footnotes" Target="footnotes.xml"/><Relationship Id="rId9" Type="http://schemas.openxmlformats.org/officeDocument/2006/relationships/hyperlink" Target="http://www.economist.com/node/21560983" TargetMode="External"/><Relationship Id="rId14" Type="http://schemas.openxmlformats.org/officeDocument/2006/relationships/header" Target="header1.xml"/><Relationship Id="rId22" Type="http://schemas.openxmlformats.org/officeDocument/2006/relationships/image" Target="media/image2.png"/><Relationship Id="rId27" Type="http://schemas.openxmlformats.org/officeDocument/2006/relationships/header" Target="header2.xml"/><Relationship Id="rId30"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5060</Words>
  <Characters>28844</Characters>
  <Application>Microsoft Office Word</Application>
  <DocSecurity>0</DocSecurity>
  <Lines>240</Lines>
  <Paragraphs>67</Paragraphs>
  <ScaleCrop>false</ScaleCrop>
  <Company/>
  <LinksUpToDate>false</LinksUpToDate>
  <CharactersWithSpaces>33837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smuir</dc:creator>
  <cp:lastModifiedBy>asalwasm</cp:lastModifiedBy>
  <cp:revision>3</cp:revision>
  <dcterms:created xsi:type="dcterms:W3CDTF">2018-09-28T15:43:00Z</dcterms:created>
  <dcterms:modified xsi:type="dcterms:W3CDTF">2018-09-28T15:47:00Z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2014-06-05T00:00:00Z</vt:filetime>
  </property>
  <property fmtid="{D5CDD505-2E9C-101B-9397-08002B2CF9AE}" pid="3" name="Creator">
    <vt:lpwstr>Acrobat PDFMaker 11 for Word</vt:lpwstr>
  </property>
  <property fmtid="{D5CDD505-2E9C-101B-9397-08002B2CF9AE}" pid="4" name="LastSaved">
    <vt:filetime>2018-09-28T00:00:00Z</vt:filetime>
  </property>
</Properties>
</file>