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EB2" w:rsidRPr="00C72EB2" w:rsidRDefault="00C72EB2" w:rsidP="00C72EB2">
      <w:pPr>
        <w:spacing w:line="480" w:lineRule="auto"/>
        <w:rPr>
          <w:rFonts w:ascii="Times New Roman" w:hAnsi="Times New Roman" w:cs="Times New Roman"/>
          <w:color w:val="222222"/>
          <w:sz w:val="24"/>
          <w:shd w:val="clear" w:color="auto" w:fill="FFFFFF"/>
        </w:rPr>
      </w:pPr>
    </w:p>
    <w:p w:rsidR="00C72EB2" w:rsidRPr="00C72EB2" w:rsidRDefault="00C72EB2" w:rsidP="00C72EB2">
      <w:pPr>
        <w:spacing w:line="480" w:lineRule="auto"/>
        <w:rPr>
          <w:rFonts w:ascii="Times New Roman" w:hAnsi="Times New Roman" w:cs="Times New Roman"/>
          <w:color w:val="222222"/>
          <w:sz w:val="24"/>
          <w:shd w:val="clear" w:color="auto" w:fill="FFFFFF"/>
        </w:rPr>
      </w:pPr>
    </w:p>
    <w:p w:rsidR="00C72EB2" w:rsidRPr="00C72EB2" w:rsidRDefault="00C72EB2" w:rsidP="00C72EB2">
      <w:pPr>
        <w:spacing w:line="480" w:lineRule="auto"/>
        <w:rPr>
          <w:rFonts w:ascii="Times New Roman" w:hAnsi="Times New Roman" w:cs="Times New Roman"/>
          <w:color w:val="222222"/>
          <w:sz w:val="24"/>
          <w:shd w:val="clear" w:color="auto" w:fill="FFFFFF"/>
        </w:rPr>
      </w:pPr>
    </w:p>
    <w:p w:rsidR="00C72EB2" w:rsidRPr="00C72EB2" w:rsidRDefault="00C72EB2" w:rsidP="00C72EB2">
      <w:pPr>
        <w:spacing w:line="480" w:lineRule="auto"/>
        <w:rPr>
          <w:rFonts w:ascii="Times New Roman" w:hAnsi="Times New Roman" w:cs="Times New Roman"/>
          <w:color w:val="222222"/>
          <w:sz w:val="24"/>
          <w:shd w:val="clear" w:color="auto" w:fill="FFFFFF"/>
        </w:rPr>
      </w:pPr>
    </w:p>
    <w:p w:rsidR="00C72EB2" w:rsidRPr="00C72EB2" w:rsidRDefault="00C72EB2" w:rsidP="00C72EB2">
      <w:pPr>
        <w:spacing w:line="480" w:lineRule="auto"/>
        <w:rPr>
          <w:rFonts w:ascii="Times New Roman" w:hAnsi="Times New Roman" w:cs="Times New Roman"/>
          <w:color w:val="222222"/>
          <w:sz w:val="24"/>
          <w:shd w:val="clear" w:color="auto" w:fill="FFFFFF"/>
        </w:rPr>
      </w:pPr>
    </w:p>
    <w:p w:rsidR="00C72EB2" w:rsidRPr="00C72EB2" w:rsidRDefault="00C72EB2" w:rsidP="00C72EB2">
      <w:pPr>
        <w:spacing w:line="480" w:lineRule="auto"/>
        <w:rPr>
          <w:rFonts w:ascii="Times New Roman" w:hAnsi="Times New Roman" w:cs="Times New Roman"/>
          <w:color w:val="222222"/>
          <w:sz w:val="24"/>
          <w:shd w:val="clear" w:color="auto" w:fill="FFFFFF"/>
        </w:rPr>
      </w:pPr>
    </w:p>
    <w:p w:rsidR="00C72EB2" w:rsidRPr="00C72EB2" w:rsidRDefault="00C72EB2" w:rsidP="00C72EB2">
      <w:pPr>
        <w:spacing w:line="480" w:lineRule="auto"/>
        <w:jc w:val="center"/>
        <w:rPr>
          <w:rFonts w:ascii="Times New Roman" w:hAnsi="Times New Roman" w:cs="Times New Roman"/>
          <w:sz w:val="24"/>
        </w:rPr>
      </w:pPr>
      <w:r w:rsidRPr="00C72EB2">
        <w:rPr>
          <w:rFonts w:ascii="Times New Roman" w:hAnsi="Times New Roman" w:cs="Times New Roman"/>
          <w:sz w:val="24"/>
        </w:rPr>
        <w:t>Creation of ADOS Administrative Agency</w:t>
      </w:r>
    </w:p>
    <w:p w:rsidR="00C72EB2" w:rsidRPr="00C72EB2" w:rsidRDefault="00C72EB2" w:rsidP="00C72EB2">
      <w:pPr>
        <w:spacing w:line="480" w:lineRule="auto"/>
        <w:jc w:val="center"/>
        <w:rPr>
          <w:rFonts w:ascii="Times New Roman" w:hAnsi="Times New Roman" w:cs="Times New Roman"/>
          <w:sz w:val="24"/>
        </w:rPr>
      </w:pPr>
      <w:r w:rsidRPr="00C72EB2">
        <w:rPr>
          <w:rFonts w:ascii="Times New Roman" w:hAnsi="Times New Roman" w:cs="Times New Roman"/>
          <w:sz w:val="24"/>
        </w:rPr>
        <w:t>Name of Student</w:t>
      </w:r>
    </w:p>
    <w:p w:rsidR="00C72EB2" w:rsidRPr="00C72EB2" w:rsidRDefault="00C72EB2" w:rsidP="00C72EB2">
      <w:pPr>
        <w:spacing w:line="480" w:lineRule="auto"/>
        <w:jc w:val="center"/>
        <w:rPr>
          <w:rFonts w:ascii="Times New Roman" w:hAnsi="Times New Roman" w:cs="Times New Roman"/>
          <w:sz w:val="24"/>
        </w:rPr>
      </w:pPr>
      <w:r w:rsidRPr="00C72EB2">
        <w:rPr>
          <w:rFonts w:ascii="Times New Roman" w:hAnsi="Times New Roman" w:cs="Times New Roman"/>
          <w:sz w:val="24"/>
        </w:rPr>
        <w:t>Name of Institution</w:t>
      </w:r>
    </w:p>
    <w:p w:rsidR="00C72EB2" w:rsidRPr="00C72EB2" w:rsidRDefault="00C72EB2" w:rsidP="00C72EB2">
      <w:pPr>
        <w:spacing w:line="480" w:lineRule="auto"/>
        <w:jc w:val="center"/>
        <w:rPr>
          <w:rFonts w:ascii="Times New Roman" w:hAnsi="Times New Roman" w:cs="Times New Roman"/>
          <w:color w:val="222222"/>
          <w:sz w:val="24"/>
          <w:shd w:val="clear" w:color="auto" w:fill="FFFFFF"/>
        </w:rPr>
      </w:pPr>
      <w:r w:rsidRPr="00C72EB2">
        <w:rPr>
          <w:rFonts w:ascii="Times New Roman" w:hAnsi="Times New Roman" w:cs="Times New Roman"/>
          <w:sz w:val="24"/>
        </w:rPr>
        <w:t>Date</w:t>
      </w:r>
      <w:r w:rsidRPr="00C72EB2">
        <w:rPr>
          <w:rFonts w:ascii="Times New Roman" w:hAnsi="Times New Roman" w:cs="Times New Roman"/>
          <w:color w:val="222222"/>
          <w:sz w:val="24"/>
          <w:shd w:val="clear" w:color="auto" w:fill="FFFFFF"/>
        </w:rPr>
        <w:t xml:space="preserve"> </w:t>
      </w:r>
      <w:r w:rsidRPr="00C72EB2">
        <w:rPr>
          <w:rFonts w:ascii="Times New Roman" w:hAnsi="Times New Roman" w:cs="Times New Roman"/>
          <w:color w:val="222222"/>
          <w:sz w:val="24"/>
          <w:shd w:val="clear" w:color="auto" w:fill="FFFFFF"/>
        </w:rPr>
        <w:br w:type="page"/>
      </w:r>
    </w:p>
    <w:p w:rsidR="00C72EB2" w:rsidRPr="00C72EB2" w:rsidRDefault="00C72EB2" w:rsidP="00C72EB2">
      <w:pPr>
        <w:spacing w:line="480" w:lineRule="auto"/>
        <w:jc w:val="center"/>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lastRenderedPageBreak/>
        <w:t>Introduction</w:t>
      </w:r>
    </w:p>
    <w:p w:rsidR="00C72EB2" w:rsidRPr="00C72EB2" w:rsidRDefault="00C72EB2" w:rsidP="00C72EB2">
      <w:pPr>
        <w:spacing w:line="480" w:lineRule="auto"/>
        <w:ind w:firstLine="720"/>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t xml:space="preserve">The primary function of the ADOA Reparations Administration is compensation for all American descendants of slavery. The agency has to recognize the efforts of the slaves who made freedom a possibility for all Americans. The slavery system can also be attributed to most of the economic development that catapulted the growth of the nation. However, their efforts have largely been unrecognized throughout history to the present day. It was under the cruelest of conditions that their efforts bore any significant fruits, and so recognition also requires compensation for the troubles and conditions in which they endured. Since the slavers are long dead, reparations to their living ancestral line are the most appropriate undertaking. The compensation sums up the role of the administrative agency. However, since compensation is entirely under directives of the government, the agency shall not be independent. The question the paper seeks to answer is the formulation, regulation, and functionality of such an agency under the United States government. </w:t>
      </w:r>
    </w:p>
    <w:p w:rsidR="00C72EB2" w:rsidRPr="00C72EB2" w:rsidRDefault="00C72EB2" w:rsidP="00C72EB2">
      <w:pPr>
        <w:spacing w:line="480" w:lineRule="auto"/>
        <w:ind w:firstLine="720"/>
        <w:jc w:val="center"/>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t>Structure of the agency</w:t>
      </w:r>
    </w:p>
    <w:p w:rsidR="00C72EB2" w:rsidRPr="00C72EB2" w:rsidRDefault="00C72EB2" w:rsidP="00C72EB2">
      <w:pPr>
        <w:spacing w:line="480" w:lineRule="auto"/>
        <w:ind w:firstLine="720"/>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t xml:space="preserve">The agency will function under the United States Department of Health and Human Services. It will therefore not necessitate the position of secretary and undersecretary to charge the directives. It will rather have seven boards of directors all of whom will be appointed by the president. The confirmation to the office will follow after approval from the senate. The term of service will be limited to five years, unless under special considerations like filling an expired term. The seven will then appoint one among them as Director, and they will all answer to the Secretary of the U.S. Department of Health and Human Services, the Vice President, and the President. From the remaining board members, one of them will serve as the chief of Staff (U.S. </w:t>
      </w:r>
      <w:r w:rsidRPr="00C72EB2">
        <w:rPr>
          <w:rFonts w:ascii="Times New Roman" w:hAnsi="Times New Roman" w:cs="Times New Roman"/>
          <w:color w:val="222222"/>
          <w:sz w:val="24"/>
          <w:shd w:val="clear" w:color="auto" w:fill="FFFFFF"/>
        </w:rPr>
        <w:lastRenderedPageBreak/>
        <w:t xml:space="preserve">Legal). The service of the rest will be designated as deputy directors of various offices. The candidates will hold the titles of; office of civil rights, office of general counsel, office of operations and resources, office of program management, and administration and finance office. </w:t>
      </w:r>
    </w:p>
    <w:p w:rsidR="00C72EB2" w:rsidRPr="00C72EB2" w:rsidRDefault="00C72EB2" w:rsidP="00C72EB2">
      <w:pPr>
        <w:spacing w:line="480" w:lineRule="auto"/>
        <w:ind w:firstLine="720"/>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t xml:space="preserve">The office of civil rights will direct all operations that involve the investigation of the racial lineage of probable beneficiaries. However, a legitimate heir would need proof of two or three conditions. It is a mandatory condition that the beneficiary provides relevant proof that one of their ancestors served as a slave in the United States. The candidates will also need to demonstrate that they have identified as a member of the minority community who served as a slave. The primary candidature is those identifiable as African American, but Native Americans who also played a crucial part as slaves qualify. The third statute applies to biracial candidates. The beneficiaries will require proof that shows either their parents or grandparent fulfill both of the statutes detailed above. The investigations under the office will also detail the relevant period that the ancestry served as slaves, and any notable calamity to befall the line. One such example is the line of Emmitt Till who was killed in Mississippi for not abiding by the laws of segregation. </w:t>
      </w:r>
    </w:p>
    <w:p w:rsidR="00C72EB2" w:rsidRPr="00C72EB2" w:rsidRDefault="00C72EB2" w:rsidP="00C72EB2">
      <w:pPr>
        <w:spacing w:line="480" w:lineRule="auto"/>
        <w:ind w:firstLine="720"/>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t xml:space="preserve">The Deputy Director of General Counsel will locate all policies and issues that may prove problematic with the law. The candidate occupying the office will require a broad knowledge of the law, and any litigation process may seek investigative services from within or other federal agencies. The office or operations and resources will cater for the reparation of the target demographic. The fulfillment of their role would take the form of cash payments and large scale programs. The office will work closely with the office of administration and finance in detailing the reparations packages (Lumen Learning). The latter office will also ascertain the value required for the entire reparations process and provide statistical input on how to implement the </w:t>
      </w:r>
      <w:r w:rsidRPr="00C72EB2">
        <w:rPr>
          <w:rFonts w:ascii="Times New Roman" w:hAnsi="Times New Roman" w:cs="Times New Roman"/>
          <w:color w:val="222222"/>
          <w:sz w:val="24"/>
          <w:shd w:val="clear" w:color="auto" w:fill="FFFFFF"/>
        </w:rPr>
        <w:lastRenderedPageBreak/>
        <w:t xml:space="preserve">strategies in place. The Deputy Director will also structure probable proposals for the government on how to source for the resources to realize their directive. </w:t>
      </w:r>
    </w:p>
    <w:p w:rsidR="00C72EB2" w:rsidRPr="00C72EB2" w:rsidRDefault="00C72EB2" w:rsidP="00C72EB2">
      <w:pPr>
        <w:spacing w:line="480" w:lineRule="auto"/>
        <w:ind w:firstLine="720"/>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t xml:space="preserve">The last office holds the title of program management. The Deputy Director in charge will draft proposals on how to effectively manage the reparations process to the beneficiaries. The cash amount to be paid accounting for interest rates is as high as trillions of American Dollars. The program will, therefore, prepare a guideline and a schedule by which such amounts could be realized by the beneficiaries, and stipulate the duration of time that such a process could take. It is also under the jurisdiction of the office to formulate large scale initiatives targeted at the group. The programs would need to be continuous and involve activities like homeownership support, clearing debts from college fees, and supporting the groups' business initiatives financially. </w:t>
      </w:r>
    </w:p>
    <w:p w:rsidR="00C72EB2" w:rsidRPr="00C72EB2" w:rsidRDefault="00C72EB2" w:rsidP="00C72EB2">
      <w:pPr>
        <w:spacing w:line="480" w:lineRule="auto"/>
        <w:ind w:firstLine="720"/>
        <w:jc w:val="center"/>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t>Probable questions to address</w:t>
      </w:r>
    </w:p>
    <w:p w:rsidR="00C72EB2" w:rsidRPr="00C72EB2" w:rsidRDefault="00C72EB2" w:rsidP="00C72EB2">
      <w:pPr>
        <w:spacing w:line="480" w:lineRule="auto"/>
        <w:ind w:firstLine="720"/>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t xml:space="preserve">The most integral question the agency will deal with is the cost of the reparations package to the nation. The significance of the question will involve calculations for the tribulations endured by the group and its influence on the economic system. The evaluations will also take account of systemic efforts by the slavers to limit the rights of the victims through the corrupt legislative and illegal process. The sum of which would then be subject to inflation and interest rates from the time. The enabling legislation plays a significant role in these calculations (Hou, 2004). The first input of the legislation would be to assess the cost from a period at the peak of the inequality by the slavers. The set timeline in this context will account for the mistreatment in terms of damages from 1776 all through to 2019. The enabling legislation also provides authority to the agency to account for inflation and interest. </w:t>
      </w:r>
    </w:p>
    <w:p w:rsidR="00C72EB2" w:rsidRPr="00C72EB2" w:rsidRDefault="00C72EB2" w:rsidP="00C72EB2">
      <w:pPr>
        <w:spacing w:line="480" w:lineRule="auto"/>
        <w:ind w:firstLine="720"/>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lastRenderedPageBreak/>
        <w:t xml:space="preserve">The other two probable questions already addressed include who is liable and how to implement the system (Lowery, 2019). The questions are already divided into specific branches of the agency under the roles of deputy director. The agency could also seek an answer to their long-time role, with consideration for a period after the reparations are cleared and the nation is debt-free. It is also a credible question to assess the influence of the agency on the inequality standards of minority groups within the nation. </w:t>
      </w:r>
    </w:p>
    <w:p w:rsidR="00C72EB2" w:rsidRPr="00C72EB2" w:rsidRDefault="00C72EB2" w:rsidP="00C72EB2">
      <w:pPr>
        <w:spacing w:line="480" w:lineRule="auto"/>
        <w:ind w:firstLine="720"/>
        <w:jc w:val="center"/>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t>Recommendations</w:t>
      </w:r>
    </w:p>
    <w:p w:rsidR="00C72EB2" w:rsidRPr="00C72EB2" w:rsidRDefault="00C72EB2" w:rsidP="00C72EB2">
      <w:pPr>
        <w:spacing w:line="480" w:lineRule="auto"/>
        <w:ind w:firstLine="720"/>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t xml:space="preserve">The functioning of the agency will be subject to the federal budget. However, I propose that the agency serve the long term and be a permanent agency rather than a temporary one. I propose a debt payment period that prolongs the duration of settlement such that the brunt of the burden to government funds is not immediate but rather just a slight pinch. I also recommend autonomous authority in the programs of the agency. The aspect will allow for more fluent and highly beneficial inputs without the influence of external factors. The intent of the agency is rehabilitative to curb the grievances of the victims from slavery which was a cruel era in the history of our nation. I believe the recommendation will aid in the healing effort. I also believe it is crucial to grant the agency authority such that it can resort to the British government for aid since it was also a beneficiary of the slave trade while the nation was still under colonial rule (ADOS). </w:t>
      </w:r>
    </w:p>
    <w:p w:rsidR="00C72EB2" w:rsidRPr="00C72EB2" w:rsidRDefault="00C72EB2" w:rsidP="00C72EB2">
      <w:pPr>
        <w:spacing w:line="480" w:lineRule="auto"/>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br w:type="page"/>
      </w:r>
    </w:p>
    <w:p w:rsidR="00C72EB2" w:rsidRPr="00C72EB2" w:rsidRDefault="00C72EB2" w:rsidP="00C72EB2">
      <w:pPr>
        <w:spacing w:line="480" w:lineRule="auto"/>
        <w:jc w:val="center"/>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lastRenderedPageBreak/>
        <w:t>References</w:t>
      </w:r>
    </w:p>
    <w:p w:rsidR="00C72EB2" w:rsidRPr="00C72EB2" w:rsidRDefault="00C72EB2" w:rsidP="00C72EB2">
      <w:pPr>
        <w:spacing w:line="480" w:lineRule="auto"/>
        <w:ind w:left="720" w:hanging="720"/>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t>ADOS. (n.d.). The Roadmap to Reparations. Retrieved October 22, 2019, from American Descendants of Slavery: https://ados101.com/roadmap-to-reparations</w:t>
      </w:r>
    </w:p>
    <w:p w:rsidR="00C72EB2" w:rsidRPr="00C72EB2" w:rsidRDefault="00C72EB2" w:rsidP="00C72EB2">
      <w:pPr>
        <w:spacing w:line="480" w:lineRule="auto"/>
        <w:ind w:left="720" w:hanging="720"/>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t>Hou, Y. (2004). Budget stabilization fund: Structural features of the enabling legislation and balance levels. Public Budgeting &amp; Finance, 24 (3), 38-64.</w:t>
      </w:r>
    </w:p>
    <w:p w:rsidR="00C72EB2" w:rsidRPr="00C72EB2" w:rsidRDefault="00C72EB2" w:rsidP="00C72EB2">
      <w:pPr>
        <w:spacing w:line="480" w:lineRule="auto"/>
        <w:ind w:left="720" w:hanging="720"/>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t>Lowery, W. (2019, September 18). Which Black Men should get Reparations? Retrieved October 22, 2019, from The Washington Post: https://www.washingtonpost.com/national/which-americans-should-get-reparations/2019/09/18/271cf744-cab1-11e9-a4f3-c081a126de70_story.html</w:t>
      </w:r>
    </w:p>
    <w:p w:rsidR="00C72EB2" w:rsidRPr="00C72EB2" w:rsidRDefault="00C72EB2" w:rsidP="00C72EB2">
      <w:pPr>
        <w:spacing w:line="480" w:lineRule="auto"/>
        <w:ind w:left="720" w:hanging="720"/>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t>Lumen Learning. (n.d.). Administrative Agencies: Their Structures and Powers. Retrieved October 22, 2019, from Lumen Learning: Administrative Law: https://courses.lumenlearning.com/buslegalenv/chapter/5-1-administrative-agencies-their-structure-and-powers/</w:t>
      </w:r>
    </w:p>
    <w:p w:rsidR="00C72EB2" w:rsidRPr="00C72EB2" w:rsidRDefault="00C72EB2" w:rsidP="00C72EB2">
      <w:pPr>
        <w:spacing w:line="480" w:lineRule="auto"/>
        <w:ind w:left="720" w:hanging="720"/>
        <w:rPr>
          <w:rFonts w:ascii="Times New Roman" w:hAnsi="Times New Roman" w:cs="Times New Roman"/>
          <w:color w:val="222222"/>
          <w:sz w:val="24"/>
          <w:shd w:val="clear" w:color="auto" w:fill="FFFFFF"/>
        </w:rPr>
      </w:pPr>
      <w:r w:rsidRPr="00C72EB2">
        <w:rPr>
          <w:rFonts w:ascii="Times New Roman" w:hAnsi="Times New Roman" w:cs="Times New Roman"/>
          <w:color w:val="222222"/>
          <w:sz w:val="24"/>
          <w:shd w:val="clear" w:color="auto" w:fill="FFFFFF"/>
        </w:rPr>
        <w:t>U.S. Legal. (n.d.). Administrative Agencies. Retrieved October 22, 2019, from U.S. Legal: https://system.uslegal.com/administrative-agencies/</w:t>
      </w:r>
    </w:p>
    <w:p w:rsidR="00122C0F" w:rsidRPr="00C72EB2" w:rsidRDefault="00122C0F" w:rsidP="00C72EB2">
      <w:pPr>
        <w:spacing w:line="480" w:lineRule="auto"/>
        <w:rPr>
          <w:rFonts w:ascii="Times New Roman" w:hAnsi="Times New Roman" w:cs="Times New Roman"/>
          <w:sz w:val="24"/>
        </w:rPr>
      </w:pPr>
    </w:p>
    <w:sectPr w:rsidR="00122C0F" w:rsidRPr="00C72EB2" w:rsidSect="00C72EB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4D26" w:rsidRDefault="005B4D26" w:rsidP="00C72EB2">
      <w:pPr>
        <w:spacing w:after="0" w:line="240" w:lineRule="auto"/>
      </w:pPr>
      <w:r>
        <w:separator/>
      </w:r>
    </w:p>
  </w:endnote>
  <w:endnote w:type="continuationSeparator" w:id="1">
    <w:p w:rsidR="005B4D26" w:rsidRDefault="005B4D26" w:rsidP="00C72E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4D26" w:rsidRDefault="005B4D26" w:rsidP="00C72EB2">
      <w:pPr>
        <w:spacing w:after="0" w:line="240" w:lineRule="auto"/>
      </w:pPr>
      <w:r>
        <w:separator/>
      </w:r>
    </w:p>
  </w:footnote>
  <w:footnote w:type="continuationSeparator" w:id="1">
    <w:p w:rsidR="005B4D26" w:rsidRDefault="005B4D26" w:rsidP="00C72E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EB2" w:rsidRPr="00C72EB2" w:rsidRDefault="00C72EB2">
    <w:pPr>
      <w:pStyle w:val="Header"/>
      <w:jc w:val="right"/>
      <w:rPr>
        <w:rFonts w:ascii="Times New Roman" w:hAnsi="Times New Roman" w:cs="Times New Roman"/>
        <w:sz w:val="24"/>
      </w:rPr>
    </w:pPr>
    <w:r w:rsidRPr="00C72EB2">
      <w:rPr>
        <w:rFonts w:ascii="Times New Roman" w:hAnsi="Times New Roman" w:cs="Times New Roman"/>
        <w:sz w:val="24"/>
      </w:rPr>
      <w:t>CREATION OF ADOS ADMINISTRATIVE AGENCY</w:t>
    </w:r>
    <w:r w:rsidRPr="00C72EB2">
      <w:rPr>
        <w:rFonts w:ascii="Times New Roman" w:hAnsi="Times New Roman" w:cs="Times New Roman"/>
        <w:sz w:val="24"/>
      </w:rPr>
      <w:tab/>
      <w:t xml:space="preserve"> </w:t>
    </w:r>
    <w:sdt>
      <w:sdtPr>
        <w:rPr>
          <w:rFonts w:ascii="Times New Roman" w:hAnsi="Times New Roman" w:cs="Times New Roman"/>
          <w:sz w:val="24"/>
        </w:rPr>
        <w:id w:val="1072779120"/>
        <w:docPartObj>
          <w:docPartGallery w:val="Page Numbers (Top of Page)"/>
          <w:docPartUnique/>
        </w:docPartObj>
      </w:sdtPr>
      <w:sdtContent>
        <w:r w:rsidRPr="00C72EB2">
          <w:rPr>
            <w:rFonts w:ascii="Times New Roman" w:hAnsi="Times New Roman" w:cs="Times New Roman"/>
            <w:sz w:val="24"/>
          </w:rPr>
          <w:fldChar w:fldCharType="begin"/>
        </w:r>
        <w:r w:rsidRPr="00C72EB2">
          <w:rPr>
            <w:rFonts w:ascii="Times New Roman" w:hAnsi="Times New Roman" w:cs="Times New Roman"/>
            <w:sz w:val="24"/>
          </w:rPr>
          <w:instrText xml:space="preserve"> PAGE   \* MERGEFORMAT </w:instrText>
        </w:r>
        <w:r w:rsidRPr="00C72EB2">
          <w:rPr>
            <w:rFonts w:ascii="Times New Roman" w:hAnsi="Times New Roman" w:cs="Times New Roman"/>
            <w:sz w:val="24"/>
          </w:rPr>
          <w:fldChar w:fldCharType="separate"/>
        </w:r>
        <w:r>
          <w:rPr>
            <w:rFonts w:ascii="Times New Roman" w:hAnsi="Times New Roman" w:cs="Times New Roman"/>
            <w:noProof/>
            <w:sz w:val="24"/>
          </w:rPr>
          <w:t>6</w:t>
        </w:r>
        <w:r w:rsidRPr="00C72EB2">
          <w:rPr>
            <w:rFonts w:ascii="Times New Roman" w:hAnsi="Times New Roman" w:cs="Times New Roman"/>
            <w:sz w:val="24"/>
          </w:rPr>
          <w:fldChar w:fldCharType="end"/>
        </w:r>
      </w:sdtContent>
    </w:sdt>
  </w:p>
  <w:p w:rsidR="00C72EB2" w:rsidRPr="00C72EB2" w:rsidRDefault="00C72EB2">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EB2" w:rsidRPr="00C72EB2" w:rsidRDefault="00C72EB2">
    <w:pPr>
      <w:pStyle w:val="Header"/>
      <w:jc w:val="right"/>
      <w:rPr>
        <w:rFonts w:ascii="Times New Roman" w:hAnsi="Times New Roman" w:cs="Times New Roman"/>
        <w:sz w:val="24"/>
      </w:rPr>
    </w:pPr>
    <w:r w:rsidRPr="00C72EB2">
      <w:rPr>
        <w:rFonts w:ascii="Times New Roman" w:hAnsi="Times New Roman" w:cs="Times New Roman"/>
        <w:sz w:val="24"/>
      </w:rPr>
      <w:t xml:space="preserve">Running Head: CREATION OF ADOS ADMINISTRATIVE AGENCY </w:t>
    </w:r>
    <w:r w:rsidRPr="00C72EB2">
      <w:rPr>
        <w:rFonts w:ascii="Times New Roman" w:hAnsi="Times New Roman" w:cs="Times New Roman"/>
        <w:sz w:val="24"/>
      </w:rPr>
      <w:tab/>
    </w:r>
    <w:sdt>
      <w:sdtPr>
        <w:rPr>
          <w:rFonts w:ascii="Times New Roman" w:hAnsi="Times New Roman" w:cs="Times New Roman"/>
          <w:sz w:val="24"/>
        </w:rPr>
        <w:id w:val="1072779178"/>
        <w:docPartObj>
          <w:docPartGallery w:val="Page Numbers (Top of Page)"/>
          <w:docPartUnique/>
        </w:docPartObj>
      </w:sdtPr>
      <w:sdtContent>
        <w:r w:rsidRPr="00C72EB2">
          <w:rPr>
            <w:rFonts w:ascii="Times New Roman" w:hAnsi="Times New Roman" w:cs="Times New Roman"/>
            <w:sz w:val="24"/>
          </w:rPr>
          <w:fldChar w:fldCharType="begin"/>
        </w:r>
        <w:r w:rsidRPr="00C72EB2">
          <w:rPr>
            <w:rFonts w:ascii="Times New Roman" w:hAnsi="Times New Roman" w:cs="Times New Roman"/>
            <w:sz w:val="24"/>
          </w:rPr>
          <w:instrText xml:space="preserve"> PAGE   \* MERGEFORMAT </w:instrText>
        </w:r>
        <w:r w:rsidRPr="00C72EB2">
          <w:rPr>
            <w:rFonts w:ascii="Times New Roman" w:hAnsi="Times New Roman" w:cs="Times New Roman"/>
            <w:sz w:val="24"/>
          </w:rPr>
          <w:fldChar w:fldCharType="separate"/>
        </w:r>
        <w:r>
          <w:rPr>
            <w:rFonts w:ascii="Times New Roman" w:hAnsi="Times New Roman" w:cs="Times New Roman"/>
            <w:noProof/>
            <w:sz w:val="24"/>
          </w:rPr>
          <w:t>1</w:t>
        </w:r>
        <w:r w:rsidRPr="00C72EB2">
          <w:rPr>
            <w:rFonts w:ascii="Times New Roman" w:hAnsi="Times New Roman" w:cs="Times New Roman"/>
            <w:sz w:val="24"/>
          </w:rPr>
          <w:fldChar w:fldCharType="end"/>
        </w:r>
      </w:sdtContent>
    </w:sdt>
  </w:p>
  <w:p w:rsidR="00C72EB2" w:rsidRPr="00C72EB2" w:rsidRDefault="00C72EB2">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93DCB"/>
    <w:rsid w:val="000842D3"/>
    <w:rsid w:val="001141E2"/>
    <w:rsid w:val="00122C0F"/>
    <w:rsid w:val="00354C27"/>
    <w:rsid w:val="003643E0"/>
    <w:rsid w:val="003776BC"/>
    <w:rsid w:val="003E63A9"/>
    <w:rsid w:val="005B4D26"/>
    <w:rsid w:val="005F6F28"/>
    <w:rsid w:val="006A7AF2"/>
    <w:rsid w:val="00877DB7"/>
    <w:rsid w:val="00893DCB"/>
    <w:rsid w:val="008E006D"/>
    <w:rsid w:val="0093103E"/>
    <w:rsid w:val="009B4DE3"/>
    <w:rsid w:val="00A22DB9"/>
    <w:rsid w:val="00B064D5"/>
    <w:rsid w:val="00C72EB2"/>
    <w:rsid w:val="00D95A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22C0F"/>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3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63A9"/>
    <w:rPr>
      <w:rFonts w:ascii="Tahoma" w:hAnsi="Tahoma" w:cs="Tahoma"/>
      <w:sz w:val="16"/>
      <w:szCs w:val="16"/>
    </w:rPr>
  </w:style>
  <w:style w:type="character" w:customStyle="1" w:styleId="Heading1Char">
    <w:name w:val="Heading 1 Char"/>
    <w:basedOn w:val="DefaultParagraphFont"/>
    <w:link w:val="Heading1"/>
    <w:uiPriority w:val="9"/>
    <w:rsid w:val="00122C0F"/>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22C0F"/>
  </w:style>
  <w:style w:type="paragraph" w:styleId="Header">
    <w:name w:val="header"/>
    <w:basedOn w:val="Normal"/>
    <w:link w:val="HeaderChar"/>
    <w:uiPriority w:val="99"/>
    <w:unhideWhenUsed/>
    <w:rsid w:val="00C72E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EB2"/>
  </w:style>
  <w:style w:type="paragraph" w:styleId="Footer">
    <w:name w:val="footer"/>
    <w:basedOn w:val="Normal"/>
    <w:link w:val="FooterChar"/>
    <w:uiPriority w:val="99"/>
    <w:semiHidden/>
    <w:unhideWhenUsed/>
    <w:rsid w:val="00C72E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72EB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ADO19</b:Tag>
    <b:SourceType>InternetSite</b:SourceType>
    <b:Guid>{CC9881CA-D8CC-4C5D-94A4-758A0F6EAAB7}</b:Guid>
    <b:LCID>0</b:LCID>
    <b:Author>
      <b:Author>
        <b:Corporate>ADOS</b:Corporate>
      </b:Author>
    </b:Author>
    <b:Title>The Roadmap to Reparations</b:Title>
    <b:InternetSiteTitle>American Descendants of Slavery</b:InternetSiteTitle>
    <b:YearAccessed>2019</b:YearAccessed>
    <b:MonthAccessed>October</b:MonthAccessed>
    <b:DayAccessed>22</b:DayAccessed>
    <b:URL>https://ados101.com/roadmap-to-reparations</b:URL>
    <b:RefOrder>5</b:RefOrder>
  </b:Source>
  <b:Source>
    <b:Tag>Lum191</b:Tag>
    <b:SourceType>InternetSite</b:SourceType>
    <b:Guid>{C29DC35E-6BD6-4E10-A887-8A05425B3A4A}</b:Guid>
    <b:LCID>0</b:LCID>
    <b:Author>
      <b:Author>
        <b:Corporate>Lumen Learning</b:Corporate>
      </b:Author>
    </b:Author>
    <b:Title>Administrative Agencies:Their Structures and Powers</b:Title>
    <b:InternetSiteTitle>Lumen Learning: Administrative Law</b:InternetSiteTitle>
    <b:YearAccessed>2019</b:YearAccessed>
    <b:MonthAccessed>October </b:MonthAccessed>
    <b:DayAccessed>22</b:DayAccessed>
    <b:URL>https://courses.lumenlearning.com/buslegalenv/chapter/5-1-administrative-agencies-their-structure-and-powers/</b:URL>
    <b:RefOrder>2</b:RefOrder>
  </b:Source>
  <b:Source>
    <b:Tag>USL191</b:Tag>
    <b:SourceType>InternetSite</b:SourceType>
    <b:Guid>{BBEED72F-D77D-481F-9096-F023BEB7FA57}</b:Guid>
    <b:LCID>0</b:LCID>
    <b:Author>
      <b:Author>
        <b:Corporate>U.S. Legal</b:Corporate>
      </b:Author>
    </b:Author>
    <b:Title>Adminidtrative Agencies</b:Title>
    <b:InternetSiteTitle>U.S. Legal</b:InternetSiteTitle>
    <b:YearAccessed>2019</b:YearAccessed>
    <b:MonthAccessed>October</b:MonthAccessed>
    <b:DayAccessed>22</b:DayAccessed>
    <b:URL>https://system.uslegal.com/administrative-agencies/</b:URL>
    <b:RefOrder>1</b:RefOrder>
  </b:Source>
  <b:Source>
    <b:Tag>Hou04</b:Tag>
    <b:SourceType>JournalArticle</b:SourceType>
    <b:Guid>{CDF20B1D-CA9A-40D5-AA20-7B749B841FA0}</b:Guid>
    <b:LCID>0</b:LCID>
    <b:Author>
      <b:Author>
        <b:NameList>
          <b:Person>
            <b:Last>Hou</b:Last>
            <b:First>Yilin</b:First>
          </b:Person>
        </b:NameList>
      </b:Author>
    </b:Author>
    <b:Title>Budget stabilization fund: Structural features of the enabling legislation and balance levels</b:Title>
    <b:Year>2004</b:Year>
    <b:JournalName>Public Budgeting &amp; Finance</b:JournalName>
    <b:Pages>38-64</b:Pages>
    <b:Volume>24</b:Volume>
    <b:Issue>3</b:Issue>
    <b:RefOrder>3</b:RefOrder>
  </b:Source>
  <b:Source>
    <b:Tag>Low19</b:Tag>
    <b:SourceType>InternetSite</b:SourceType>
    <b:Guid>{C2339125-BE6A-4E6B-B8FE-3F2DE3CDCACC}</b:Guid>
    <b:LCID>0</b:LCID>
    <b:Author>
      <b:Author>
        <b:NameList>
          <b:Person>
            <b:Last>Lowery</b:Last>
            <b:First>Wesley</b:First>
          </b:Person>
        </b:NameList>
      </b:Author>
    </b:Author>
    <b:Title>Which Black Men should get Reparations?</b:Title>
    <b:Year>2019</b:Year>
    <b:InternetSiteTitle>The Washington Post</b:InternetSiteTitle>
    <b:Month>September</b:Month>
    <b:Day>18</b:Day>
    <b:YearAccessed>2019</b:YearAccessed>
    <b:MonthAccessed>October</b:MonthAccessed>
    <b:DayAccessed>22</b:DayAccessed>
    <b:URL>https://www.washingtonpost.com/national/which-americans-should-get-reparations/2019/09/18/271cf744-cab1-11e9-a4f3-c081a126de70_story.html</b:URL>
    <b:RefOrder>4</b:RefOrder>
  </b:Source>
</b:Sources>
</file>

<file path=customXml/itemProps1.xml><?xml version="1.0" encoding="utf-8"?>
<ds:datastoreItem xmlns:ds="http://schemas.openxmlformats.org/officeDocument/2006/customXml" ds:itemID="{AB4D50C7-2FA9-4D74-A51C-B9D97DD53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369</TotalTime>
  <Pages>6</Pages>
  <Words>1258</Words>
  <Characters>7173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2019-10-22T11:14:00Z</dcterms:created>
  <dcterms:modified xsi:type="dcterms:W3CDTF">2019-10-22T17:23:00Z</dcterms:modified>
</cp:coreProperties>
</file>