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Amiodarone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Amiodarone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Amiodarone</w:t>
      </w:r>
      <w:r>
        <w:rPr>
          <w:rFonts w:ascii="Times New Roman" w:cs="Times New Roman" w:hAnsi="Times New Roman"/>
          <w:sz w:val="24"/>
          <w:szCs w:val="24"/>
        </w:rPr>
        <w:t xml:space="preserve">, also known as </w:t>
      </w:r>
      <w:r>
        <w:rPr>
          <w:rFonts w:ascii="Times New Roman" w:cs="Times New Roman" w:hAnsi="Times New Roman"/>
          <w:sz w:val="24"/>
          <w:szCs w:val="24"/>
        </w:rPr>
        <w:t>Cordarone</w:t>
      </w:r>
      <w:r>
        <w:rPr>
          <w:rFonts w:ascii="Times New Roman" w:cs="Times New Roman" w:hAnsi="Times New Roman"/>
          <w:sz w:val="24"/>
          <w:szCs w:val="24"/>
        </w:rPr>
        <w:t xml:space="preserve">, is a drug used for the treatment and prevention of irregular heartbeats of patients suffering from </w:t>
      </w:r>
      <w:r>
        <w:rPr>
          <w:rFonts w:ascii="Times New Roman" w:cs="Times New Roman" w:hAnsi="Times New Roman"/>
          <w:sz w:val="24"/>
          <w:szCs w:val="24"/>
        </w:rPr>
        <w:t>atrial</w:t>
      </w:r>
      <w:r>
        <w:rPr>
          <w:rFonts w:ascii="Times New Roman" w:cs="Times New Roman" w:hAnsi="Times New Roman"/>
          <w:sz w:val="24"/>
          <w:szCs w:val="24"/>
        </w:rPr>
        <w:t xml:space="preserve"> fibrillation and ventricular arrhythmias (</w:t>
      </w:r>
      <w:r>
        <w:rPr>
          <w:rFonts w:ascii="Times New Roman" w:cs="Times New Roman" w:hAnsi="Times New Roman"/>
          <w:sz w:val="24"/>
          <w:szCs w:val="24"/>
        </w:rPr>
        <w:t>Siddoway</w:t>
      </w:r>
      <w:r>
        <w:rPr>
          <w:rFonts w:ascii="Times New Roman" w:cs="Times New Roman" w:hAnsi="Times New Roman"/>
          <w:sz w:val="24"/>
          <w:szCs w:val="24"/>
        </w:rPr>
        <w:t xml:space="preserve">, 2003). The drug reduces nerve activity and makes an overactive heart to relax. The usage of </w:t>
      </w:r>
      <w:r>
        <w:rPr>
          <w:rFonts w:ascii="Times New Roman" w:cs="Times New Roman" w:hAnsi="Times New Roman"/>
          <w:sz w:val="24"/>
          <w:szCs w:val="24"/>
        </w:rPr>
        <w:t>amiodarone</w:t>
      </w:r>
      <w:r>
        <w:rPr>
          <w:rFonts w:ascii="Times New Roman" w:cs="Times New Roman" w:hAnsi="Times New Roman"/>
          <w:sz w:val="24"/>
          <w:szCs w:val="24"/>
        </w:rPr>
        <w:t xml:space="preserve"> results in adverse side effects since the drug is so active.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Indications</w:t>
      </w:r>
    </w:p>
    <w:p>
      <w:pPr>
        <w:pStyle w:val="style179"/>
        <w:numPr>
          <w:ilvl w:val="0"/>
          <w:numId w:val="1"/>
        </w:numPr>
        <w:spacing w:lineRule="auto" w:line="480"/>
        <w:jc w:val="center"/>
        <w:rPr>
          <w:rFonts w:ascii="Times New Roman" w:cs="Times New Roman" w:hAnsi="Times New Roman"/>
          <w:b/>
          <w:sz w:val="24"/>
          <w:szCs w:val="24"/>
        </w:rPr>
      </w:pPr>
      <w:r>
        <w:rPr>
          <w:rFonts w:ascii="Times New Roman" w:cs="Times New Roman" w:hAnsi="Times New Roman"/>
          <w:b/>
          <w:sz w:val="24"/>
          <w:szCs w:val="24"/>
        </w:rPr>
        <w:t>Long- term Treatment</w:t>
      </w:r>
    </w:p>
    <w:p>
      <w:pPr>
        <w:pStyle w:val="style0"/>
        <w:spacing w:lineRule="auto" w:line="480"/>
        <w:ind w:firstLine="360"/>
        <w:jc w:val="both"/>
        <w:rPr>
          <w:rFonts w:ascii="Times New Roman" w:cs="Times New Roman" w:hAnsi="Times New Roman"/>
          <w:sz w:val="24"/>
          <w:szCs w:val="24"/>
        </w:rPr>
      </w:pPr>
      <w:r>
        <w:rPr>
          <w:rFonts w:ascii="Times New Roman" w:cs="Times New Roman" w:hAnsi="Times New Roman"/>
          <w:sz w:val="24"/>
          <w:szCs w:val="24"/>
        </w:rPr>
        <w:t xml:space="preserve">The North American Society for Pacing and Electrophysiology (NASPE) recommend the use of the drug for patients who survive sustained ventricular arrhythmias, especially those who suffer ventricular dysfunction (Harris et al., 1983). Also, </w:t>
      </w:r>
      <w:r>
        <w:rPr>
          <w:rFonts w:ascii="Times New Roman" w:cs="Times New Roman" w:hAnsi="Times New Roman"/>
          <w:sz w:val="24"/>
          <w:szCs w:val="24"/>
        </w:rPr>
        <w:t>amiodarone</w:t>
      </w:r>
      <w:r>
        <w:rPr>
          <w:rFonts w:ascii="Times New Roman" w:cs="Times New Roman" w:hAnsi="Times New Roman"/>
          <w:sz w:val="24"/>
          <w:szCs w:val="24"/>
        </w:rPr>
        <w:t xml:space="preserve"> treats </w:t>
      </w:r>
      <w:r>
        <w:rPr>
          <w:rFonts w:ascii="Times New Roman" w:cs="Times New Roman" w:hAnsi="Times New Roman"/>
          <w:sz w:val="24"/>
          <w:szCs w:val="24"/>
        </w:rPr>
        <w:t>atrial</w:t>
      </w:r>
      <w:r>
        <w:rPr>
          <w:rFonts w:ascii="Times New Roman" w:cs="Times New Roman" w:hAnsi="Times New Roman"/>
          <w:sz w:val="24"/>
          <w:szCs w:val="24"/>
        </w:rPr>
        <w:t xml:space="preserve"> fibrillation, although the FDA does not recommend this indication. Various medical guidelines do not count </w:t>
      </w:r>
      <w:r>
        <w:rPr>
          <w:rFonts w:ascii="Times New Roman" w:cs="Times New Roman" w:hAnsi="Times New Roman"/>
          <w:sz w:val="24"/>
          <w:szCs w:val="24"/>
        </w:rPr>
        <w:t>amiodarone</w:t>
      </w:r>
      <w:r>
        <w:rPr>
          <w:rFonts w:ascii="Times New Roman" w:cs="Times New Roman" w:hAnsi="Times New Roman"/>
          <w:sz w:val="24"/>
          <w:szCs w:val="24"/>
        </w:rPr>
        <w:t xml:space="preserve"> as the first option for the treatment of </w:t>
      </w:r>
      <w:r>
        <w:rPr>
          <w:rFonts w:ascii="Times New Roman" w:cs="Times New Roman" w:hAnsi="Times New Roman"/>
          <w:sz w:val="24"/>
          <w:szCs w:val="24"/>
        </w:rPr>
        <w:t>atrial</w:t>
      </w:r>
      <w:r>
        <w:rPr>
          <w:rFonts w:ascii="Times New Roman" w:cs="Times New Roman" w:hAnsi="Times New Roman"/>
          <w:sz w:val="24"/>
          <w:szCs w:val="24"/>
        </w:rPr>
        <w:t xml:space="preserve"> fibrillation. Patients with heart failure and those who are highly symptomatic but do not suffer heart disease can use </w:t>
      </w:r>
      <w:r>
        <w:rPr>
          <w:rFonts w:ascii="Times New Roman" w:cs="Times New Roman" w:hAnsi="Times New Roman"/>
          <w:sz w:val="24"/>
          <w:szCs w:val="24"/>
        </w:rPr>
        <w:t>amiodarone</w:t>
      </w:r>
      <w:r>
        <w:rPr>
          <w:rFonts w:ascii="Times New Roman" w:cs="Times New Roman" w:hAnsi="Times New Roman"/>
          <w:sz w:val="24"/>
          <w:szCs w:val="24"/>
        </w:rPr>
        <w:t xml:space="preserve"> as the second- line drug.</w:t>
      </w:r>
    </w:p>
    <w:p>
      <w:pPr>
        <w:pStyle w:val="style179"/>
        <w:numPr>
          <w:ilvl w:val="0"/>
          <w:numId w:val="1"/>
        </w:numPr>
        <w:spacing w:lineRule="auto" w:line="480"/>
        <w:jc w:val="center"/>
        <w:rPr>
          <w:rFonts w:ascii="Times New Roman" w:cs="Times New Roman" w:hAnsi="Times New Roman"/>
          <w:b/>
          <w:sz w:val="24"/>
          <w:szCs w:val="24"/>
        </w:rPr>
      </w:pPr>
      <w:r>
        <w:rPr>
          <w:rFonts w:ascii="Times New Roman" w:cs="Times New Roman" w:hAnsi="Times New Roman"/>
          <w:b/>
          <w:sz w:val="24"/>
          <w:szCs w:val="24"/>
        </w:rPr>
        <w:t>Acute Treatment</w:t>
      </w:r>
    </w:p>
    <w:p>
      <w:pPr>
        <w:pStyle w:val="style0"/>
        <w:spacing w:lineRule="auto" w:line="480"/>
        <w:ind w:firstLine="360"/>
        <w:jc w:val="both"/>
        <w:rPr>
          <w:rFonts w:ascii="Times New Roman" w:cs="Times New Roman" w:hAnsi="Times New Roman"/>
          <w:sz w:val="24"/>
          <w:szCs w:val="24"/>
        </w:rPr>
      </w:pPr>
      <w:r>
        <w:rPr>
          <w:rFonts w:ascii="Times New Roman" w:cs="Times New Roman" w:hAnsi="Times New Roman"/>
          <w:sz w:val="24"/>
          <w:szCs w:val="24"/>
        </w:rPr>
        <w:t xml:space="preserve">The ACLS (Advanced Cardiac Life Support) guidelines issued in 2000 recommend </w:t>
      </w:r>
      <w:r>
        <w:rPr>
          <w:rFonts w:ascii="Times New Roman" w:cs="Times New Roman" w:hAnsi="Times New Roman"/>
          <w:sz w:val="24"/>
          <w:szCs w:val="24"/>
        </w:rPr>
        <w:t>amiodarone</w:t>
      </w:r>
      <w:r>
        <w:rPr>
          <w:rFonts w:ascii="Times New Roman" w:cs="Times New Roman" w:hAnsi="Times New Roman"/>
          <w:sz w:val="24"/>
          <w:szCs w:val="24"/>
        </w:rPr>
        <w:t xml:space="preserve"> and </w:t>
      </w:r>
      <w:r>
        <w:rPr>
          <w:rFonts w:ascii="Times New Roman" w:cs="Times New Roman" w:hAnsi="Times New Roman"/>
          <w:sz w:val="24"/>
          <w:szCs w:val="24"/>
        </w:rPr>
        <w:t>procainamide</w:t>
      </w:r>
      <w:r>
        <w:rPr>
          <w:rFonts w:ascii="Times New Roman" w:cs="Times New Roman" w:hAnsi="Times New Roman"/>
          <w:sz w:val="24"/>
          <w:szCs w:val="24"/>
        </w:rPr>
        <w:t xml:space="preserve"> for the treatment of complex tachycardia (</w:t>
      </w:r>
      <w:r>
        <w:rPr>
          <w:rFonts w:ascii="Times New Roman" w:cs="Times New Roman" w:hAnsi="Times New Roman"/>
          <w:sz w:val="24"/>
          <w:szCs w:val="24"/>
        </w:rPr>
        <w:t>Siddoway</w:t>
      </w:r>
      <w:r>
        <w:rPr>
          <w:rFonts w:ascii="Times New Roman" w:cs="Times New Roman" w:hAnsi="Times New Roman"/>
          <w:sz w:val="24"/>
          <w:szCs w:val="24"/>
        </w:rPr>
        <w:t xml:space="preserve">, 2003). However, the directive holds that </w:t>
      </w:r>
      <w:r>
        <w:rPr>
          <w:rFonts w:ascii="Times New Roman" w:cs="Times New Roman" w:hAnsi="Times New Roman"/>
          <w:sz w:val="24"/>
          <w:szCs w:val="24"/>
        </w:rPr>
        <w:t>amiodarone</w:t>
      </w:r>
      <w:r>
        <w:rPr>
          <w:rFonts w:ascii="Times New Roman" w:cs="Times New Roman" w:hAnsi="Times New Roman"/>
          <w:sz w:val="24"/>
          <w:szCs w:val="24"/>
        </w:rPr>
        <w:t xml:space="preserve"> can only treat refractory ventricular tachycardia. Recent research shows that </w:t>
      </w:r>
      <w:r>
        <w:rPr>
          <w:rFonts w:ascii="Times New Roman" w:cs="Times New Roman" w:hAnsi="Times New Roman"/>
          <w:sz w:val="24"/>
          <w:szCs w:val="24"/>
        </w:rPr>
        <w:t>amiodarone</w:t>
      </w:r>
      <w:r>
        <w:rPr>
          <w:rFonts w:ascii="Times New Roman" w:cs="Times New Roman" w:hAnsi="Times New Roman"/>
          <w:sz w:val="24"/>
          <w:szCs w:val="24"/>
        </w:rPr>
        <w:t xml:space="preserve"> therapy can improve survival of the out- of- hospital patients who are shock- resistant.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Dosage and Administration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Patients who receive </w:t>
      </w:r>
      <w:r>
        <w:rPr>
          <w:rFonts w:ascii="Times New Roman" w:cs="Times New Roman" w:hAnsi="Times New Roman"/>
          <w:sz w:val="24"/>
          <w:szCs w:val="24"/>
        </w:rPr>
        <w:t>amiodarone</w:t>
      </w:r>
      <w:r>
        <w:rPr>
          <w:rFonts w:ascii="Times New Roman" w:cs="Times New Roman" w:hAnsi="Times New Roman"/>
          <w:sz w:val="24"/>
          <w:szCs w:val="24"/>
        </w:rPr>
        <w:t xml:space="preserve"> therapy orally can stay for two or more weeks before the effects of the drug occur. Usually, the dosage should not exceed 300 mg per day because higher dosage may cause adverse effects to the patient. The table below shows the indication, administration, dosage, and side effects of the therapy. </w:t>
      </w:r>
    </w:p>
    <w:p>
      <w:pPr>
        <w:pStyle w:val="style0"/>
        <w:spacing w:lineRule="auto" w:line="480"/>
        <w:jc w:val="both"/>
        <w:rPr>
          <w:rFonts w:ascii="Times New Roman" w:cs="Times New Roman" w:hAnsi="Times New Roman"/>
          <w:i/>
          <w:sz w:val="24"/>
          <w:szCs w:val="24"/>
        </w:rPr>
      </w:pPr>
      <w:r>
        <w:rPr>
          <w:rFonts w:ascii="Times New Roman" w:cs="Times New Roman" w:hAnsi="Times New Roman"/>
          <w:i/>
          <w:sz w:val="24"/>
          <w:szCs w:val="24"/>
        </w:rPr>
        <w:t xml:space="preserve">Table 1: Dosage and administration </w:t>
      </w:r>
    </w:p>
    <w:tbl>
      <w:tblPr>
        <w:tblStyle w:val="style154"/>
        <w:tblW w:w="0" w:type="auto"/>
        <w:tblLayout w:type="fixed"/>
        <w:tblLook w:val="04A0" w:firstRow="1" w:lastRow="0" w:firstColumn="1" w:lastColumn="0" w:noHBand="0" w:noVBand="1"/>
      </w:tblPr>
      <w:tblGrid>
        <w:gridCol w:w="2376"/>
        <w:gridCol w:w="2127"/>
        <w:gridCol w:w="3402"/>
        <w:gridCol w:w="1671"/>
      </w:tblGrid>
      <w:tr>
        <w:trPr/>
        <w:tc>
          <w:tcPr>
            <w:tcW w:w="2376"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indication</w:t>
            </w:r>
          </w:p>
        </w:tc>
        <w:tc>
          <w:tcPr>
            <w:tcW w:w="212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Administration </w:t>
            </w:r>
            <w:r>
              <w:rPr>
                <w:rFonts w:ascii="Times New Roman" w:cs="Times New Roman" w:hAnsi="Times New Roman"/>
                <w:sz w:val="24"/>
                <w:szCs w:val="24"/>
              </w:rPr>
              <w:t>route and</w:t>
            </w:r>
            <w:r>
              <w:rPr>
                <w:rFonts w:ascii="Times New Roman" w:cs="Times New Roman" w:hAnsi="Times New Roman"/>
                <w:sz w:val="24"/>
                <w:szCs w:val="24"/>
              </w:rPr>
              <w:t xml:space="preserve"> settling</w:t>
            </w:r>
          </w:p>
        </w:tc>
        <w:tc>
          <w:tcPr>
            <w:tcW w:w="3402"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Dosage </w:t>
            </w:r>
          </w:p>
        </w:tc>
        <w:tc>
          <w:tcPr>
            <w:tcW w:w="1671"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Potential adverse effects</w:t>
            </w:r>
          </w:p>
        </w:tc>
      </w:tr>
      <w:tr>
        <w:tblPrEx/>
        <w:trPr/>
        <w:tc>
          <w:tcPr>
            <w:tcW w:w="2376" w:type="dxa"/>
            <w:tcBorders/>
          </w:tcPr>
          <w:tbl>
            <w:tblPr>
              <w:tblW w:w="6587"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610"/>
              <w:gridCol w:w="659"/>
              <w:gridCol w:w="659"/>
              <w:gridCol w:w="659"/>
            </w:tblGrid>
            <w:tr>
              <w:trPr/>
              <w:tc>
                <w:tcPr>
                  <w:tcW w:w="4610"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Life-threatening arrhythmia</w:t>
                  </w:r>
                </w:p>
              </w:tc>
              <w:tc>
                <w:tcPr>
                  <w:tcW w:w="659"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c>
                <w:tcPr>
                  <w:tcW w:w="659"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c>
                <w:tcPr>
                  <w:tcW w:w="659"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r>
          </w:tbl>
          <w:p>
            <w:pPr>
              <w:pStyle w:val="style0"/>
              <w:spacing w:lineRule="auto" w:line="480"/>
              <w:jc w:val="both"/>
              <w:rPr>
                <w:rFonts w:ascii="Times New Roman" w:cs="Times New Roman" w:hAnsi="Times New Roman"/>
                <w:sz w:val="24"/>
                <w:szCs w:val="24"/>
              </w:rPr>
            </w:pPr>
          </w:p>
        </w:tc>
        <w:tc>
          <w:tcPr>
            <w:tcW w:w="212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Intravenous, in- patients should receive the therapy.</w:t>
            </w:r>
          </w:p>
        </w:tc>
        <w:tc>
          <w:tcPr>
            <w:tcW w:w="3402"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For a start the medical practitioner should give the patient a high dosage of </w:t>
            </w:r>
            <w:r>
              <w:rPr>
                <w:rFonts w:ascii="Times New Roman" w:cs="Times New Roman" w:hAnsi="Times New Roman"/>
                <w:sz w:val="24"/>
                <w:szCs w:val="24"/>
              </w:rPr>
              <w:t xml:space="preserve">150-mg </w:t>
            </w:r>
            <w:r>
              <w:rPr>
                <w:rFonts w:ascii="Times New Roman" w:cs="Times New Roman" w:hAnsi="Times New Roman"/>
                <w:sz w:val="24"/>
                <w:szCs w:val="24"/>
              </w:rPr>
              <w:t>intravenous</w:t>
            </w:r>
            <w:r>
              <w:rPr>
                <w:rFonts w:ascii="Times New Roman" w:cs="Times New Roman" w:hAnsi="Times New Roman"/>
                <w:sz w:val="24"/>
                <w:szCs w:val="24"/>
              </w:rPr>
              <w:t xml:space="preserve"> bolus over 10 </w:t>
            </w:r>
            <w:r>
              <w:rPr>
                <w:rFonts w:ascii="Times New Roman" w:cs="Times New Roman" w:hAnsi="Times New Roman"/>
                <w:sz w:val="24"/>
                <w:szCs w:val="24"/>
              </w:rPr>
              <w:t xml:space="preserve">minutes. It is good to repeat the bolus after </w:t>
            </w:r>
            <w:r>
              <w:rPr>
                <w:rFonts w:ascii="Times New Roman" w:cs="Times New Roman" w:hAnsi="Times New Roman"/>
                <w:sz w:val="24"/>
                <w:szCs w:val="24"/>
              </w:rPr>
              <w:t>duration</w:t>
            </w:r>
            <w:r>
              <w:rPr>
                <w:rFonts w:ascii="Times New Roman" w:cs="Times New Roman" w:hAnsi="Times New Roman"/>
                <w:sz w:val="24"/>
                <w:szCs w:val="24"/>
              </w:rPr>
              <w:t xml:space="preserve"> of 10- 30 minutes</w:t>
            </w:r>
            <w:r>
              <w:rPr>
                <w:rFonts w:ascii="Times New Roman" w:cs="Times New Roman" w:hAnsi="Times New Roman"/>
                <w:sz w:val="24"/>
                <w:szCs w:val="24"/>
              </w:rPr>
              <w:t xml:space="preserve">; then </w:t>
            </w:r>
            <w:r>
              <w:rPr>
                <w:rFonts w:ascii="Times New Roman" w:cs="Times New Roman" w:hAnsi="Times New Roman"/>
                <w:sz w:val="24"/>
                <w:szCs w:val="24"/>
              </w:rPr>
              <w:t xml:space="preserve">reduce it to </w:t>
            </w:r>
            <w:r>
              <w:rPr>
                <w:rFonts w:ascii="Times New Roman" w:cs="Times New Roman" w:hAnsi="Times New Roman"/>
                <w:sz w:val="24"/>
                <w:szCs w:val="24"/>
              </w:rPr>
              <w:t xml:space="preserve">1 mg per minute for 6 hours; </w:t>
            </w:r>
            <w:r>
              <w:rPr>
                <w:rFonts w:ascii="Times New Roman" w:cs="Times New Roman" w:hAnsi="Times New Roman"/>
                <w:sz w:val="24"/>
                <w:szCs w:val="24"/>
              </w:rPr>
              <w:t>and last reduce the dosage to 0.5</w:t>
            </w:r>
            <w:r>
              <w:rPr>
                <w:rFonts w:ascii="Times New Roman" w:cs="Times New Roman" w:hAnsi="Times New Roman"/>
                <w:sz w:val="24"/>
                <w:szCs w:val="24"/>
              </w:rPr>
              <w:t xml:space="preserve"> mg per minute for 18 hours; then reduce </w:t>
            </w:r>
            <w:r>
              <w:rPr>
                <w:rFonts w:ascii="Times New Roman" w:cs="Times New Roman" w:hAnsi="Times New Roman"/>
                <w:sz w:val="24"/>
                <w:szCs w:val="24"/>
              </w:rPr>
              <w:t>the intravenous</w:t>
            </w:r>
            <w:r>
              <w:rPr>
                <w:rFonts w:ascii="Times New Roman" w:cs="Times New Roman" w:hAnsi="Times New Roman"/>
                <w:sz w:val="24"/>
                <w:szCs w:val="24"/>
              </w:rPr>
              <w:t xml:space="preserve"> dosage or convert to oral dosing when possible.</w:t>
            </w:r>
            <w:r>
              <w:rPr>
                <w:rFonts w:ascii="Times New Roman" w:cs="Times New Roman" w:hAnsi="Times New Roman"/>
                <w:sz w:val="24"/>
                <w:szCs w:val="24"/>
              </w:rPr>
              <w:t xml:space="preserve"> (</w:t>
            </w:r>
            <w:r>
              <w:rPr>
                <w:rFonts w:ascii="Times New Roman" w:cs="Times New Roman" w:hAnsi="Times New Roman"/>
                <w:sz w:val="24"/>
                <w:szCs w:val="24"/>
              </w:rPr>
              <w:t>Iwasawa</w:t>
            </w:r>
            <w:r>
              <w:rPr>
                <w:rFonts w:ascii="Times New Roman" w:cs="Times New Roman" w:hAnsi="Times New Roman"/>
                <w:sz w:val="24"/>
                <w:szCs w:val="24"/>
              </w:rPr>
              <w:t>, et al., 2018).</w:t>
            </w:r>
          </w:p>
        </w:tc>
        <w:tc>
          <w:tcPr>
            <w:tcW w:w="1671" w:type="dxa"/>
            <w:tcBorders/>
          </w:tcPr>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effects include </w:t>
            </w:r>
            <w:r>
              <w:rPr>
                <w:rFonts w:ascii="Times New Roman" w:cs="Times New Roman" w:hAnsi="Times New Roman"/>
                <w:sz w:val="24"/>
                <w:szCs w:val="24"/>
              </w:rPr>
              <w:t>bradycardia</w:t>
            </w:r>
            <w:r>
              <w:rPr>
                <w:rFonts w:ascii="Times New Roman" w:cs="Times New Roman" w:hAnsi="Times New Roman"/>
                <w:sz w:val="24"/>
                <w:szCs w:val="24"/>
              </w:rPr>
              <w:t xml:space="preserve">. Hypotension and </w:t>
            </w:r>
            <w:r>
              <w:rPr>
                <w:rFonts w:ascii="Times New Roman" w:cs="Times New Roman" w:hAnsi="Times New Roman"/>
                <w:sz w:val="24"/>
                <w:szCs w:val="24"/>
              </w:rPr>
              <w:t>atrioventricular</w:t>
            </w:r>
            <w:r>
              <w:rPr>
                <w:rFonts w:ascii="Times New Roman" w:cs="Times New Roman" w:hAnsi="Times New Roman"/>
                <w:sz w:val="24"/>
                <w:szCs w:val="24"/>
              </w:rPr>
              <w:t xml:space="preserve"> block</w:t>
            </w:r>
            <w:r>
              <w:rPr>
                <w:rFonts w:ascii="Times New Roman" w:cs="Times New Roman" w:hAnsi="Times New Roman"/>
                <w:sz w:val="24"/>
                <w:szCs w:val="24"/>
              </w:rPr>
              <w:t xml:space="preserve"> (Harris, et al., 1983)</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tc>
      </w:tr>
      <w:tr>
        <w:tblPrEx/>
        <w:trPr/>
        <w:tc>
          <w:tcPr>
            <w:tcW w:w="2376" w:type="dxa"/>
            <w:tcBorders/>
          </w:tcPr>
          <w:tbl>
            <w:tblPr>
              <w:tblW w:w="6587"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400"/>
              <w:gridCol w:w="729"/>
              <w:gridCol w:w="729"/>
              <w:gridCol w:w="729"/>
            </w:tblGrid>
            <w:tr>
              <w:trPr/>
              <w:tc>
                <w:tcPr>
                  <w:tcW w:w="4400"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Ventricular arrhythmia</w:t>
                  </w:r>
                </w:p>
              </w:tc>
              <w:tc>
                <w:tcPr>
                  <w:tcW w:w="729"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c>
                <w:tcPr>
                  <w:tcW w:w="729"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c>
                <w:tcPr>
                  <w:tcW w:w="729"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r>
          </w:tbl>
          <w:p>
            <w:pPr>
              <w:pStyle w:val="style0"/>
              <w:spacing w:lineRule="auto" w:line="480"/>
              <w:jc w:val="both"/>
              <w:rPr>
                <w:rFonts w:ascii="Times New Roman" w:cs="Times New Roman" w:hAnsi="Times New Roman"/>
                <w:sz w:val="24"/>
                <w:szCs w:val="24"/>
              </w:rPr>
            </w:pPr>
          </w:p>
        </w:tc>
        <w:tc>
          <w:tcPr>
            <w:tcW w:w="212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Oral, recommended for the treatment of </w:t>
            </w:r>
            <w:r>
              <w:rPr>
                <w:rFonts w:ascii="Times New Roman" w:cs="Times New Roman" w:hAnsi="Times New Roman"/>
                <w:sz w:val="24"/>
                <w:szCs w:val="24"/>
              </w:rPr>
              <w:t xml:space="preserve">in- patients. </w:t>
            </w:r>
          </w:p>
        </w:tc>
        <w:tc>
          <w:tcPr>
            <w:tcW w:w="3402"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dosage </w:t>
            </w:r>
            <w:r>
              <w:rPr>
                <w:rFonts w:ascii="Times New Roman" w:cs="Times New Roman" w:hAnsi="Times New Roman"/>
                <w:sz w:val="24"/>
                <w:szCs w:val="24"/>
              </w:rPr>
              <w:t>should range</w:t>
            </w:r>
            <w:r>
              <w:rPr>
                <w:rFonts w:ascii="Times New Roman" w:cs="Times New Roman" w:hAnsi="Times New Roman"/>
                <w:sz w:val="24"/>
                <w:szCs w:val="24"/>
              </w:rPr>
              <w:t xml:space="preserve"> from </w:t>
            </w:r>
            <w:r>
              <w:rPr>
                <w:rFonts w:ascii="Times New Roman" w:cs="Times New Roman" w:hAnsi="Times New Roman"/>
                <w:sz w:val="24"/>
                <w:szCs w:val="24"/>
              </w:rPr>
              <w:t xml:space="preserve">800 to 1,600 mg per day in </w:t>
            </w:r>
            <w:r>
              <w:rPr>
                <w:rFonts w:ascii="Times New Roman" w:cs="Times New Roman" w:hAnsi="Times New Roman"/>
                <w:sz w:val="24"/>
                <w:szCs w:val="24"/>
              </w:rPr>
              <w:t>divided doses until a to</w:t>
            </w:r>
            <w:r>
              <w:rPr>
                <w:rFonts w:ascii="Times New Roman" w:cs="Times New Roman" w:hAnsi="Times New Roman"/>
                <w:sz w:val="24"/>
                <w:szCs w:val="24"/>
              </w:rPr>
              <w:t xml:space="preserve">tal of 10 g has been given; then it the medical practitioner should reduce it to </w:t>
            </w:r>
            <w:r>
              <w:rPr>
                <w:rFonts w:ascii="Times New Roman" w:cs="Times New Roman" w:hAnsi="Times New Roman"/>
                <w:sz w:val="24"/>
                <w:szCs w:val="24"/>
              </w:rPr>
              <w:t>between 200 and</w:t>
            </w:r>
            <w:r>
              <w:rPr>
                <w:rFonts w:ascii="Times New Roman" w:cs="Times New Roman" w:hAnsi="Times New Roman"/>
                <w:sz w:val="24"/>
                <w:szCs w:val="24"/>
              </w:rPr>
              <w:t xml:space="preserve"> 400 mg per day</w:t>
            </w:r>
            <w:r>
              <w:rPr>
                <w:rFonts w:ascii="Times New Roman" w:cs="Times New Roman" w:hAnsi="Times New Roman"/>
                <w:sz w:val="24"/>
                <w:szCs w:val="24"/>
              </w:rPr>
              <w:t xml:space="preserve"> (</w:t>
            </w:r>
            <w:r>
              <w:rPr>
                <w:rFonts w:ascii="Times New Roman" w:cs="Times New Roman" w:hAnsi="Times New Roman"/>
                <w:sz w:val="24"/>
                <w:szCs w:val="24"/>
              </w:rPr>
              <w:t>Iwasawa</w:t>
            </w:r>
            <w:r>
              <w:rPr>
                <w:rFonts w:ascii="Times New Roman" w:cs="Times New Roman" w:hAnsi="Times New Roman"/>
                <w:sz w:val="24"/>
                <w:szCs w:val="24"/>
              </w:rPr>
              <w:t>, et al., 2018).</w:t>
            </w:r>
          </w:p>
        </w:tc>
        <w:tc>
          <w:tcPr>
            <w:tcW w:w="1671"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likely adverse effects </w:t>
            </w:r>
            <w:r>
              <w:rPr>
                <w:rFonts w:ascii="Times New Roman" w:cs="Times New Roman" w:hAnsi="Times New Roman"/>
                <w:sz w:val="24"/>
                <w:szCs w:val="24"/>
              </w:rPr>
              <w:t>may be constipation</w:t>
            </w:r>
            <w:r>
              <w:rPr>
                <w:rFonts w:ascii="Times New Roman" w:cs="Times New Roman" w:hAnsi="Times New Roman"/>
                <w:sz w:val="24"/>
                <w:szCs w:val="24"/>
              </w:rPr>
              <w:t>,  gastrointestinal</w:t>
            </w:r>
            <w:r>
              <w:rPr>
                <w:rFonts w:ascii="Times New Roman" w:cs="Times New Roman" w:hAnsi="Times New Roman"/>
                <w:sz w:val="24"/>
                <w:szCs w:val="24"/>
              </w:rPr>
              <w:t xml:space="preserve"> upset, </w:t>
            </w:r>
            <w:r>
              <w:rPr>
                <w:rFonts w:ascii="Times New Roman" w:cs="Times New Roman" w:hAnsi="Times New Roman"/>
                <w:sz w:val="24"/>
                <w:szCs w:val="24"/>
              </w:rPr>
              <w:t>Bradycardia</w:t>
            </w:r>
            <w:r>
              <w:rPr>
                <w:rFonts w:ascii="Times New Roman" w:cs="Times New Roman" w:hAnsi="Times New Roman"/>
                <w:sz w:val="24"/>
                <w:szCs w:val="24"/>
              </w:rPr>
              <w:t>.</w:t>
            </w:r>
          </w:p>
        </w:tc>
      </w:tr>
      <w:tr>
        <w:tblPrEx/>
        <w:trPr/>
        <w:tc>
          <w:tcPr>
            <w:tcW w:w="2376" w:type="dxa"/>
            <w:tcBorders/>
          </w:tcPr>
          <w:tbl>
            <w:tblPr>
              <w:tblW w:w="6587"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025"/>
              <w:gridCol w:w="854"/>
              <w:gridCol w:w="854"/>
              <w:gridCol w:w="854"/>
            </w:tblGrid>
            <w:tr>
              <w:trPr/>
              <w:tc>
                <w:tcPr>
                  <w:tcW w:w="4025"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Atrial</w:t>
                  </w:r>
                  <w:r>
                    <w:rPr>
                      <w:rFonts w:ascii="Times New Roman" w:cs="Times New Roman" w:hAnsi="Times New Roman"/>
                      <w:sz w:val="24"/>
                      <w:szCs w:val="24"/>
                    </w:rPr>
                    <w:t xml:space="preserve"> fibrillation</w:t>
                  </w:r>
                </w:p>
              </w:tc>
              <w:tc>
                <w:tcPr>
                  <w:tcW w:w="854"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c>
                <w:tcPr>
                  <w:tcW w:w="854"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c>
                <w:tcPr>
                  <w:tcW w:w="854" w:type="dxa"/>
                  <w:tcBorders>
                    <w:top w:val="nil"/>
                    <w:left w:val="nil"/>
                    <w:right w:val="nil"/>
                  </w:tcBorders>
                  <w:shd w:val="clear" w:color="auto" w:fill="ffffff"/>
                  <w:tcMar>
                    <w:top w:w="168" w:type="dxa"/>
                    <w:left w:w="48" w:type="dxa"/>
                    <w:bottom w:w="168" w:type="dxa"/>
                    <w:right w:w="240" w:type="dxa"/>
                  </w:tcMar>
                  <w:hideMark/>
                </w:tcPr>
                <w:p>
                  <w:pPr>
                    <w:pStyle w:val="style0"/>
                    <w:spacing w:lineRule="auto" w:line="480"/>
                    <w:jc w:val="both"/>
                    <w:rPr>
                      <w:rFonts w:ascii="Times New Roman" w:cs="Times New Roman" w:hAnsi="Times New Roman"/>
                      <w:sz w:val="24"/>
                      <w:szCs w:val="24"/>
                    </w:rPr>
                  </w:pPr>
                </w:p>
              </w:tc>
            </w:tr>
          </w:tbl>
          <w:p>
            <w:pPr>
              <w:pStyle w:val="style0"/>
              <w:spacing w:lineRule="auto" w:line="480"/>
              <w:jc w:val="both"/>
              <w:rPr>
                <w:rFonts w:ascii="Times New Roman" w:cs="Times New Roman" w:hAnsi="Times New Roman"/>
                <w:sz w:val="24"/>
                <w:szCs w:val="24"/>
              </w:rPr>
            </w:pPr>
          </w:p>
        </w:tc>
        <w:tc>
          <w:tcPr>
            <w:tcW w:w="212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Oral, recommended for the treatment of both the in</w:t>
            </w:r>
            <w:r>
              <w:rPr>
                <w:rFonts w:ascii="Times New Roman" w:cs="Times New Roman" w:hAnsi="Times New Roman"/>
                <w:sz w:val="24"/>
                <w:szCs w:val="24"/>
              </w:rPr>
              <w:t>-</w:t>
            </w:r>
            <w:r>
              <w:rPr>
                <w:rFonts w:ascii="Times New Roman" w:cs="Times New Roman" w:hAnsi="Times New Roman"/>
                <w:sz w:val="24"/>
                <w:szCs w:val="24"/>
              </w:rPr>
              <w:t xml:space="preserve">patients </w:t>
            </w:r>
            <w:r>
              <w:rPr>
                <w:rFonts w:ascii="Times New Roman" w:cs="Times New Roman" w:hAnsi="Times New Roman"/>
                <w:sz w:val="24"/>
                <w:szCs w:val="24"/>
              </w:rPr>
              <w:t>and out</w:t>
            </w:r>
            <w:r>
              <w:rPr>
                <w:rFonts w:ascii="Times New Roman" w:cs="Times New Roman" w:hAnsi="Times New Roman"/>
                <w:sz w:val="24"/>
                <w:szCs w:val="24"/>
              </w:rPr>
              <w:t>-</w:t>
            </w:r>
            <w:r>
              <w:rPr>
                <w:rFonts w:ascii="Times New Roman" w:cs="Times New Roman" w:hAnsi="Times New Roman"/>
                <w:sz w:val="24"/>
                <w:szCs w:val="24"/>
              </w:rPr>
              <w:t xml:space="preserve">patient </w:t>
            </w:r>
            <w:r>
              <w:rPr>
                <w:rFonts w:ascii="Times New Roman" w:cs="Times New Roman" w:hAnsi="Times New Roman"/>
                <w:sz w:val="24"/>
                <w:szCs w:val="24"/>
              </w:rPr>
              <w:t>s.</w:t>
            </w:r>
          </w:p>
        </w:tc>
        <w:tc>
          <w:tcPr>
            <w:tcW w:w="3402"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Administer a dosage of </w:t>
            </w:r>
            <w:r>
              <w:rPr>
                <w:rFonts w:ascii="Times New Roman" w:cs="Times New Roman" w:hAnsi="Times New Roman"/>
                <w:sz w:val="24"/>
                <w:szCs w:val="24"/>
              </w:rPr>
              <w:t xml:space="preserve">600 to 800 mg per day in divided doses until a total of 10 g has been given (may </w:t>
            </w:r>
            <w:r>
              <w:rPr>
                <w:rFonts w:ascii="Times New Roman" w:cs="Times New Roman" w:hAnsi="Times New Roman"/>
                <w:sz w:val="24"/>
                <w:szCs w:val="24"/>
              </w:rPr>
              <w:t>the medical officer should recommend</w:t>
            </w:r>
            <w:r>
              <w:rPr>
                <w:rFonts w:ascii="Times New Roman" w:cs="Times New Roman" w:hAnsi="Times New Roman"/>
                <w:sz w:val="24"/>
                <w:szCs w:val="24"/>
              </w:rPr>
              <w:t xml:space="preserve"> higher dosage </w:t>
            </w:r>
            <w:r>
              <w:rPr>
                <w:rFonts w:ascii="Times New Roman" w:cs="Times New Roman" w:hAnsi="Times New Roman"/>
                <w:sz w:val="24"/>
                <w:szCs w:val="24"/>
              </w:rPr>
              <w:t xml:space="preserve">for the start </w:t>
            </w:r>
            <w:r>
              <w:rPr>
                <w:rFonts w:ascii="Times New Roman" w:cs="Times New Roman" w:hAnsi="Times New Roman"/>
                <w:sz w:val="24"/>
                <w:szCs w:val="24"/>
              </w:rPr>
              <w:t xml:space="preserve">or </w:t>
            </w:r>
            <w:r>
              <w:rPr>
                <w:rFonts w:ascii="Times New Roman" w:cs="Times New Roman" w:hAnsi="Times New Roman"/>
                <w:sz w:val="24"/>
                <w:szCs w:val="24"/>
              </w:rPr>
              <w:t xml:space="preserve">intravenous </w:t>
            </w:r>
            <w:r>
              <w:rPr>
                <w:rFonts w:ascii="Times New Roman" w:cs="Times New Roman" w:hAnsi="Times New Roman"/>
                <w:sz w:val="24"/>
                <w:szCs w:val="24"/>
              </w:rPr>
              <w:t xml:space="preserve"> dosing in unstable inpatients); then </w:t>
            </w:r>
            <w:r>
              <w:rPr>
                <w:rFonts w:ascii="Times New Roman" w:cs="Times New Roman" w:hAnsi="Times New Roman"/>
                <w:sz w:val="24"/>
                <w:szCs w:val="24"/>
              </w:rPr>
              <w:t xml:space="preserve">the dosage should  reach </w:t>
            </w:r>
            <w:r>
              <w:rPr>
                <w:rFonts w:ascii="Times New Roman" w:cs="Times New Roman" w:hAnsi="Times New Roman"/>
                <w:sz w:val="24"/>
                <w:szCs w:val="24"/>
              </w:rPr>
              <w:t>200 mg per da</w:t>
            </w:r>
            <w:r>
              <w:rPr>
                <w:rFonts w:ascii="Times New Roman" w:cs="Times New Roman" w:hAnsi="Times New Roman"/>
                <w:sz w:val="24"/>
                <w:szCs w:val="24"/>
              </w:rPr>
              <w:t>y</w:t>
            </w:r>
            <w:r>
              <w:rPr>
                <w:rFonts w:ascii="Times New Roman" w:cs="Times New Roman" w:hAnsi="Times New Roman"/>
                <w:sz w:val="24"/>
                <w:szCs w:val="24"/>
              </w:rPr>
              <w:t xml:space="preserve"> (</w:t>
            </w:r>
            <w:r>
              <w:rPr>
                <w:rFonts w:ascii="Times New Roman" w:cs="Times New Roman" w:hAnsi="Times New Roman"/>
                <w:sz w:val="24"/>
                <w:szCs w:val="24"/>
              </w:rPr>
              <w:t>Iwasawa</w:t>
            </w:r>
            <w:r>
              <w:rPr>
                <w:rFonts w:ascii="Times New Roman" w:cs="Times New Roman" w:hAnsi="Times New Roman"/>
                <w:sz w:val="24"/>
                <w:szCs w:val="24"/>
              </w:rPr>
              <w:t>, et al., 2018)</w:t>
            </w:r>
            <w:r>
              <w:rPr>
                <w:rFonts w:ascii="Times New Roman" w:cs="Times New Roman" w:hAnsi="Times New Roman"/>
                <w:sz w:val="24"/>
                <w:szCs w:val="24"/>
              </w:rPr>
              <w:t>.</w:t>
            </w:r>
          </w:p>
        </w:tc>
        <w:tc>
          <w:tcPr>
            <w:tcW w:w="1671"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possible adverse effects may be constipation,  gastrointestinal upset, </w:t>
            </w:r>
            <w:r>
              <w:rPr>
                <w:rFonts w:ascii="Times New Roman" w:cs="Times New Roman" w:hAnsi="Times New Roman"/>
                <w:sz w:val="24"/>
                <w:szCs w:val="24"/>
              </w:rPr>
              <w:t>Bradycardia</w:t>
            </w:r>
            <w:r>
              <w:rPr>
                <w:rFonts w:ascii="Times New Roman" w:cs="Times New Roman" w:hAnsi="Times New Roman"/>
                <w:sz w:val="24"/>
                <w:szCs w:val="24"/>
              </w:rPr>
              <w:t xml:space="preserve"> (Harris, et al., 1983)</w:t>
            </w:r>
          </w:p>
        </w:tc>
      </w:tr>
    </w:tbl>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N</w:t>
      </w:r>
      <w:r>
        <w:rPr>
          <w:rFonts w:ascii="Times New Roman" w:cs="Times New Roman" w:hAnsi="Times New Roman"/>
          <w:b/>
          <w:sz w:val="24"/>
          <w:szCs w:val="24"/>
        </w:rPr>
        <w:t>ursing</w:t>
      </w:r>
      <w:r>
        <w:rPr>
          <w:rFonts w:ascii="Times New Roman" w:cs="Times New Roman" w:hAnsi="Times New Roman"/>
          <w:b/>
          <w:sz w:val="24"/>
          <w:szCs w:val="24"/>
        </w:rPr>
        <w:t xml:space="preserve"> </w:t>
      </w:r>
      <w:r>
        <w:rPr>
          <w:rFonts w:ascii="Times New Roman" w:cs="Times New Roman" w:hAnsi="Times New Roman"/>
          <w:b/>
          <w:sz w:val="24"/>
          <w:szCs w:val="24"/>
        </w:rPr>
        <w:t xml:space="preserve">interventions for administration monitoring </w:t>
      </w:r>
      <w:r>
        <w:rPr>
          <w:rFonts w:ascii="Times New Roman" w:cs="Times New Roman" w:hAnsi="Times New Roman"/>
          <w:b/>
          <w:sz w:val="24"/>
          <w:szCs w:val="24"/>
        </w:rPr>
        <w:t>and effectiveness of medication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Before administration of the </w:t>
      </w:r>
      <w:r>
        <w:rPr>
          <w:rFonts w:ascii="Times New Roman" w:cs="Times New Roman" w:hAnsi="Times New Roman"/>
          <w:sz w:val="24"/>
          <w:szCs w:val="24"/>
        </w:rPr>
        <w:t>amiodarone</w:t>
      </w:r>
      <w:r>
        <w:rPr>
          <w:rFonts w:ascii="Times New Roman" w:cs="Times New Roman" w:hAnsi="Times New Roman"/>
          <w:sz w:val="24"/>
          <w:szCs w:val="24"/>
        </w:rPr>
        <w:t xml:space="preserve"> therapy, the nurse should first, assess the patient for ventricular fibrillation or recurrent unstable ventricular tachycardia (</w:t>
      </w:r>
      <w:r>
        <w:rPr>
          <w:rFonts w:ascii="Times New Roman" w:cs="Times New Roman" w:hAnsi="Times New Roman"/>
          <w:sz w:val="24"/>
          <w:szCs w:val="24"/>
        </w:rPr>
        <w:t>Blais</w:t>
      </w:r>
      <w:r>
        <w:rPr>
          <w:rFonts w:ascii="Times New Roman" w:cs="Times New Roman" w:hAnsi="Times New Roman"/>
          <w:sz w:val="24"/>
          <w:szCs w:val="24"/>
        </w:rPr>
        <w:t>, 2015). Secondly, he or she should obtain a health history of the patient, particularly liver disease and cardiac, lung, and eye disorder. It happens through studying the patient’s status of his or her blood, testing the function of the liver and examining the functionality of the eye (</w:t>
      </w:r>
      <w:r>
        <w:rPr>
          <w:rFonts w:ascii="Times New Roman" w:cs="Times New Roman" w:hAnsi="Times New Roman"/>
          <w:sz w:val="24"/>
          <w:szCs w:val="24"/>
        </w:rPr>
        <w:t>Blais</w:t>
      </w:r>
      <w:r>
        <w:rPr>
          <w:rFonts w:ascii="Times New Roman" w:cs="Times New Roman" w:hAnsi="Times New Roman"/>
          <w:sz w:val="24"/>
          <w:szCs w:val="24"/>
        </w:rPr>
        <w:t xml:space="preserve">, 2015). Lastly, the nurse </w:t>
      </w:r>
      <w:r>
        <w:rPr>
          <w:rFonts w:ascii="Times New Roman" w:cs="Times New Roman" w:hAnsi="Times New Roman"/>
          <w:sz w:val="24"/>
          <w:szCs w:val="24"/>
        </w:rPr>
        <w:t>should obtain the history of taking drugs of the patients to recommend convenient drug interactions. Also, he or she will know which medications the patient is allergic.</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After examining the patient’s health history, the nurse may diagnose him or her with:</w:t>
      </w:r>
    </w:p>
    <w:p>
      <w:pPr>
        <w:pStyle w:val="style179"/>
        <w:numPr>
          <w:ilvl w:val="0"/>
          <w:numId w:val="18"/>
        </w:numPr>
        <w:spacing w:lineRule="auto" w:line="480"/>
        <w:jc w:val="both"/>
        <w:rPr>
          <w:rFonts w:ascii="Times New Roman" w:cs="Times New Roman" w:hAnsi="Times New Roman"/>
          <w:sz w:val="24"/>
          <w:szCs w:val="24"/>
        </w:rPr>
      </w:pPr>
      <w:r>
        <w:rPr>
          <w:rFonts w:ascii="Times New Roman" w:cs="Times New Roman" w:hAnsi="Times New Roman"/>
          <w:sz w:val="24"/>
          <w:szCs w:val="24"/>
        </w:rPr>
        <w:t>Decreased cardiac activity. The condition causes cardiac arrhythmias.</w:t>
      </w:r>
    </w:p>
    <w:p>
      <w:pPr>
        <w:pStyle w:val="style179"/>
        <w:numPr>
          <w:ilvl w:val="0"/>
          <w:numId w:val="18"/>
        </w:numPr>
        <w:spacing w:lineRule="auto" w:line="480"/>
        <w:jc w:val="both"/>
        <w:rPr>
          <w:rFonts w:ascii="Times New Roman" w:cs="Times New Roman" w:hAnsi="Times New Roman"/>
          <w:sz w:val="24"/>
          <w:szCs w:val="24"/>
        </w:rPr>
      </w:pPr>
      <w:r>
        <w:rPr>
          <w:rFonts w:ascii="Times New Roman" w:cs="Times New Roman" w:hAnsi="Times New Roman"/>
          <w:sz w:val="24"/>
          <w:szCs w:val="24"/>
        </w:rPr>
        <w:t>Potential for adverse effects due to long drug use history.</w:t>
      </w:r>
    </w:p>
    <w:p>
      <w:pPr>
        <w:pStyle w:val="style179"/>
        <w:numPr>
          <w:ilvl w:val="0"/>
          <w:numId w:val="18"/>
        </w:numPr>
        <w:spacing w:lineRule="auto" w:line="480"/>
        <w:jc w:val="both"/>
        <w:rPr>
          <w:rFonts w:ascii="Times New Roman" w:cs="Times New Roman" w:hAnsi="Times New Roman"/>
          <w:sz w:val="24"/>
          <w:szCs w:val="24"/>
        </w:rPr>
      </w:pPr>
      <w:r>
        <w:rPr>
          <w:rFonts w:ascii="Times New Roman" w:cs="Times New Roman" w:hAnsi="Times New Roman"/>
          <w:sz w:val="24"/>
          <w:szCs w:val="24"/>
        </w:rPr>
        <w:t>Impaired</w:t>
      </w:r>
      <w:r>
        <w:rPr>
          <w:rFonts w:ascii="Times New Roman" w:cs="Times New Roman" w:hAnsi="Times New Roman"/>
          <w:sz w:val="24"/>
          <w:szCs w:val="24"/>
        </w:rPr>
        <w:t xml:space="preserve"> respiratory which results from the damage of the lungs.</w:t>
      </w:r>
    </w:p>
    <w:p>
      <w:pPr>
        <w:pStyle w:val="style179"/>
        <w:numPr>
          <w:ilvl w:val="0"/>
          <w:numId w:val="18"/>
        </w:numPr>
        <w:spacing w:lineRule="auto" w:line="480"/>
        <w:jc w:val="both"/>
        <w:rPr>
          <w:rFonts w:ascii="Times New Roman" w:cs="Times New Roman" w:hAnsi="Times New Roman"/>
          <w:sz w:val="24"/>
          <w:szCs w:val="24"/>
        </w:rPr>
      </w:pPr>
      <w:r>
        <w:rPr>
          <w:rFonts w:ascii="Times New Roman" w:cs="Times New Roman" w:hAnsi="Times New Roman"/>
          <w:sz w:val="24"/>
          <w:szCs w:val="24"/>
        </w:rPr>
        <w:t>Nutrition problem which is as a result of gastrointestinal distress.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Intervention</w:t>
      </w:r>
    </w:p>
    <w:p>
      <w:pPr>
        <w:pStyle w:val="style179"/>
        <w:numPr>
          <w:ilvl w:val="0"/>
          <w:numId w:val="16"/>
        </w:numPr>
        <w:spacing w:lineRule="auto" w:line="480"/>
        <w:jc w:val="both"/>
        <w:rPr>
          <w:rFonts w:ascii="Times New Roman" w:cs="Times New Roman" w:hAnsi="Times New Roman"/>
          <w:sz w:val="24"/>
          <w:szCs w:val="24"/>
        </w:rPr>
      </w:pPr>
      <w:r>
        <w:rPr>
          <w:rFonts w:ascii="Times New Roman" w:cs="Times New Roman" w:hAnsi="Times New Roman"/>
          <w:sz w:val="24"/>
          <w:szCs w:val="24"/>
        </w:rPr>
        <w:t>The nurse should test the state of the lungs frequently because the medication affects the lungs tissue due to their sufficient blood flow (</w:t>
      </w:r>
      <w:r>
        <w:rPr>
          <w:rFonts w:ascii="Times New Roman" w:cs="Times New Roman" w:hAnsi="Times New Roman"/>
          <w:sz w:val="24"/>
          <w:szCs w:val="24"/>
        </w:rPr>
        <w:t>Blais</w:t>
      </w:r>
      <w:r>
        <w:rPr>
          <w:rFonts w:ascii="Times New Roman" w:cs="Times New Roman" w:hAnsi="Times New Roman"/>
          <w:sz w:val="24"/>
          <w:szCs w:val="24"/>
        </w:rPr>
        <w:t>, 2015).</w:t>
      </w:r>
    </w:p>
    <w:p>
      <w:pPr>
        <w:pStyle w:val="style179"/>
        <w:numPr>
          <w:ilvl w:val="0"/>
          <w:numId w:val="16"/>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He or she should monitor the heartbeat rhythm because the drug may cause heart block or cardiac arrest. The effects are likely to occur because </w:t>
      </w:r>
      <w:r>
        <w:rPr>
          <w:rFonts w:ascii="Times New Roman" w:cs="Times New Roman" w:hAnsi="Times New Roman"/>
          <w:sz w:val="24"/>
          <w:szCs w:val="24"/>
        </w:rPr>
        <w:t>amiodarone</w:t>
      </w:r>
      <w:r>
        <w:rPr>
          <w:rFonts w:ascii="Times New Roman" w:cs="Times New Roman" w:hAnsi="Times New Roman"/>
          <w:sz w:val="24"/>
          <w:szCs w:val="24"/>
        </w:rPr>
        <w:t xml:space="preserve"> slows the activity of the heart (</w:t>
      </w:r>
      <w:r>
        <w:rPr>
          <w:rFonts w:ascii="Times New Roman" w:cs="Times New Roman" w:hAnsi="Times New Roman"/>
          <w:sz w:val="24"/>
          <w:szCs w:val="24"/>
        </w:rPr>
        <w:t>Blais</w:t>
      </w:r>
      <w:r>
        <w:rPr>
          <w:rFonts w:ascii="Times New Roman" w:cs="Times New Roman" w:hAnsi="Times New Roman"/>
          <w:sz w:val="24"/>
          <w:szCs w:val="24"/>
        </w:rPr>
        <w:t>, 2015).</w:t>
      </w:r>
    </w:p>
    <w:p>
      <w:pPr>
        <w:pStyle w:val="style179"/>
        <w:numPr>
          <w:ilvl w:val="0"/>
          <w:numId w:val="16"/>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nurse should also monitor the state of the liver because the </w:t>
      </w:r>
      <w:r>
        <w:rPr>
          <w:rFonts w:ascii="Times New Roman" w:cs="Times New Roman" w:hAnsi="Times New Roman"/>
          <w:sz w:val="24"/>
          <w:szCs w:val="24"/>
        </w:rPr>
        <w:t>amiodarone</w:t>
      </w:r>
      <w:r>
        <w:rPr>
          <w:rFonts w:ascii="Times New Roman" w:cs="Times New Roman" w:hAnsi="Times New Roman"/>
          <w:sz w:val="24"/>
          <w:szCs w:val="24"/>
        </w:rPr>
        <w:t xml:space="preserve"> is highly soluble in lipids, especially in the liver. Therefore, liver enzymes need to be followed.</w:t>
      </w:r>
    </w:p>
    <w:p>
      <w:pPr>
        <w:pStyle w:val="style179"/>
        <w:numPr>
          <w:ilvl w:val="0"/>
          <w:numId w:val="16"/>
        </w:numPr>
        <w:spacing w:lineRule="auto" w:line="480"/>
        <w:jc w:val="both"/>
        <w:rPr>
          <w:rFonts w:ascii="Times New Roman" w:cs="Times New Roman" w:hAnsi="Times New Roman"/>
          <w:sz w:val="24"/>
          <w:szCs w:val="24"/>
        </w:rPr>
      </w:pPr>
      <w:r>
        <w:rPr>
          <w:rFonts w:ascii="Times New Roman" w:cs="Times New Roman" w:hAnsi="Times New Roman"/>
          <w:sz w:val="24"/>
          <w:szCs w:val="24"/>
        </w:rPr>
        <w:t>Visual acuity needs regular check.</w:t>
      </w:r>
    </w:p>
    <w:p>
      <w:pPr>
        <w:pStyle w:val="style179"/>
        <w:numPr>
          <w:ilvl w:val="0"/>
          <w:numId w:val="16"/>
        </w:numPr>
        <w:spacing w:lineRule="auto" w:line="480"/>
        <w:jc w:val="both"/>
        <w:rPr>
          <w:rFonts w:ascii="Times New Roman" w:cs="Times New Roman" w:hAnsi="Times New Roman"/>
          <w:sz w:val="24"/>
          <w:szCs w:val="24"/>
        </w:rPr>
      </w:pPr>
      <w:r>
        <w:rPr>
          <w:rFonts w:ascii="Times New Roman" w:cs="Times New Roman" w:hAnsi="Times New Roman"/>
          <w:sz w:val="24"/>
          <w:szCs w:val="24"/>
        </w:rPr>
        <w:t>The nurse should check blood pleasure of the patient regularly (</w:t>
      </w:r>
      <w:r>
        <w:rPr>
          <w:rFonts w:ascii="Times New Roman" w:cs="Times New Roman" w:hAnsi="Times New Roman"/>
          <w:sz w:val="24"/>
          <w:szCs w:val="24"/>
        </w:rPr>
        <w:t>Blais</w:t>
      </w:r>
      <w:r>
        <w:rPr>
          <w:rFonts w:ascii="Times New Roman" w:cs="Times New Roman" w:hAnsi="Times New Roman"/>
          <w:sz w:val="24"/>
          <w:szCs w:val="24"/>
        </w:rPr>
        <w:t>, 2015).</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Medication teaching plan</w:t>
      </w:r>
    </w:p>
    <w:p>
      <w:pPr>
        <w:pStyle w:val="style179"/>
        <w:numPr>
          <w:ilvl w:val="0"/>
          <w:numId w:val="14"/>
        </w:numPr>
        <w:spacing w:lineRule="auto" w:line="480"/>
        <w:jc w:val="both"/>
        <w:rPr>
          <w:rFonts w:ascii="Times New Roman" w:cs="Times New Roman" w:hAnsi="Times New Roman"/>
          <w:sz w:val="24"/>
          <w:szCs w:val="24"/>
        </w:rPr>
      </w:pPr>
      <w:r>
        <w:rPr>
          <w:rFonts w:ascii="Times New Roman" w:cs="Times New Roman" w:hAnsi="Times New Roman"/>
          <w:sz w:val="24"/>
          <w:szCs w:val="24"/>
        </w:rPr>
        <w:t>Patients should take drugs once or twice in a day.</w:t>
      </w:r>
    </w:p>
    <w:p>
      <w:pPr>
        <w:pStyle w:val="style179"/>
        <w:numPr>
          <w:ilvl w:val="0"/>
          <w:numId w:val="14"/>
        </w:numPr>
        <w:spacing w:lineRule="auto" w:line="480"/>
        <w:jc w:val="both"/>
        <w:rPr>
          <w:rFonts w:ascii="Times New Roman" w:cs="Times New Roman" w:hAnsi="Times New Roman"/>
          <w:sz w:val="24"/>
          <w:szCs w:val="24"/>
        </w:rPr>
      </w:pPr>
      <w:r>
        <w:rPr>
          <w:rFonts w:ascii="Times New Roman" w:cs="Times New Roman" w:hAnsi="Times New Roman"/>
          <w:sz w:val="24"/>
          <w:szCs w:val="24"/>
        </w:rPr>
        <w:t>It is advisable to follow the doctor’s advice for the correct dosage.</w:t>
      </w:r>
    </w:p>
    <w:p>
      <w:pPr>
        <w:pStyle w:val="style179"/>
        <w:numPr>
          <w:ilvl w:val="0"/>
          <w:numId w:val="14"/>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Since </w:t>
      </w:r>
      <w:r>
        <w:rPr>
          <w:rFonts w:ascii="Times New Roman" w:cs="Times New Roman" w:hAnsi="Times New Roman"/>
          <w:sz w:val="24"/>
          <w:szCs w:val="24"/>
        </w:rPr>
        <w:t>amiodarone</w:t>
      </w:r>
      <w:r>
        <w:rPr>
          <w:rFonts w:ascii="Times New Roman" w:cs="Times New Roman" w:hAnsi="Times New Roman"/>
          <w:sz w:val="24"/>
          <w:szCs w:val="24"/>
        </w:rPr>
        <w:t xml:space="preserve"> is in tablets, it is good to read the prescription label to know how much pills to take as the dose (</w:t>
      </w:r>
      <w:r>
        <w:rPr>
          <w:rFonts w:ascii="Times New Roman" w:cs="Times New Roman" w:hAnsi="Times New Roman"/>
          <w:sz w:val="24"/>
          <w:szCs w:val="24"/>
        </w:rPr>
        <w:t>Siddoway</w:t>
      </w:r>
      <w:r>
        <w:rPr>
          <w:rFonts w:ascii="Times New Roman" w:cs="Times New Roman" w:hAnsi="Times New Roman"/>
          <w:sz w:val="24"/>
          <w:szCs w:val="24"/>
        </w:rPr>
        <w:t>, 2003).</w:t>
      </w:r>
    </w:p>
    <w:p>
      <w:pPr>
        <w:pStyle w:val="style179"/>
        <w:numPr>
          <w:ilvl w:val="0"/>
          <w:numId w:val="14"/>
        </w:numPr>
        <w:spacing w:lineRule="auto" w:line="480"/>
        <w:jc w:val="both"/>
        <w:rPr>
          <w:rFonts w:ascii="Times New Roman" w:cs="Times New Roman" w:hAnsi="Times New Roman"/>
          <w:sz w:val="24"/>
          <w:szCs w:val="24"/>
        </w:rPr>
      </w:pPr>
      <w:r>
        <w:rPr>
          <w:rFonts w:ascii="Times New Roman" w:cs="Times New Roman" w:hAnsi="Times New Roman"/>
          <w:sz w:val="24"/>
          <w:szCs w:val="24"/>
        </w:rPr>
        <w:t>Do not miss any appointment with the doctor</w:t>
      </w:r>
    </w:p>
    <w:p>
      <w:pPr>
        <w:pStyle w:val="style179"/>
        <w:numPr>
          <w:ilvl w:val="0"/>
          <w:numId w:val="14"/>
        </w:numPr>
        <w:spacing w:lineRule="auto" w:line="480"/>
        <w:jc w:val="both"/>
        <w:rPr>
          <w:rFonts w:ascii="Times New Roman" w:cs="Times New Roman" w:hAnsi="Times New Roman"/>
          <w:sz w:val="24"/>
          <w:szCs w:val="24"/>
        </w:rPr>
      </w:pPr>
      <w:r>
        <w:rPr>
          <w:rFonts w:ascii="Times New Roman" w:cs="Times New Roman" w:hAnsi="Times New Roman"/>
          <w:sz w:val="24"/>
          <w:szCs w:val="24"/>
        </w:rPr>
        <w:t>Always follow the doctor’s advice about smoking and diet. Usually, cigarettes and beverages with caffeine irritate the heart and therefore, interfere with the medication (</w:t>
      </w:r>
      <w:r>
        <w:rPr>
          <w:rFonts w:ascii="Times New Roman" w:cs="Times New Roman" w:hAnsi="Times New Roman"/>
          <w:sz w:val="24"/>
          <w:szCs w:val="24"/>
        </w:rPr>
        <w:t>Siddoway</w:t>
      </w:r>
      <w:r>
        <w:rPr>
          <w:rFonts w:ascii="Times New Roman" w:cs="Times New Roman" w:hAnsi="Times New Roman"/>
          <w:sz w:val="24"/>
          <w:szCs w:val="24"/>
        </w:rPr>
        <w:t>, 2003).</w:t>
      </w:r>
    </w:p>
    <w:p>
      <w:pPr>
        <w:pStyle w:val="style179"/>
        <w:numPr>
          <w:ilvl w:val="0"/>
          <w:numId w:val="14"/>
        </w:numPr>
        <w:spacing w:lineRule="auto" w:line="480"/>
        <w:jc w:val="both"/>
        <w:rPr>
          <w:rFonts w:ascii="Times New Roman" w:cs="Times New Roman" w:hAnsi="Times New Roman"/>
          <w:sz w:val="24"/>
          <w:szCs w:val="24"/>
        </w:rPr>
      </w:pPr>
      <w:r>
        <w:rPr>
          <w:rFonts w:ascii="Times New Roman" w:cs="Times New Roman" w:hAnsi="Times New Roman"/>
          <w:sz w:val="24"/>
          <w:szCs w:val="24"/>
        </w:rPr>
        <w:t>When you skip a dose, the next time you take the drugs do not take double dosage (</w:t>
      </w:r>
      <w:r>
        <w:rPr>
          <w:rFonts w:ascii="Times New Roman" w:cs="Times New Roman" w:hAnsi="Times New Roman"/>
          <w:sz w:val="24"/>
          <w:szCs w:val="24"/>
        </w:rPr>
        <w:t>Siddoway</w:t>
      </w:r>
      <w:r>
        <w:rPr>
          <w:rFonts w:ascii="Times New Roman" w:cs="Times New Roman" w:hAnsi="Times New Roman"/>
          <w:sz w:val="24"/>
          <w:szCs w:val="24"/>
        </w:rPr>
        <w:t>, 2003).</w:t>
      </w:r>
    </w:p>
    <w:p>
      <w:pPr>
        <w:pStyle w:val="style179"/>
        <w:numPr>
          <w:ilvl w:val="0"/>
          <w:numId w:val="14"/>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Always call the doctor whenever the side effects of the drug become severe. The effects associated with </w:t>
      </w:r>
      <w:r>
        <w:rPr>
          <w:rFonts w:ascii="Times New Roman" w:cs="Times New Roman" w:hAnsi="Times New Roman"/>
          <w:sz w:val="24"/>
          <w:szCs w:val="24"/>
        </w:rPr>
        <w:t>amiodarone</w:t>
      </w:r>
      <w:r>
        <w:rPr>
          <w:rFonts w:ascii="Times New Roman" w:cs="Times New Roman" w:hAnsi="Times New Roman"/>
          <w:sz w:val="24"/>
          <w:szCs w:val="24"/>
        </w:rPr>
        <w:t xml:space="preserve"> include nausea, loss of appetite, vomiting, abdominal pain, and constipation (</w:t>
      </w:r>
      <w:r>
        <w:rPr>
          <w:rFonts w:ascii="Times New Roman" w:cs="Times New Roman" w:hAnsi="Times New Roman"/>
          <w:sz w:val="24"/>
          <w:szCs w:val="24"/>
        </w:rPr>
        <w:t>Siddoway</w:t>
      </w:r>
      <w:r>
        <w:rPr>
          <w:rFonts w:ascii="Times New Roman" w:cs="Times New Roman" w:hAnsi="Times New Roman"/>
          <w:sz w:val="24"/>
          <w:szCs w:val="24"/>
        </w:rPr>
        <w:t>, 2003).</w:t>
      </w:r>
    </w:p>
    <w:p>
      <w:pPr>
        <w:pStyle w:val="style0"/>
        <w:spacing w:lineRule="auto" w:line="480"/>
        <w:ind w:firstLine="360"/>
        <w:jc w:val="both"/>
        <w:rPr>
          <w:rFonts w:ascii="Times New Roman" w:cs="Times New Roman" w:hAnsi="Times New Roman"/>
          <w:sz w:val="24"/>
          <w:szCs w:val="24"/>
        </w:rPr>
      </w:pPr>
      <w:r>
        <w:rPr>
          <w:rFonts w:ascii="Times New Roman" w:cs="Times New Roman" w:hAnsi="Times New Roman"/>
          <w:sz w:val="24"/>
          <w:szCs w:val="24"/>
        </w:rPr>
        <w:t xml:space="preserve">In conclusion, patients suffering from heart disease need to follow the doctor’s advice because </w:t>
      </w:r>
      <w:r>
        <w:rPr>
          <w:rFonts w:ascii="Times New Roman" w:cs="Times New Roman" w:hAnsi="Times New Roman"/>
          <w:sz w:val="24"/>
          <w:szCs w:val="24"/>
        </w:rPr>
        <w:t>amiodarone</w:t>
      </w:r>
      <w:r>
        <w:rPr>
          <w:rFonts w:ascii="Times New Roman" w:cs="Times New Roman" w:hAnsi="Times New Roman"/>
          <w:sz w:val="24"/>
          <w:szCs w:val="24"/>
        </w:rPr>
        <w:t xml:space="preserve"> therapy has adverse side effects which require the intervention of medical practitioner. Also, the nurses need to monitor the progress of the patient to prevent possible injuries that associates with the medication.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Blais</w:t>
      </w:r>
      <w:r>
        <w:rPr>
          <w:rFonts w:ascii="Times New Roman" w:cs="Times New Roman" w:hAnsi="Times New Roman"/>
          <w:sz w:val="24"/>
          <w:szCs w:val="24"/>
        </w:rPr>
        <w:t>, K. (2015). Professional nursing practice: Concepts and perspectives. Pearson.</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Harris, L., </w:t>
      </w:r>
      <w:r>
        <w:rPr>
          <w:rFonts w:ascii="Times New Roman" w:cs="Times New Roman" w:hAnsi="Times New Roman"/>
          <w:sz w:val="24"/>
          <w:szCs w:val="24"/>
        </w:rPr>
        <w:t>Mckenna</w:t>
      </w:r>
      <w:r>
        <w:rPr>
          <w:rFonts w:ascii="Times New Roman" w:cs="Times New Roman" w:hAnsi="Times New Roman"/>
          <w:sz w:val="24"/>
          <w:szCs w:val="24"/>
        </w:rPr>
        <w:t xml:space="preserve">, W. J., Rowland, E. D. W. A. R. D., Holt, D. W., Storey, G. C., &amp; </w:t>
      </w:r>
      <w:r>
        <w:rPr>
          <w:rFonts w:ascii="Times New Roman" w:cs="Times New Roman" w:hAnsi="Times New Roman"/>
          <w:sz w:val="24"/>
          <w:szCs w:val="24"/>
        </w:rPr>
        <w:t>Krikler</w:t>
      </w:r>
      <w:r>
        <w:rPr>
          <w:rFonts w:ascii="Times New Roman" w:cs="Times New Roman" w:hAnsi="Times New Roman"/>
          <w:sz w:val="24"/>
          <w:szCs w:val="24"/>
        </w:rPr>
        <w:t xml:space="preserve">, D. M. (1983). </w:t>
      </w:r>
      <w:r>
        <w:rPr>
          <w:rFonts w:ascii="Times New Roman" w:cs="Times New Roman" w:hAnsi="Times New Roman"/>
          <w:sz w:val="24"/>
          <w:szCs w:val="24"/>
        </w:rPr>
        <w:t xml:space="preserve">Side effects of long-term </w:t>
      </w:r>
      <w:r>
        <w:rPr>
          <w:rFonts w:ascii="Times New Roman" w:cs="Times New Roman" w:hAnsi="Times New Roman"/>
          <w:sz w:val="24"/>
          <w:szCs w:val="24"/>
        </w:rPr>
        <w:t>amiodarone</w:t>
      </w:r>
      <w:r>
        <w:rPr>
          <w:rFonts w:ascii="Times New Roman" w:cs="Times New Roman" w:hAnsi="Times New Roman"/>
          <w:sz w:val="24"/>
          <w:szCs w:val="24"/>
        </w:rPr>
        <w:t xml:space="preserve"> therapy.</w:t>
      </w:r>
      <w:r>
        <w:rPr>
          <w:rFonts w:ascii="Times New Roman" w:cs="Times New Roman" w:hAnsi="Times New Roman"/>
          <w:sz w:val="24"/>
          <w:szCs w:val="24"/>
        </w:rPr>
        <w:t> Circulation, 67(1), 45-51.</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Iwasawa</w:t>
      </w:r>
      <w:r>
        <w:rPr>
          <w:rFonts w:ascii="Times New Roman" w:cs="Times New Roman" w:hAnsi="Times New Roman"/>
          <w:sz w:val="24"/>
          <w:szCs w:val="24"/>
        </w:rPr>
        <w:t xml:space="preserve">, S., </w:t>
      </w:r>
      <w:r>
        <w:rPr>
          <w:rFonts w:ascii="Times New Roman" w:cs="Times New Roman" w:hAnsi="Times New Roman"/>
          <w:sz w:val="24"/>
          <w:szCs w:val="24"/>
        </w:rPr>
        <w:t>Uyeda</w:t>
      </w:r>
      <w:r>
        <w:rPr>
          <w:rFonts w:ascii="Times New Roman" w:cs="Times New Roman" w:hAnsi="Times New Roman"/>
          <w:sz w:val="24"/>
          <w:szCs w:val="24"/>
        </w:rPr>
        <w:t xml:space="preserve">, T., Saito, M., Ishii, T., Inage, A., </w:t>
      </w:r>
      <w:r>
        <w:rPr>
          <w:rFonts w:ascii="Times New Roman" w:cs="Times New Roman" w:hAnsi="Times New Roman"/>
          <w:sz w:val="24"/>
          <w:szCs w:val="24"/>
        </w:rPr>
        <w:t>Hamamichi</w:t>
      </w:r>
      <w:r>
        <w:rPr>
          <w:rFonts w:ascii="Times New Roman" w:cs="Times New Roman" w:hAnsi="Times New Roman"/>
          <w:sz w:val="24"/>
          <w:szCs w:val="24"/>
        </w:rPr>
        <w:t>, Y</w:t>
      </w:r>
      <w:r>
        <w:rPr>
          <w:rFonts w:ascii="Times New Roman" w:cs="Times New Roman" w:hAnsi="Times New Roman"/>
          <w:sz w:val="24"/>
          <w:szCs w:val="24"/>
        </w:rPr>
        <w:t>., ...</w:t>
      </w:r>
      <w:r>
        <w:rPr>
          <w:rFonts w:ascii="Times New Roman" w:cs="Times New Roman" w:hAnsi="Times New Roman"/>
          <w:sz w:val="24"/>
          <w:szCs w:val="24"/>
        </w:rPr>
        <w:t xml:space="preserve"> &amp; Yoshikawa, T. (2018). </w:t>
      </w:r>
      <w:r>
        <w:rPr>
          <w:rFonts w:ascii="Times New Roman" w:cs="Times New Roman" w:hAnsi="Times New Roman"/>
          <w:sz w:val="24"/>
          <w:szCs w:val="24"/>
        </w:rPr>
        <w:t xml:space="preserve">Efficacy and Safety of Low-Dose </w:t>
      </w:r>
      <w:r>
        <w:rPr>
          <w:rFonts w:ascii="Times New Roman" w:cs="Times New Roman" w:hAnsi="Times New Roman"/>
          <w:sz w:val="24"/>
          <w:szCs w:val="24"/>
        </w:rPr>
        <w:t>Amiodarone</w:t>
      </w:r>
      <w:r>
        <w:rPr>
          <w:rFonts w:ascii="Times New Roman" w:cs="Times New Roman" w:hAnsi="Times New Roman"/>
          <w:sz w:val="24"/>
          <w:szCs w:val="24"/>
        </w:rPr>
        <w:t xml:space="preserve"> Therapy for Tachyarrhythmia in Congenital Heart Disease.</w:t>
      </w:r>
      <w:r>
        <w:rPr>
          <w:rFonts w:ascii="Times New Roman" w:cs="Times New Roman" w:hAnsi="Times New Roman"/>
          <w:sz w:val="24"/>
          <w:szCs w:val="24"/>
        </w:rPr>
        <w:t> </w:t>
      </w:r>
      <w:r>
        <w:rPr>
          <w:rFonts w:ascii="Times New Roman" w:cs="Times New Roman" w:hAnsi="Times New Roman"/>
          <w:sz w:val="24"/>
          <w:szCs w:val="24"/>
        </w:rPr>
        <w:t>Pediatric cardiology, 39(5), 1016-1022.</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Siddoway</w:t>
      </w:r>
      <w:r>
        <w:rPr>
          <w:rFonts w:ascii="Times New Roman" w:cs="Times New Roman" w:hAnsi="Times New Roman"/>
          <w:sz w:val="24"/>
          <w:szCs w:val="24"/>
        </w:rPr>
        <w:t xml:space="preserve">, L. A. (2003). </w:t>
      </w:r>
      <w:r>
        <w:rPr>
          <w:rFonts w:ascii="Times New Roman" w:cs="Times New Roman" w:hAnsi="Times New Roman"/>
          <w:sz w:val="24"/>
          <w:szCs w:val="24"/>
        </w:rPr>
        <w:t>Amiodarone</w:t>
      </w:r>
      <w:r>
        <w:rPr>
          <w:rFonts w:ascii="Times New Roman" w:cs="Times New Roman" w:hAnsi="Times New Roman"/>
          <w:sz w:val="24"/>
          <w:szCs w:val="24"/>
        </w:rPr>
        <w:t>: guidelines for use and monitoring. </w:t>
      </w:r>
      <w:r>
        <w:rPr>
          <w:rFonts w:ascii="Times New Roman" w:cs="Times New Roman" w:hAnsi="Times New Roman"/>
          <w:sz w:val="24"/>
          <w:szCs w:val="24"/>
        </w:rPr>
        <w:t>American family physician, 68(11), 2189-2196.</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AMIODARONE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AMIODARONE</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DA062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1"/>
    <w:multiLevelType w:val="hybridMultilevel"/>
    <w:tmpl w:val="B06CA7B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2"/>
    <w:multiLevelType w:val="hybridMultilevel"/>
    <w:tmpl w:val="3604A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0000003"/>
    <w:multiLevelType w:val="multilevel"/>
    <w:tmpl w:val="26FE381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hybridMultilevel"/>
    <w:tmpl w:val="0344C6CE"/>
    <w:lvl w:ilvl="0" w:tplc="B32AE934">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0000005"/>
    <w:multiLevelType w:val="multilevel"/>
    <w:tmpl w:val="C7F2143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C10A3FE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hybridMultilevel"/>
    <w:tmpl w:val="9BD2751A"/>
    <w:lvl w:ilvl="0" w:tplc="888022E8">
      <w:start w:val="1"/>
      <w:numFmt w:val="decimal"/>
      <w:lvlText w:val="%1."/>
      <w:lvlJc w:val="left"/>
      <w:pPr>
        <w:ind w:left="900" w:hanging="54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00000008"/>
    <w:multiLevelType w:val="hybridMultilevel"/>
    <w:tmpl w:val="695425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0000009"/>
    <w:multiLevelType w:val="hybridMultilevel"/>
    <w:tmpl w:val="6034FFF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0000000A"/>
    <w:multiLevelType w:val="hybridMultilevel"/>
    <w:tmpl w:val="0F9AF9A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0000000B"/>
    <w:multiLevelType w:val="hybridMultilevel"/>
    <w:tmpl w:val="8D4058A0"/>
    <w:lvl w:ilvl="0" w:tplc="3A6A481A">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0000000C"/>
    <w:multiLevelType w:val="hybridMultilevel"/>
    <w:tmpl w:val="64F44B3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0000000D"/>
    <w:multiLevelType w:val="hybridMultilevel"/>
    <w:tmpl w:val="578619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0000000E"/>
    <w:multiLevelType w:val="hybridMultilevel"/>
    <w:tmpl w:val="AB5EA0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0000000F"/>
    <w:multiLevelType w:val="hybridMultilevel"/>
    <w:tmpl w:val="ADFE7692"/>
    <w:lvl w:ilvl="0" w:tplc="3D148700">
      <w:start w:val="1"/>
      <w:numFmt w:val="decimal"/>
      <w:lvlText w:val="%1."/>
      <w:lvlJc w:val="left"/>
      <w:pPr>
        <w:ind w:left="720" w:hanging="360"/>
      </w:pPr>
      <w:rPr>
        <w:rFonts w:ascii="Calibri" w:cs="宋体" w:hAnsi="Calibri"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00000010"/>
    <w:multiLevelType w:val="multilevel"/>
    <w:tmpl w:val="4F80367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hybridMultilevel"/>
    <w:tmpl w:val="F9503B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00000012"/>
    <w:multiLevelType w:val="hybridMultilevel"/>
    <w:tmpl w:val="9D7E81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6"/>
  </w:num>
  <w:num w:numId="3">
    <w:abstractNumId w:val="3"/>
  </w:num>
  <w:num w:numId="4">
    <w:abstractNumId w:val="16"/>
  </w:num>
  <w:num w:numId="5">
    <w:abstractNumId w:val="5"/>
  </w:num>
  <w:num w:numId="6">
    <w:abstractNumId w:val="15"/>
  </w:num>
  <w:num w:numId="7">
    <w:abstractNumId w:val="8"/>
  </w:num>
  <w:num w:numId="8">
    <w:abstractNumId w:val="1"/>
  </w:num>
  <w:num w:numId="9">
    <w:abstractNumId w:val="13"/>
  </w:num>
  <w:num w:numId="10">
    <w:abstractNumId w:val="12"/>
  </w:num>
  <w:num w:numId="11">
    <w:abstractNumId w:val="10"/>
  </w:num>
  <w:num w:numId="12">
    <w:abstractNumId w:val="17"/>
  </w:num>
  <w:num w:numId="13">
    <w:abstractNumId w:val="0"/>
  </w:num>
  <w:num w:numId="14">
    <w:abstractNumId w:val="18"/>
  </w:num>
  <w:num w:numId="15">
    <w:abstractNumId w:val="4"/>
  </w:num>
  <w:num w:numId="16">
    <w:abstractNumId w:val="2"/>
  </w:num>
  <w:num w:numId="17">
    <w:abstractNumId w:val="7"/>
  </w:num>
  <w:num w:numId="18">
    <w:abstractNumId w:val="14"/>
  </w:num>
  <w:num w:numId="19">
    <w:abstractNumId w:val="1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4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3"/>
    <w:link w:val="style4097"/>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8d6d3118-6e9c-4a25-bd89-2e601432cf89"/>
    <w:basedOn w:val="style65"/>
    <w:next w:val="style4097"/>
    <w:link w:val="style3"/>
    <w:uiPriority w:val="9"/>
    <w:rPr>
      <w:rFonts w:ascii="Times New Roman" w:cs="Times New Roman" w:eastAsia="Times New Roman" w:hAnsi="Times New Roman"/>
      <w:b/>
      <w:bCs/>
      <w:sz w:val="27"/>
      <w:szCs w:val="27"/>
      <w:lang w:eastAsia="en-CA"/>
    </w:rPr>
  </w:style>
  <w:style w:type="character" w:styleId="style87">
    <w:name w:val="Strong"/>
    <w:basedOn w:val="style65"/>
    <w:next w:val="style87"/>
    <w:qFormat/>
    <w:uiPriority w:val="22"/>
    <w:rPr>
      <w:b/>
      <w:bCs/>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098">
    <w:name w:val="Heading 2 Char_cd315662-d94f-4d74-a59e-0e580e7e6cbc"/>
    <w:basedOn w:val="style65"/>
    <w:next w:val="style4098"/>
    <w:link w:val="style2"/>
    <w:uiPriority w:val="9"/>
    <w:rPr>
      <w:rFonts w:ascii="Cambria" w:cs="宋体" w:eastAsia="宋体" w:hAnsi="Cambria"/>
      <w:b/>
      <w:bCs/>
      <w:color w:val="4f81bd"/>
      <w:sz w:val="26"/>
      <w:szCs w:val="26"/>
    </w:rPr>
  </w:style>
  <w:style w:type="character" w:customStyle="1" w:styleId="style4099">
    <w:name w:val="italic"/>
    <w:basedOn w:val="style65"/>
    <w:next w:val="style4099"/>
  </w:style>
  <w:style w:type="character" w:styleId="style85">
    <w:name w:val="Hyperlink"/>
    <w:basedOn w:val="style65"/>
    <w:next w:val="style85"/>
    <w:uiPriority w:val="99"/>
    <w:rPr>
      <w:color w:val="0000ff"/>
      <w:u w:val="single"/>
    </w:rPr>
  </w:style>
  <w:style w:type="character" w:customStyle="1" w:styleId="style4100">
    <w:name w:val="superscript"/>
    <w:basedOn w:val="style65"/>
    <w:next w:val="style4100"/>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customStyle="1" w:styleId="style4101">
    <w:name w:val="tabledata"/>
    <w:basedOn w:val="style0"/>
    <w:next w:val="style4101"/>
    <w:pPr>
      <w:spacing w:before="100" w:beforeAutospacing="true" w:after="100" w:afterAutospacing="true" w:lineRule="auto" w:line="240"/>
    </w:pPr>
    <w:rPr>
      <w:rFonts w:ascii="Times New Roman" w:cs="Times New Roman" w:eastAsia="Times New Roman" w:hAnsi="Times New Roman"/>
      <w:sz w:val="24"/>
      <w:szCs w:val="24"/>
      <w:lang w:eastAsia="en-CA"/>
    </w:rPr>
  </w:style>
  <w:style w:type="paragraph" w:customStyle="1" w:styleId="style4102">
    <w:name w:val="fn"/>
    <w:basedOn w:val="style0"/>
    <w:next w:val="style4102"/>
    <w:pPr>
      <w:spacing w:before="100" w:beforeAutospacing="true" w:after="100" w:afterAutospacing="true" w:lineRule="auto" w:line="240"/>
    </w:pPr>
    <w:rPr>
      <w:rFonts w:ascii="Times New Roman" w:cs="Times New Roman" w:eastAsia="Times New Roman" w:hAnsi="Times New Roman"/>
      <w:sz w:val="24"/>
      <w:szCs w:val="24"/>
      <w:lang w:eastAsia="en-CA"/>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6de74b0f-84d4-4ac7-964d-6aaef2c82346"/>
    <w:basedOn w:val="style65"/>
    <w:next w:val="style4103"/>
    <w:link w:val="style31"/>
    <w:uiPriority w:val="99"/>
  </w:style>
  <w:style w:type="paragraph" w:styleId="style32">
    <w:name w:val="footer"/>
    <w:basedOn w:val="style0"/>
    <w:next w:val="style32"/>
    <w:link w:val="style4104"/>
    <w:uiPriority w:val="99"/>
    <w:pPr>
      <w:tabs>
        <w:tab w:val="center" w:leader="none" w:pos="4680"/>
        <w:tab w:val="right" w:leader="none" w:pos="9360"/>
      </w:tabs>
      <w:spacing w:after="0" w:lineRule="auto" w:line="240"/>
    </w:pPr>
    <w:rPr/>
  </w:style>
  <w:style w:type="character" w:customStyle="1" w:styleId="style4104">
    <w:name w:val="Footer Char_eb41afb8-e6dc-46e7-af30-5798eeab3cf8"/>
    <w:basedOn w:val="style65"/>
    <w:next w:val="style4104"/>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1060</Words>
  <Pages>7</Pages>
  <Characters>5870</Characters>
  <Application>WPS Office</Application>
  <DocSecurity>0</DocSecurity>
  <Paragraphs>107</Paragraphs>
  <ScaleCrop>false</ScaleCrop>
  <LinksUpToDate>false</LinksUpToDate>
  <CharactersWithSpaces>7106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2019-05-17T13:54:28Z</dcterms:created>
  <dc:creator>TECRA_M11</dc:creator>
  <lastModifiedBy>JKM-LX1</lastModifiedBy>
  <dcterms:modified xsi:type="dcterms:W3CDTF">2019-05-17T13:54:28Z</dcterms:modified>
  <revision>119</revision>
</coreProperties>
</file>

<file path=docProps/custom.xml><?xml version="1.0" encoding="utf-8"?>
<Properties xmlns="http://schemas.openxmlformats.org/officeDocument/2006/custom-properties" xmlns:vt="http://schemas.openxmlformats.org/officeDocument/2006/docPropsVTypes"/>
</file>