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GASTRO-INTESTINAL MEDICATION.</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b/>
          <w:bCs/>
          <w:i/>
          <w:iCs/>
          <w:sz w:val="24"/>
          <w:szCs w:val="24"/>
          <w:u w:val="single"/>
          <w:lang w:val="en-GB"/>
        </w:rPr>
        <w:t xml:space="preserve">Medication name- </w:t>
      </w:r>
      <w:r w:rsidRPr="001D7B09">
        <w:rPr>
          <w:rFonts w:ascii="Times New Roman" w:hAnsi="Times New Roman" w:cs="Times New Roman"/>
          <w:sz w:val="24"/>
          <w:szCs w:val="24"/>
          <w:lang w:val="en-GB"/>
        </w:rPr>
        <w:t>Omeprazole.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b/>
          <w:bCs/>
          <w:i/>
          <w:iCs/>
          <w:sz w:val="24"/>
          <w:szCs w:val="24"/>
          <w:u w:val="single"/>
          <w:lang w:val="en-GB"/>
        </w:rPr>
        <w:t>Pharmacological Classification</w:t>
      </w:r>
      <w:r w:rsidRPr="001D7B09">
        <w:rPr>
          <w:rFonts w:ascii="Times New Roman" w:hAnsi="Times New Roman" w:cs="Times New Roman"/>
          <w:sz w:val="24"/>
          <w:szCs w:val="24"/>
          <w:lang w:val="en-GB"/>
        </w:rPr>
        <w:t>- Proton Pump Inhibitor</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Indications and clinical Usage-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Stress induced ulcers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Prophylaxis for erosive esophagitis </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Prophylaxis for active duodenal ulcer treatment</w:t>
      </w:r>
    </w:p>
    <w:p w:rsidR="0053164A" w:rsidRPr="001D7B09" w:rsidRDefault="004F22A9">
      <w:pPr>
        <w:rPr>
          <w:rFonts w:ascii="Times New Roman" w:hAnsi="Times New Roman" w:cs="Times New Roman"/>
          <w:sz w:val="24"/>
          <w:szCs w:val="24"/>
          <w:lang w:val="en-GB"/>
        </w:rPr>
      </w:pPr>
      <w:proofErr w:type="spellStart"/>
      <w:r w:rsidRPr="001D7B09">
        <w:rPr>
          <w:rFonts w:ascii="Times New Roman" w:hAnsi="Times New Roman" w:cs="Times New Roman"/>
          <w:sz w:val="24"/>
          <w:szCs w:val="24"/>
          <w:lang w:val="en-GB"/>
        </w:rPr>
        <w:t>Zollinger-Ellinson</w:t>
      </w:r>
      <w:proofErr w:type="spellEnd"/>
      <w:r w:rsidRPr="001D7B09">
        <w:rPr>
          <w:rFonts w:ascii="Times New Roman" w:hAnsi="Times New Roman" w:cs="Times New Roman"/>
          <w:sz w:val="24"/>
          <w:szCs w:val="24"/>
          <w:lang w:val="en-GB"/>
        </w:rPr>
        <w:t xml:space="preserve"> Syndrome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GERD  </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Recommended indications and clinical usage-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Recommended in therapeutic interventions that require inhibition of gastric acid secretion  </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Specific procedures/Protocols for use-.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Preferably taken before breakfast or a heavy</w:t>
      </w:r>
      <w:r w:rsidRPr="001D7B09">
        <w:rPr>
          <w:rFonts w:ascii="Times New Roman" w:hAnsi="Times New Roman" w:cs="Times New Roman"/>
          <w:sz w:val="24"/>
          <w:szCs w:val="24"/>
          <w:lang w:val="en-GB"/>
        </w:rPr>
        <w:t xml:space="preserve"> meal.</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Contraindications.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Hypersensitivity reaction risk to the drug or any other related drugs such as </w:t>
      </w:r>
      <w:proofErr w:type="spellStart"/>
      <w:r w:rsidRPr="001D7B09">
        <w:rPr>
          <w:rFonts w:ascii="Times New Roman" w:hAnsi="Times New Roman" w:cs="Times New Roman"/>
          <w:sz w:val="24"/>
          <w:szCs w:val="24"/>
          <w:lang w:val="en-GB"/>
        </w:rPr>
        <w:t>esomeprazole</w:t>
      </w:r>
      <w:proofErr w:type="gramStart"/>
      <w:r w:rsidRPr="001D7B09">
        <w:rPr>
          <w:rFonts w:ascii="Times New Roman" w:hAnsi="Times New Roman" w:cs="Times New Roman"/>
          <w:sz w:val="24"/>
          <w:szCs w:val="24"/>
          <w:lang w:val="en-GB"/>
        </w:rPr>
        <w:t>,lansoprazole,pantoprazole</w:t>
      </w:r>
      <w:proofErr w:type="spellEnd"/>
      <w:proofErr w:type="gramEnd"/>
      <w:r w:rsidRPr="001D7B09">
        <w:rPr>
          <w:rFonts w:ascii="Times New Roman" w:hAnsi="Times New Roman" w:cs="Times New Roman"/>
          <w:sz w:val="24"/>
          <w:szCs w:val="24"/>
          <w:lang w:val="en-GB"/>
        </w:rPr>
        <w:t>.</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Medication considerations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Can cause increased incidences of C</w:t>
      </w:r>
      <w:r w:rsidRPr="001D7B09">
        <w:rPr>
          <w:rFonts w:ascii="Times New Roman" w:hAnsi="Times New Roman" w:cs="Times New Roman"/>
          <w:i/>
          <w:iCs/>
          <w:sz w:val="24"/>
          <w:szCs w:val="24"/>
          <w:lang w:val="en-GB"/>
        </w:rPr>
        <w:t xml:space="preserve">lostridium </w:t>
      </w:r>
      <w:proofErr w:type="spellStart"/>
      <w:r w:rsidRPr="001D7B09">
        <w:rPr>
          <w:rFonts w:ascii="Times New Roman" w:hAnsi="Times New Roman" w:cs="Times New Roman"/>
          <w:i/>
          <w:iCs/>
          <w:sz w:val="24"/>
          <w:szCs w:val="24"/>
          <w:lang w:val="en-GB"/>
        </w:rPr>
        <w:t>difficile</w:t>
      </w:r>
      <w:proofErr w:type="spellEnd"/>
      <w:r w:rsidRPr="001D7B09">
        <w:rPr>
          <w:rFonts w:ascii="Times New Roman" w:hAnsi="Times New Roman" w:cs="Times New Roman"/>
          <w:sz w:val="24"/>
          <w:szCs w:val="24"/>
          <w:lang w:val="en-GB"/>
        </w:rPr>
        <w:t xml:space="preserve"> related </w:t>
      </w:r>
      <w:proofErr w:type="spellStart"/>
      <w:r w:rsidRPr="001D7B09">
        <w:rPr>
          <w:rFonts w:ascii="Times New Roman" w:hAnsi="Times New Roman" w:cs="Times New Roman"/>
          <w:sz w:val="24"/>
          <w:szCs w:val="24"/>
          <w:lang w:val="en-GB"/>
        </w:rPr>
        <w:t>diarrhea</w:t>
      </w:r>
      <w:proofErr w:type="spellEnd"/>
      <w:r w:rsidRPr="001D7B09">
        <w:rPr>
          <w:rFonts w:ascii="Times New Roman" w:hAnsi="Times New Roman" w:cs="Times New Roman"/>
          <w:sz w:val="24"/>
          <w:szCs w:val="24"/>
          <w:lang w:val="en-GB"/>
        </w:rPr>
        <w:t>.</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Patients wit</w:t>
      </w:r>
      <w:r w:rsidRPr="001D7B09">
        <w:rPr>
          <w:rFonts w:ascii="Times New Roman" w:hAnsi="Times New Roman" w:cs="Times New Roman"/>
          <w:sz w:val="24"/>
          <w:szCs w:val="24"/>
          <w:lang w:val="en-GB"/>
        </w:rPr>
        <w:t>h liver disease require reduced doses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Patients with renal impairment do not require any dose adjustments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Inhibits hepatic </w:t>
      </w:r>
      <w:proofErr w:type="spellStart"/>
      <w:r w:rsidRPr="001D7B09">
        <w:rPr>
          <w:rFonts w:ascii="Times New Roman" w:hAnsi="Times New Roman" w:cs="Times New Roman"/>
          <w:sz w:val="24"/>
          <w:szCs w:val="24"/>
          <w:lang w:val="en-GB"/>
        </w:rPr>
        <w:t>isoenzyme</w:t>
      </w:r>
      <w:proofErr w:type="spellEnd"/>
      <w:r w:rsidRPr="001D7B09">
        <w:rPr>
          <w:rFonts w:ascii="Times New Roman" w:hAnsi="Times New Roman" w:cs="Times New Roman"/>
          <w:sz w:val="24"/>
          <w:szCs w:val="24"/>
          <w:lang w:val="en-GB"/>
        </w:rPr>
        <w:t xml:space="preserve"> CYP2C19 thus may alter metabolism of its substrate drugs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Therapy increases the risk of </w:t>
      </w:r>
      <w:proofErr w:type="spellStart"/>
      <w:r w:rsidRPr="001D7B09">
        <w:rPr>
          <w:rFonts w:ascii="Times New Roman" w:hAnsi="Times New Roman" w:cs="Times New Roman"/>
          <w:sz w:val="24"/>
          <w:szCs w:val="24"/>
          <w:lang w:val="en-GB"/>
        </w:rPr>
        <w:t>Enterobacteriae</w:t>
      </w:r>
      <w:proofErr w:type="spellEnd"/>
      <w:r w:rsidRPr="001D7B09">
        <w:rPr>
          <w:rFonts w:ascii="Times New Roman" w:hAnsi="Times New Roman" w:cs="Times New Roman"/>
          <w:sz w:val="24"/>
          <w:szCs w:val="24"/>
          <w:lang w:val="en-GB"/>
        </w:rPr>
        <w:t xml:space="preserve"> infections such as Sa</w:t>
      </w:r>
      <w:r w:rsidRPr="001D7B09">
        <w:rPr>
          <w:rFonts w:ascii="Times New Roman" w:hAnsi="Times New Roman" w:cs="Times New Roman"/>
          <w:sz w:val="24"/>
          <w:szCs w:val="24"/>
          <w:lang w:val="en-GB"/>
        </w:rPr>
        <w:t>lmonella and Campylobacter</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There is risk of emergence of Acute </w:t>
      </w:r>
      <w:proofErr w:type="spellStart"/>
      <w:r w:rsidRPr="001D7B09">
        <w:rPr>
          <w:rFonts w:ascii="Times New Roman" w:hAnsi="Times New Roman" w:cs="Times New Roman"/>
          <w:sz w:val="24"/>
          <w:szCs w:val="24"/>
          <w:lang w:val="en-GB"/>
        </w:rPr>
        <w:t>Tubulo</w:t>
      </w:r>
      <w:proofErr w:type="spellEnd"/>
      <w:r w:rsidRPr="001D7B09">
        <w:rPr>
          <w:rFonts w:ascii="Times New Roman" w:hAnsi="Times New Roman" w:cs="Times New Roman"/>
          <w:sz w:val="24"/>
          <w:szCs w:val="24"/>
          <w:lang w:val="en-GB"/>
        </w:rPr>
        <w:t>-interstitial Nephritis at any point when taking Omeprazole</w:t>
      </w:r>
    </w:p>
    <w:p w:rsidR="0053164A" w:rsidRPr="001D7B09" w:rsidRDefault="004F22A9">
      <w:pPr>
        <w:rPr>
          <w:rFonts w:ascii="Times New Roman" w:hAnsi="Times New Roman" w:cs="Times New Roman"/>
          <w:i/>
          <w:iCs/>
          <w:sz w:val="24"/>
          <w:szCs w:val="24"/>
          <w:u w:val="single"/>
          <w:lang w:val="en-GB"/>
        </w:rPr>
      </w:pPr>
      <w:r w:rsidRPr="001D7B09">
        <w:rPr>
          <w:rFonts w:ascii="Times New Roman" w:hAnsi="Times New Roman" w:cs="Times New Roman"/>
          <w:i/>
          <w:iCs/>
          <w:sz w:val="24"/>
          <w:szCs w:val="24"/>
          <w:u w:val="single"/>
          <w:lang w:val="en-GB"/>
        </w:rPr>
        <w:t>Drug interactions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Interacts with methotrexate by increasing its serums concentration leading to toxicity.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Causes a 20-26% reduc</w:t>
      </w:r>
      <w:r w:rsidRPr="001D7B09">
        <w:rPr>
          <w:rFonts w:ascii="Times New Roman" w:hAnsi="Times New Roman" w:cs="Times New Roman"/>
          <w:sz w:val="24"/>
          <w:szCs w:val="24"/>
          <w:lang w:val="en-GB"/>
        </w:rPr>
        <w:t>tion in Diazepam clearance</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Competitively inhibits phenytoin and Warfarin</w:t>
      </w:r>
    </w:p>
    <w:p w:rsidR="0053164A" w:rsidRPr="001D7B09" w:rsidRDefault="004F22A9">
      <w:pPr>
        <w:rPr>
          <w:rFonts w:ascii="Times New Roman" w:hAnsi="Times New Roman" w:cs="Times New Roman"/>
          <w:b/>
          <w:bCs/>
          <w:i/>
          <w:iCs/>
          <w:sz w:val="24"/>
          <w:szCs w:val="24"/>
          <w:u w:val="single"/>
          <w:lang w:val="en-GB"/>
        </w:rPr>
      </w:pPr>
      <w:proofErr w:type="gramStart"/>
      <w:r w:rsidRPr="001D7B09">
        <w:rPr>
          <w:rFonts w:ascii="Times New Roman" w:hAnsi="Times New Roman" w:cs="Times New Roman"/>
          <w:b/>
          <w:bCs/>
          <w:i/>
          <w:iCs/>
          <w:sz w:val="24"/>
          <w:szCs w:val="24"/>
          <w:u w:val="single"/>
          <w:lang w:val="en-GB"/>
        </w:rPr>
        <w:t>Medication effects.</w:t>
      </w:r>
      <w:proofErr w:type="gramEnd"/>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Omeprazole is an orally administered drug that binds to the H+/K+ ATPase enzyme system of the parietal cell in the stomach. By doing this it inhibits secretion </w:t>
      </w:r>
      <w:proofErr w:type="gramStart"/>
      <w:r w:rsidRPr="001D7B09">
        <w:rPr>
          <w:rFonts w:ascii="Times New Roman" w:hAnsi="Times New Roman" w:cs="Times New Roman"/>
          <w:sz w:val="24"/>
          <w:szCs w:val="24"/>
          <w:lang w:val="en-GB"/>
        </w:rPr>
        <w:t xml:space="preserve">of </w:t>
      </w:r>
      <w:r w:rsidRPr="001D7B09">
        <w:rPr>
          <w:rFonts w:ascii="Times New Roman" w:hAnsi="Times New Roman" w:cs="Times New Roman"/>
          <w:sz w:val="24"/>
          <w:szCs w:val="24"/>
          <w:lang w:val="en-GB"/>
        </w:rPr>
        <w:t xml:space="preserve"> hydrogen</w:t>
      </w:r>
      <w:proofErr w:type="gramEnd"/>
      <w:r w:rsidRPr="001D7B09">
        <w:rPr>
          <w:rFonts w:ascii="Times New Roman" w:hAnsi="Times New Roman" w:cs="Times New Roman"/>
          <w:sz w:val="24"/>
          <w:szCs w:val="24"/>
          <w:lang w:val="en-GB"/>
        </w:rPr>
        <w:t xml:space="preserve"> ions into the gastric lumen. Secretion of hydrogen ions is the final step in gastric acid secretion.</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Medications side effects and adverse reactions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Side effects to the drug are experienced in 1-10% of patients prescribed and include the </w:t>
      </w:r>
      <w:r w:rsidRPr="001D7B09">
        <w:rPr>
          <w:rFonts w:ascii="Times New Roman" w:hAnsi="Times New Roman" w:cs="Times New Roman"/>
          <w:sz w:val="24"/>
          <w:szCs w:val="24"/>
          <w:lang w:val="en-GB"/>
        </w:rPr>
        <w:t>following:</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Headache (</w:t>
      </w:r>
      <w:r w:rsidR="004F22A9" w:rsidRPr="001D7B09">
        <w:rPr>
          <w:rFonts w:ascii="Times New Roman" w:hAnsi="Times New Roman" w:cs="Times New Roman"/>
          <w:sz w:val="24"/>
          <w:szCs w:val="24"/>
          <w:lang w:val="en-GB"/>
        </w:rPr>
        <w:t>7%)</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Abdominal </w:t>
      </w:r>
      <w:r w:rsidR="001D7B09" w:rsidRPr="001D7B09">
        <w:rPr>
          <w:rFonts w:ascii="Times New Roman" w:hAnsi="Times New Roman" w:cs="Times New Roman"/>
          <w:sz w:val="24"/>
          <w:szCs w:val="24"/>
          <w:lang w:val="en-GB"/>
        </w:rPr>
        <w:t>pain (</w:t>
      </w:r>
      <w:r w:rsidRPr="001D7B09">
        <w:rPr>
          <w:rFonts w:ascii="Times New Roman" w:hAnsi="Times New Roman" w:cs="Times New Roman"/>
          <w:sz w:val="24"/>
          <w:szCs w:val="24"/>
          <w:lang w:val="en-GB"/>
        </w:rPr>
        <w:t>5%)</w:t>
      </w:r>
    </w:p>
    <w:p w:rsidR="0053164A" w:rsidRPr="001D7B09" w:rsidRDefault="004F22A9">
      <w:pPr>
        <w:rPr>
          <w:rFonts w:ascii="Times New Roman" w:hAnsi="Times New Roman" w:cs="Times New Roman"/>
          <w:sz w:val="24"/>
          <w:szCs w:val="24"/>
          <w:lang w:val="en-GB"/>
        </w:rPr>
      </w:pPr>
      <w:proofErr w:type="spellStart"/>
      <w:proofErr w:type="gramStart"/>
      <w:r w:rsidRPr="001D7B09">
        <w:rPr>
          <w:rFonts w:ascii="Times New Roman" w:hAnsi="Times New Roman" w:cs="Times New Roman"/>
          <w:sz w:val="24"/>
          <w:szCs w:val="24"/>
          <w:lang w:val="en-GB"/>
        </w:rPr>
        <w:t>Diarrhea</w:t>
      </w:r>
      <w:proofErr w:type="spellEnd"/>
      <w:r w:rsidRPr="001D7B09">
        <w:rPr>
          <w:rFonts w:ascii="Times New Roman" w:hAnsi="Times New Roman" w:cs="Times New Roman"/>
          <w:sz w:val="24"/>
          <w:szCs w:val="24"/>
          <w:lang w:val="en-GB"/>
        </w:rPr>
        <w:t>(</w:t>
      </w:r>
      <w:proofErr w:type="gramEnd"/>
      <w:r w:rsidRPr="001D7B09">
        <w:rPr>
          <w:rFonts w:ascii="Times New Roman" w:hAnsi="Times New Roman" w:cs="Times New Roman"/>
          <w:sz w:val="24"/>
          <w:szCs w:val="24"/>
          <w:lang w:val="en-GB"/>
        </w:rPr>
        <w:t>4%)</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Nausea (</w:t>
      </w:r>
      <w:r w:rsidR="004F22A9" w:rsidRPr="001D7B09">
        <w:rPr>
          <w:rFonts w:ascii="Times New Roman" w:hAnsi="Times New Roman" w:cs="Times New Roman"/>
          <w:sz w:val="24"/>
          <w:szCs w:val="24"/>
          <w:lang w:val="en-GB"/>
        </w:rPr>
        <w:t>4%)</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Vomiting (</w:t>
      </w:r>
      <w:r w:rsidR="004F22A9" w:rsidRPr="001D7B09">
        <w:rPr>
          <w:rFonts w:ascii="Times New Roman" w:hAnsi="Times New Roman" w:cs="Times New Roman"/>
          <w:sz w:val="24"/>
          <w:szCs w:val="24"/>
          <w:lang w:val="en-GB"/>
        </w:rPr>
        <w:t>3%)</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Rash (</w:t>
      </w:r>
      <w:r w:rsidR="004F22A9" w:rsidRPr="001D7B09">
        <w:rPr>
          <w:rFonts w:ascii="Times New Roman" w:hAnsi="Times New Roman" w:cs="Times New Roman"/>
          <w:sz w:val="24"/>
          <w:szCs w:val="24"/>
          <w:lang w:val="en-GB"/>
        </w:rPr>
        <w:t>2%)</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Cough (</w:t>
      </w:r>
      <w:r w:rsidR="004F22A9" w:rsidRPr="001D7B09">
        <w:rPr>
          <w:rFonts w:ascii="Times New Roman" w:hAnsi="Times New Roman" w:cs="Times New Roman"/>
          <w:sz w:val="24"/>
          <w:szCs w:val="24"/>
          <w:lang w:val="en-GB"/>
        </w:rPr>
        <w:t>1%)</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Dizziness (</w:t>
      </w:r>
      <w:r w:rsidR="004F22A9" w:rsidRPr="001D7B09">
        <w:rPr>
          <w:rFonts w:ascii="Times New Roman" w:hAnsi="Times New Roman" w:cs="Times New Roman"/>
          <w:sz w:val="24"/>
          <w:szCs w:val="24"/>
          <w:lang w:val="en-GB"/>
        </w:rPr>
        <w:t>2%)</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Prolonged use causes emergence of cutaneous or systemic Lupus </w:t>
      </w:r>
      <w:proofErr w:type="spellStart"/>
      <w:r w:rsidRPr="001D7B09">
        <w:rPr>
          <w:rFonts w:ascii="Times New Roman" w:hAnsi="Times New Roman" w:cs="Times New Roman"/>
          <w:sz w:val="24"/>
          <w:szCs w:val="24"/>
          <w:lang w:val="en-GB"/>
        </w:rPr>
        <w:t>Erythematosus</w:t>
      </w:r>
      <w:proofErr w:type="spellEnd"/>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Increased risk of osteoporosis related fractures with prolonged use</w:t>
      </w:r>
      <w:r w:rsidRPr="001D7B09">
        <w:rPr>
          <w:rFonts w:ascii="Times New Roman" w:hAnsi="Times New Roman" w:cs="Times New Roman"/>
          <w:sz w:val="24"/>
          <w:szCs w:val="24"/>
          <w:lang w:val="en-GB"/>
        </w:rPr>
        <w:t xml:space="preserve"> of greater than a year</w:t>
      </w:r>
    </w:p>
    <w:p w:rsidR="0053164A" w:rsidRPr="001D7B09" w:rsidRDefault="004F22A9">
      <w:pPr>
        <w:rPr>
          <w:rFonts w:ascii="Times New Roman" w:hAnsi="Times New Roman" w:cs="Times New Roman"/>
          <w:sz w:val="24"/>
          <w:szCs w:val="24"/>
          <w:lang w:val="en-GB"/>
        </w:rPr>
      </w:pPr>
      <w:proofErr w:type="spellStart"/>
      <w:r w:rsidRPr="001D7B09">
        <w:rPr>
          <w:rFonts w:ascii="Times New Roman" w:hAnsi="Times New Roman" w:cs="Times New Roman"/>
          <w:sz w:val="24"/>
          <w:szCs w:val="24"/>
          <w:lang w:val="en-GB"/>
        </w:rPr>
        <w:lastRenderedPageBreak/>
        <w:t>Hypomagnesia</w:t>
      </w:r>
      <w:proofErr w:type="spellEnd"/>
      <w:r w:rsidRPr="001D7B09">
        <w:rPr>
          <w:rFonts w:ascii="Times New Roman" w:hAnsi="Times New Roman" w:cs="Times New Roman"/>
          <w:sz w:val="24"/>
          <w:szCs w:val="24"/>
          <w:lang w:val="en-GB"/>
        </w:rPr>
        <w:t xml:space="preserve"> associated with PPI use also occurs with prolonged use. This cannot be corrected with supplements and requires discontinuation of the drug to be rectified.</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PPI usage for longer than a year results in the emergence of a </w:t>
      </w:r>
      <w:proofErr w:type="spellStart"/>
      <w:r w:rsidRPr="001D7B09">
        <w:rPr>
          <w:rFonts w:ascii="Times New Roman" w:hAnsi="Times New Roman" w:cs="Times New Roman"/>
          <w:sz w:val="24"/>
          <w:szCs w:val="24"/>
          <w:lang w:val="en-GB"/>
        </w:rPr>
        <w:t>fundic</w:t>
      </w:r>
      <w:proofErr w:type="spellEnd"/>
      <w:r w:rsidRPr="001D7B09">
        <w:rPr>
          <w:rFonts w:ascii="Times New Roman" w:hAnsi="Times New Roman" w:cs="Times New Roman"/>
          <w:sz w:val="24"/>
          <w:szCs w:val="24"/>
          <w:lang w:val="en-GB"/>
        </w:rPr>
        <w:t xml:space="preserve"> gland polyp</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Prolonged PPI usage of greater than 3 years results in </w:t>
      </w:r>
      <w:proofErr w:type="spellStart"/>
      <w:r w:rsidRPr="001D7B09">
        <w:rPr>
          <w:rFonts w:ascii="Times New Roman" w:hAnsi="Times New Roman" w:cs="Times New Roman"/>
          <w:sz w:val="24"/>
          <w:szCs w:val="24"/>
          <w:lang w:val="en-GB"/>
        </w:rPr>
        <w:t>cyanocobalamin</w:t>
      </w:r>
      <w:proofErr w:type="spellEnd"/>
      <w:r w:rsidRPr="001D7B09">
        <w:rPr>
          <w:rFonts w:ascii="Times New Roman" w:hAnsi="Times New Roman" w:cs="Times New Roman"/>
          <w:sz w:val="24"/>
          <w:szCs w:val="24"/>
          <w:lang w:val="en-GB"/>
        </w:rPr>
        <w:t xml:space="preserve"> </w:t>
      </w:r>
      <w:r w:rsidR="001D7B09" w:rsidRPr="001D7B09">
        <w:rPr>
          <w:rFonts w:ascii="Times New Roman" w:hAnsi="Times New Roman" w:cs="Times New Roman"/>
          <w:sz w:val="24"/>
          <w:szCs w:val="24"/>
          <w:lang w:val="en-GB"/>
        </w:rPr>
        <w:t>deficiency (</w:t>
      </w:r>
      <w:r w:rsidRPr="001D7B09">
        <w:rPr>
          <w:rFonts w:ascii="Times New Roman" w:hAnsi="Times New Roman" w:cs="Times New Roman"/>
          <w:sz w:val="24"/>
          <w:szCs w:val="24"/>
          <w:lang w:val="en-GB"/>
        </w:rPr>
        <w:t>Vitamin B12)</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Use in Pregnancy.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Despite there being </w:t>
      </w:r>
      <w:r w:rsidR="001D7B09" w:rsidRPr="001D7B09">
        <w:rPr>
          <w:rFonts w:ascii="Times New Roman" w:hAnsi="Times New Roman" w:cs="Times New Roman"/>
          <w:sz w:val="24"/>
          <w:szCs w:val="24"/>
          <w:lang w:val="en-GB"/>
        </w:rPr>
        <w:t>inadequate well</w:t>
      </w:r>
      <w:r w:rsidRPr="001D7B09">
        <w:rPr>
          <w:rFonts w:ascii="Times New Roman" w:hAnsi="Times New Roman" w:cs="Times New Roman"/>
          <w:sz w:val="24"/>
          <w:szCs w:val="24"/>
          <w:lang w:val="en-GB"/>
        </w:rPr>
        <w:t>-controlled studies in pregnant women there is inadequate data to show that Omeprazole ha</w:t>
      </w:r>
      <w:r w:rsidRPr="001D7B09">
        <w:rPr>
          <w:rFonts w:ascii="Times New Roman" w:hAnsi="Times New Roman" w:cs="Times New Roman"/>
          <w:sz w:val="24"/>
          <w:szCs w:val="24"/>
          <w:lang w:val="en-GB"/>
        </w:rPr>
        <w:t xml:space="preserve">s </w:t>
      </w:r>
      <w:r w:rsidR="001D7B09" w:rsidRPr="001D7B09">
        <w:rPr>
          <w:rFonts w:ascii="Times New Roman" w:hAnsi="Times New Roman" w:cs="Times New Roman"/>
          <w:sz w:val="24"/>
          <w:szCs w:val="24"/>
          <w:lang w:val="en-GB"/>
        </w:rPr>
        <w:t>any risk</w:t>
      </w:r>
      <w:r w:rsidRPr="001D7B09">
        <w:rPr>
          <w:rFonts w:ascii="Times New Roman" w:hAnsi="Times New Roman" w:cs="Times New Roman"/>
          <w:sz w:val="24"/>
          <w:szCs w:val="24"/>
          <w:lang w:val="en-GB"/>
        </w:rPr>
        <w:t xml:space="preserve"> of congenital malformations if administered within the first trimester of pregnancy. This only applies if taken within the recommended dose. Studies in rats and rabbits however, show that Omeprazole is lethal to the </w:t>
      </w:r>
      <w:r w:rsidR="001D7B09" w:rsidRPr="001D7B09">
        <w:rPr>
          <w:rFonts w:ascii="Times New Roman" w:hAnsi="Times New Roman" w:cs="Times New Roman"/>
          <w:sz w:val="24"/>
          <w:szCs w:val="24"/>
          <w:lang w:val="en-GB"/>
        </w:rPr>
        <w:t>embryo if</w:t>
      </w:r>
      <w:r w:rsidRPr="001D7B09">
        <w:rPr>
          <w:rFonts w:ascii="Times New Roman" w:hAnsi="Times New Roman" w:cs="Times New Roman"/>
          <w:sz w:val="24"/>
          <w:szCs w:val="24"/>
          <w:lang w:val="en-GB"/>
        </w:rPr>
        <w:t xml:space="preserve"> taken at a dose t</w:t>
      </w:r>
      <w:r w:rsidRPr="001D7B09">
        <w:rPr>
          <w:rFonts w:ascii="Times New Roman" w:hAnsi="Times New Roman" w:cs="Times New Roman"/>
          <w:sz w:val="24"/>
          <w:szCs w:val="24"/>
          <w:lang w:val="en-GB"/>
        </w:rPr>
        <w:t xml:space="preserve">hat is 3.4 to </w:t>
      </w:r>
      <w:r w:rsidR="001D7B09" w:rsidRPr="001D7B09">
        <w:rPr>
          <w:rFonts w:ascii="Times New Roman" w:hAnsi="Times New Roman" w:cs="Times New Roman"/>
          <w:sz w:val="24"/>
          <w:szCs w:val="24"/>
          <w:lang w:val="en-GB"/>
        </w:rPr>
        <w:t>34 times</w:t>
      </w:r>
      <w:r w:rsidRPr="001D7B09">
        <w:rPr>
          <w:rFonts w:ascii="Times New Roman" w:hAnsi="Times New Roman" w:cs="Times New Roman"/>
          <w:sz w:val="24"/>
          <w:szCs w:val="24"/>
          <w:lang w:val="en-GB"/>
        </w:rPr>
        <w:t xml:space="preserve"> higher than the recommended for a 60Kg adult</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 xml:space="preserve">Use in </w:t>
      </w:r>
      <w:proofErr w:type="spellStart"/>
      <w:r w:rsidRPr="001D7B09">
        <w:rPr>
          <w:rFonts w:ascii="Times New Roman" w:hAnsi="Times New Roman" w:cs="Times New Roman"/>
          <w:b/>
          <w:bCs/>
          <w:i/>
          <w:iCs/>
          <w:sz w:val="24"/>
          <w:szCs w:val="24"/>
          <w:u w:val="single"/>
          <w:lang w:val="en-GB"/>
        </w:rPr>
        <w:t>pediatrics</w:t>
      </w:r>
      <w:proofErr w:type="spellEnd"/>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Omeprazole is present in breast milk with concentrations peaking 3hrs after a 20 mg dose being less than 7% of </w:t>
      </w:r>
      <w:r w:rsidR="001D7B09" w:rsidRPr="001D7B09">
        <w:rPr>
          <w:rFonts w:ascii="Times New Roman" w:hAnsi="Times New Roman" w:cs="Times New Roman"/>
          <w:sz w:val="24"/>
          <w:szCs w:val="24"/>
          <w:lang w:val="en-GB"/>
        </w:rPr>
        <w:t>the serum</w:t>
      </w:r>
      <w:r w:rsidRPr="001D7B09">
        <w:rPr>
          <w:rFonts w:ascii="Times New Roman" w:hAnsi="Times New Roman" w:cs="Times New Roman"/>
          <w:sz w:val="24"/>
          <w:szCs w:val="24"/>
          <w:lang w:val="en-GB"/>
        </w:rPr>
        <w:t xml:space="preserve"> concentration of the drug. There is risk of car</w:t>
      </w:r>
      <w:r w:rsidRPr="001D7B09">
        <w:rPr>
          <w:rFonts w:ascii="Times New Roman" w:hAnsi="Times New Roman" w:cs="Times New Roman"/>
          <w:sz w:val="24"/>
          <w:szCs w:val="24"/>
          <w:lang w:val="en-GB"/>
        </w:rPr>
        <w:t>cinogenicity associated with breast feeding an infant while under Omeprazole therapy thus nursing should be discontinued while under medication.</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Pharmacology</w:t>
      </w:r>
    </w:p>
    <w:p w:rsidR="0053164A" w:rsidRPr="001D7B09" w:rsidRDefault="004F22A9">
      <w:pPr>
        <w:rPr>
          <w:rFonts w:ascii="Times New Roman" w:hAnsi="Times New Roman" w:cs="Times New Roman"/>
          <w:b/>
          <w:bCs/>
          <w:i/>
          <w:iCs/>
          <w:sz w:val="24"/>
          <w:szCs w:val="24"/>
          <w:lang w:val="en-GB"/>
        </w:rPr>
      </w:pPr>
      <w:r w:rsidRPr="001D7B09">
        <w:rPr>
          <w:rFonts w:ascii="Times New Roman" w:hAnsi="Times New Roman" w:cs="Times New Roman"/>
          <w:b/>
          <w:bCs/>
          <w:i/>
          <w:iCs/>
          <w:sz w:val="24"/>
          <w:szCs w:val="24"/>
          <w:lang w:val="en-GB"/>
        </w:rPr>
        <w:t>Mechanism of Action.</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Omeprazole is an orally administered drug that binds to the H+/K+ ATPase enzy</w:t>
      </w:r>
      <w:r w:rsidRPr="001D7B09">
        <w:rPr>
          <w:rFonts w:ascii="Times New Roman" w:hAnsi="Times New Roman" w:cs="Times New Roman"/>
          <w:sz w:val="24"/>
          <w:szCs w:val="24"/>
          <w:lang w:val="en-GB"/>
        </w:rPr>
        <w:t xml:space="preserve">me system of the parietal cell in the stomach. By doing this it inhibits secretion </w:t>
      </w:r>
      <w:r w:rsidR="001D7B09" w:rsidRPr="001D7B09">
        <w:rPr>
          <w:rFonts w:ascii="Times New Roman" w:hAnsi="Times New Roman" w:cs="Times New Roman"/>
          <w:sz w:val="24"/>
          <w:szCs w:val="24"/>
          <w:lang w:val="en-GB"/>
        </w:rPr>
        <w:t>of hydrogen</w:t>
      </w:r>
      <w:r w:rsidRPr="001D7B09">
        <w:rPr>
          <w:rFonts w:ascii="Times New Roman" w:hAnsi="Times New Roman" w:cs="Times New Roman"/>
          <w:sz w:val="24"/>
          <w:szCs w:val="24"/>
          <w:lang w:val="en-GB"/>
        </w:rPr>
        <w:t xml:space="preserve"> ions into the gastric lumen. Secretion of hydrogen ions is the final step </w:t>
      </w:r>
      <w:r w:rsidR="001D7B09" w:rsidRPr="001D7B09">
        <w:rPr>
          <w:rFonts w:ascii="Times New Roman" w:hAnsi="Times New Roman" w:cs="Times New Roman"/>
          <w:sz w:val="24"/>
          <w:szCs w:val="24"/>
          <w:lang w:val="en-GB"/>
        </w:rPr>
        <w:t>in basal</w:t>
      </w:r>
      <w:r w:rsidRPr="001D7B09">
        <w:rPr>
          <w:rFonts w:ascii="Times New Roman" w:hAnsi="Times New Roman" w:cs="Times New Roman"/>
          <w:sz w:val="24"/>
          <w:szCs w:val="24"/>
          <w:lang w:val="en-GB"/>
        </w:rPr>
        <w:t xml:space="preserve"> and stimulated gastric acid secretion.  Once </w:t>
      </w:r>
      <w:r w:rsidR="001D7B09" w:rsidRPr="001D7B09">
        <w:rPr>
          <w:rFonts w:ascii="Times New Roman" w:hAnsi="Times New Roman" w:cs="Times New Roman"/>
          <w:sz w:val="24"/>
          <w:szCs w:val="24"/>
          <w:lang w:val="en-GB"/>
        </w:rPr>
        <w:t>ingested,</w:t>
      </w:r>
      <w:r w:rsidRPr="001D7B09">
        <w:rPr>
          <w:rFonts w:ascii="Times New Roman" w:hAnsi="Times New Roman" w:cs="Times New Roman"/>
          <w:sz w:val="24"/>
          <w:szCs w:val="24"/>
          <w:lang w:val="en-GB"/>
        </w:rPr>
        <w:t xml:space="preserve"> its acid-resistant e</w:t>
      </w:r>
      <w:r w:rsidRPr="001D7B09">
        <w:rPr>
          <w:rFonts w:ascii="Times New Roman" w:hAnsi="Times New Roman" w:cs="Times New Roman"/>
          <w:sz w:val="24"/>
          <w:szCs w:val="24"/>
          <w:lang w:val="en-GB"/>
        </w:rPr>
        <w:t xml:space="preserve">nteric coat prevents </w:t>
      </w:r>
      <w:r w:rsidR="001D7B09" w:rsidRPr="001D7B09">
        <w:rPr>
          <w:rFonts w:ascii="Times New Roman" w:hAnsi="Times New Roman" w:cs="Times New Roman"/>
          <w:sz w:val="24"/>
          <w:szCs w:val="24"/>
          <w:lang w:val="en-GB"/>
        </w:rPr>
        <w:t>degradation by</w:t>
      </w:r>
      <w:r w:rsidRPr="001D7B09">
        <w:rPr>
          <w:rFonts w:ascii="Times New Roman" w:hAnsi="Times New Roman" w:cs="Times New Roman"/>
          <w:sz w:val="24"/>
          <w:szCs w:val="24"/>
          <w:lang w:val="en-GB"/>
        </w:rPr>
        <w:t xml:space="preserve"> stomach acid. Its coating is then removed in the alkaline duodenum releasing the pro-drug that is taken to the </w:t>
      </w:r>
      <w:proofErr w:type="spellStart"/>
      <w:r w:rsidRPr="001D7B09">
        <w:rPr>
          <w:rFonts w:ascii="Times New Roman" w:hAnsi="Times New Roman" w:cs="Times New Roman"/>
          <w:sz w:val="24"/>
          <w:szCs w:val="24"/>
          <w:lang w:val="en-GB"/>
        </w:rPr>
        <w:t>cannaliculus</w:t>
      </w:r>
      <w:proofErr w:type="spellEnd"/>
      <w:r w:rsidRPr="001D7B09">
        <w:rPr>
          <w:rFonts w:ascii="Times New Roman" w:hAnsi="Times New Roman" w:cs="Times New Roman"/>
          <w:sz w:val="24"/>
          <w:szCs w:val="24"/>
          <w:lang w:val="en-GB"/>
        </w:rPr>
        <w:t xml:space="preserve"> of the parietal cell. In the </w:t>
      </w:r>
      <w:proofErr w:type="spellStart"/>
      <w:r w:rsidRPr="001D7B09">
        <w:rPr>
          <w:rFonts w:ascii="Times New Roman" w:hAnsi="Times New Roman" w:cs="Times New Roman"/>
          <w:sz w:val="24"/>
          <w:szCs w:val="24"/>
          <w:lang w:val="en-GB"/>
        </w:rPr>
        <w:t>cannaliculus</w:t>
      </w:r>
      <w:proofErr w:type="spellEnd"/>
      <w:r w:rsidRPr="001D7B09">
        <w:rPr>
          <w:rFonts w:ascii="Times New Roman" w:hAnsi="Times New Roman" w:cs="Times New Roman"/>
          <w:sz w:val="24"/>
          <w:szCs w:val="24"/>
          <w:lang w:val="en-GB"/>
        </w:rPr>
        <w:t xml:space="preserve"> the acidic environment activates the pro-drug into it</w:t>
      </w:r>
      <w:r w:rsidRPr="001D7B09">
        <w:rPr>
          <w:rFonts w:ascii="Times New Roman" w:hAnsi="Times New Roman" w:cs="Times New Roman"/>
          <w:sz w:val="24"/>
          <w:szCs w:val="24"/>
          <w:lang w:val="en-GB"/>
        </w:rPr>
        <w:t xml:space="preserve">s active </w:t>
      </w:r>
      <w:r w:rsidR="001D7B09" w:rsidRPr="001D7B09">
        <w:rPr>
          <w:rFonts w:ascii="Times New Roman" w:hAnsi="Times New Roman" w:cs="Times New Roman"/>
          <w:sz w:val="24"/>
          <w:szCs w:val="24"/>
          <w:lang w:val="en-GB"/>
        </w:rPr>
        <w:t xml:space="preserve">form. </w:t>
      </w:r>
      <w:r w:rsidRPr="001D7B09">
        <w:rPr>
          <w:rFonts w:ascii="Times New Roman" w:hAnsi="Times New Roman" w:cs="Times New Roman"/>
          <w:sz w:val="24"/>
          <w:szCs w:val="24"/>
          <w:lang w:val="en-GB"/>
        </w:rPr>
        <w:t>The active form of the drug interacts with a cysteine residue of H+/K+ ATPase pump to form a stable covalent bond preventing its mode of action. Turn-over of new H+/K+ ATPase enzymes is usually 18 hours.</w:t>
      </w:r>
    </w:p>
    <w:p w:rsidR="0053164A" w:rsidRPr="001D7B09" w:rsidRDefault="004F22A9">
      <w:pPr>
        <w:rPr>
          <w:rFonts w:ascii="Times New Roman" w:hAnsi="Times New Roman" w:cs="Times New Roman"/>
          <w:b/>
          <w:bCs/>
          <w:i/>
          <w:iCs/>
          <w:sz w:val="24"/>
          <w:szCs w:val="24"/>
          <w:lang w:val="en-GB"/>
        </w:rPr>
      </w:pPr>
      <w:r w:rsidRPr="001D7B09">
        <w:rPr>
          <w:rFonts w:ascii="Times New Roman" w:hAnsi="Times New Roman" w:cs="Times New Roman"/>
          <w:b/>
          <w:bCs/>
          <w:i/>
          <w:iCs/>
          <w:sz w:val="24"/>
          <w:szCs w:val="24"/>
          <w:lang w:val="en-GB"/>
        </w:rPr>
        <w:t>Absorption</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After absorption the bio-</w:t>
      </w:r>
      <w:r w:rsidRPr="001D7B09">
        <w:rPr>
          <w:rFonts w:ascii="Times New Roman" w:hAnsi="Times New Roman" w:cs="Times New Roman"/>
          <w:sz w:val="24"/>
          <w:szCs w:val="24"/>
          <w:lang w:val="en-GB"/>
        </w:rPr>
        <w:t xml:space="preserve">availability of Omeprazole is usually 30-40% with a 1 hour onset of its anti-secretory effect. The anti-secretory effect lasts for </w:t>
      </w:r>
      <w:r w:rsidR="001D7B09" w:rsidRPr="001D7B09">
        <w:rPr>
          <w:rFonts w:ascii="Times New Roman" w:hAnsi="Times New Roman" w:cs="Times New Roman"/>
          <w:sz w:val="24"/>
          <w:szCs w:val="24"/>
          <w:lang w:val="en-GB"/>
        </w:rPr>
        <w:t>duration</w:t>
      </w:r>
      <w:r w:rsidRPr="001D7B09">
        <w:rPr>
          <w:rFonts w:ascii="Times New Roman" w:hAnsi="Times New Roman" w:cs="Times New Roman"/>
          <w:sz w:val="24"/>
          <w:szCs w:val="24"/>
          <w:lang w:val="en-GB"/>
        </w:rPr>
        <w:t xml:space="preserve"> of about 73 hours and peak plasma concentrations are attained at 0.5-3.5 </w:t>
      </w:r>
      <w:proofErr w:type="spellStart"/>
      <w:r w:rsidRPr="001D7B09">
        <w:rPr>
          <w:rFonts w:ascii="Times New Roman" w:hAnsi="Times New Roman" w:cs="Times New Roman"/>
          <w:sz w:val="24"/>
          <w:szCs w:val="24"/>
          <w:lang w:val="en-GB"/>
        </w:rPr>
        <w:t>hrs.Omeprazole</w:t>
      </w:r>
      <w:proofErr w:type="spellEnd"/>
      <w:r w:rsidRPr="001D7B09">
        <w:rPr>
          <w:rFonts w:ascii="Times New Roman" w:hAnsi="Times New Roman" w:cs="Times New Roman"/>
          <w:sz w:val="24"/>
          <w:szCs w:val="24"/>
          <w:lang w:val="en-GB"/>
        </w:rPr>
        <w:t xml:space="preserve"> is mostly transported prot</w:t>
      </w:r>
      <w:r w:rsidRPr="001D7B09">
        <w:rPr>
          <w:rFonts w:ascii="Times New Roman" w:hAnsi="Times New Roman" w:cs="Times New Roman"/>
          <w:sz w:val="24"/>
          <w:szCs w:val="24"/>
          <w:lang w:val="en-GB"/>
        </w:rPr>
        <w:t xml:space="preserve">ein </w:t>
      </w:r>
      <w:r w:rsidR="001D7B09" w:rsidRPr="001D7B09">
        <w:rPr>
          <w:rFonts w:ascii="Times New Roman" w:hAnsi="Times New Roman" w:cs="Times New Roman"/>
          <w:sz w:val="24"/>
          <w:szCs w:val="24"/>
          <w:lang w:val="en-GB"/>
        </w:rPr>
        <w:t>bound (</w:t>
      </w:r>
      <w:r w:rsidRPr="001D7B09">
        <w:rPr>
          <w:rFonts w:ascii="Times New Roman" w:hAnsi="Times New Roman" w:cs="Times New Roman"/>
          <w:sz w:val="24"/>
          <w:szCs w:val="24"/>
          <w:lang w:val="en-GB"/>
        </w:rPr>
        <w:t xml:space="preserve">95%-96%). </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b/>
          <w:bCs/>
          <w:i/>
          <w:iCs/>
          <w:sz w:val="24"/>
          <w:szCs w:val="24"/>
          <w:lang w:val="en-GB"/>
        </w:rPr>
        <w:t>Metabolism</w:t>
      </w:r>
    </w:p>
    <w:p w:rsidR="0053164A" w:rsidRPr="001D7B09" w:rsidRDefault="001D7B09">
      <w:pPr>
        <w:rPr>
          <w:rFonts w:ascii="Times New Roman" w:hAnsi="Times New Roman" w:cs="Times New Roman"/>
          <w:sz w:val="24"/>
          <w:szCs w:val="24"/>
          <w:lang w:val="en-GB"/>
        </w:rPr>
      </w:pPr>
      <w:r w:rsidRPr="001D7B09">
        <w:rPr>
          <w:rFonts w:ascii="Times New Roman" w:hAnsi="Times New Roman" w:cs="Times New Roman"/>
          <w:sz w:val="24"/>
          <w:szCs w:val="24"/>
          <w:lang w:val="en-GB"/>
        </w:rPr>
        <w:t>It’s</w:t>
      </w:r>
      <w:r w:rsidR="004F22A9" w:rsidRPr="001D7B09">
        <w:rPr>
          <w:rFonts w:ascii="Times New Roman" w:hAnsi="Times New Roman" w:cs="Times New Roman"/>
          <w:sz w:val="24"/>
          <w:szCs w:val="24"/>
          <w:lang w:val="en-GB"/>
        </w:rPr>
        <w:t xml:space="preserve"> metabolized extensively in the liver by enzyme CYP2C19 into metabolites such as </w:t>
      </w:r>
      <w:proofErr w:type="spellStart"/>
      <w:r w:rsidR="004F22A9" w:rsidRPr="001D7B09">
        <w:rPr>
          <w:rFonts w:ascii="Times New Roman" w:hAnsi="Times New Roman" w:cs="Times New Roman"/>
          <w:sz w:val="24"/>
          <w:szCs w:val="24"/>
          <w:lang w:val="en-GB"/>
        </w:rPr>
        <w:t>Hydroxyomeprazole</w:t>
      </w:r>
      <w:proofErr w:type="spellEnd"/>
      <w:r w:rsidRPr="001D7B09">
        <w:rPr>
          <w:rFonts w:ascii="Times New Roman" w:hAnsi="Times New Roman" w:cs="Times New Roman"/>
          <w:sz w:val="24"/>
          <w:szCs w:val="24"/>
          <w:lang w:val="en-GB"/>
        </w:rPr>
        <w:t>, omeprazole</w:t>
      </w:r>
      <w:r w:rsidR="004F22A9" w:rsidRPr="001D7B09">
        <w:rPr>
          <w:rFonts w:ascii="Times New Roman" w:hAnsi="Times New Roman" w:cs="Times New Roman"/>
          <w:sz w:val="24"/>
          <w:szCs w:val="24"/>
          <w:lang w:val="en-GB"/>
        </w:rPr>
        <w:t xml:space="preserve"> </w:t>
      </w:r>
      <w:proofErr w:type="spellStart"/>
      <w:r w:rsidR="004F22A9" w:rsidRPr="001D7B09">
        <w:rPr>
          <w:rFonts w:ascii="Times New Roman" w:hAnsi="Times New Roman" w:cs="Times New Roman"/>
          <w:sz w:val="24"/>
          <w:szCs w:val="24"/>
          <w:lang w:val="en-GB"/>
        </w:rPr>
        <w:t>sulfone</w:t>
      </w:r>
      <w:proofErr w:type="spellEnd"/>
      <w:r w:rsidR="004F22A9" w:rsidRPr="001D7B09">
        <w:rPr>
          <w:rFonts w:ascii="Times New Roman" w:hAnsi="Times New Roman" w:cs="Times New Roman"/>
          <w:sz w:val="24"/>
          <w:szCs w:val="24"/>
          <w:lang w:val="en-GB"/>
        </w:rPr>
        <w:t xml:space="preserve">, omeprazole </w:t>
      </w:r>
      <w:proofErr w:type="spellStart"/>
      <w:r w:rsidR="004F22A9" w:rsidRPr="001D7B09">
        <w:rPr>
          <w:rFonts w:ascii="Times New Roman" w:hAnsi="Times New Roman" w:cs="Times New Roman"/>
          <w:sz w:val="24"/>
          <w:szCs w:val="24"/>
          <w:lang w:val="en-GB"/>
        </w:rPr>
        <w:t>sulfide</w:t>
      </w:r>
      <w:proofErr w:type="spellEnd"/>
      <w:r w:rsidR="004F22A9" w:rsidRPr="001D7B09">
        <w:rPr>
          <w:rFonts w:ascii="Times New Roman" w:hAnsi="Times New Roman" w:cs="Times New Roman"/>
          <w:sz w:val="24"/>
          <w:szCs w:val="24"/>
          <w:lang w:val="en-GB"/>
        </w:rPr>
        <w:t>. Individuals deficient of CYP2C19 are slow metabolizers of the drug.</w:t>
      </w:r>
    </w:p>
    <w:p w:rsidR="0053164A" w:rsidRPr="001D7B09" w:rsidRDefault="004F22A9">
      <w:pPr>
        <w:rPr>
          <w:rFonts w:ascii="Times New Roman" w:hAnsi="Times New Roman" w:cs="Times New Roman"/>
          <w:b/>
          <w:bCs/>
          <w:sz w:val="24"/>
          <w:szCs w:val="24"/>
          <w:lang w:val="en-GB"/>
        </w:rPr>
      </w:pPr>
      <w:r w:rsidRPr="001D7B09">
        <w:rPr>
          <w:rFonts w:ascii="Times New Roman" w:hAnsi="Times New Roman" w:cs="Times New Roman"/>
          <w:b/>
          <w:bCs/>
          <w:sz w:val="24"/>
          <w:szCs w:val="24"/>
          <w:lang w:val="en-GB"/>
        </w:rPr>
        <w:t>Elimination.</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T</w:t>
      </w:r>
      <w:r w:rsidRPr="001D7B09">
        <w:rPr>
          <w:rFonts w:ascii="Times New Roman" w:hAnsi="Times New Roman" w:cs="Times New Roman"/>
          <w:sz w:val="24"/>
          <w:szCs w:val="24"/>
          <w:lang w:val="en-GB"/>
        </w:rPr>
        <w:t xml:space="preserve">he drug has a </w:t>
      </w:r>
      <w:r w:rsidR="001D7B09" w:rsidRPr="001D7B09">
        <w:rPr>
          <w:rFonts w:ascii="Times New Roman" w:hAnsi="Times New Roman" w:cs="Times New Roman"/>
          <w:sz w:val="24"/>
          <w:szCs w:val="24"/>
          <w:lang w:val="en-GB"/>
        </w:rPr>
        <w:t>half-life</w:t>
      </w:r>
      <w:r w:rsidRPr="001D7B09">
        <w:rPr>
          <w:rFonts w:ascii="Times New Roman" w:hAnsi="Times New Roman" w:cs="Times New Roman"/>
          <w:sz w:val="24"/>
          <w:szCs w:val="24"/>
          <w:lang w:val="en-GB"/>
        </w:rPr>
        <w:t xml:space="preserve"> of 0.5-1 </w:t>
      </w:r>
      <w:proofErr w:type="spellStart"/>
      <w:r w:rsidRPr="001D7B09">
        <w:rPr>
          <w:rFonts w:ascii="Times New Roman" w:hAnsi="Times New Roman" w:cs="Times New Roman"/>
          <w:sz w:val="24"/>
          <w:szCs w:val="24"/>
          <w:lang w:val="en-GB"/>
        </w:rPr>
        <w:t>hr</w:t>
      </w:r>
      <w:proofErr w:type="spellEnd"/>
      <w:r w:rsidRPr="001D7B09">
        <w:rPr>
          <w:rFonts w:ascii="Times New Roman" w:hAnsi="Times New Roman" w:cs="Times New Roman"/>
          <w:sz w:val="24"/>
          <w:szCs w:val="24"/>
          <w:lang w:val="en-GB"/>
        </w:rPr>
        <w:t xml:space="preserve"> which increases to 3 hours under hepatic </w:t>
      </w:r>
      <w:proofErr w:type="spellStart"/>
      <w:r w:rsidRPr="001D7B09">
        <w:rPr>
          <w:rFonts w:ascii="Times New Roman" w:hAnsi="Times New Roman" w:cs="Times New Roman"/>
          <w:sz w:val="24"/>
          <w:szCs w:val="24"/>
          <w:lang w:val="en-GB"/>
        </w:rPr>
        <w:t>impairement</w:t>
      </w:r>
      <w:proofErr w:type="spellEnd"/>
      <w:r w:rsidRPr="001D7B09">
        <w:rPr>
          <w:rFonts w:ascii="Times New Roman" w:hAnsi="Times New Roman" w:cs="Times New Roman"/>
          <w:sz w:val="24"/>
          <w:szCs w:val="24"/>
          <w:lang w:val="en-GB"/>
        </w:rPr>
        <w:t>. Excretion is mainly 77% in urine and 16-19% in bile</w:t>
      </w:r>
    </w:p>
    <w:p w:rsidR="0053164A" w:rsidRPr="001D7B09" w:rsidRDefault="0053164A">
      <w:pPr>
        <w:rPr>
          <w:rFonts w:ascii="Times New Roman" w:hAnsi="Times New Roman" w:cs="Times New Roman"/>
          <w:b/>
          <w:bCs/>
          <w:i/>
          <w:iCs/>
          <w:sz w:val="24"/>
          <w:szCs w:val="24"/>
          <w:lang w:val="en-GB"/>
        </w:rPr>
      </w:pP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Abuse and dependency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There is no recorded dependency associated with Omeprazole use </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However, studies show that </w:t>
      </w:r>
      <w:r w:rsidRPr="001D7B09">
        <w:rPr>
          <w:rFonts w:ascii="Times New Roman" w:hAnsi="Times New Roman" w:cs="Times New Roman"/>
          <w:sz w:val="24"/>
          <w:szCs w:val="24"/>
          <w:lang w:val="en-GB"/>
        </w:rPr>
        <w:t xml:space="preserve">Omeprazole and other PPIs are </w:t>
      </w:r>
      <w:proofErr w:type="spellStart"/>
      <w:r w:rsidRPr="001D7B09">
        <w:rPr>
          <w:rFonts w:ascii="Times New Roman" w:hAnsi="Times New Roman" w:cs="Times New Roman"/>
          <w:sz w:val="24"/>
          <w:szCs w:val="24"/>
          <w:lang w:val="en-GB"/>
        </w:rPr>
        <w:t>oftenly</w:t>
      </w:r>
      <w:proofErr w:type="spellEnd"/>
      <w:r w:rsidRPr="001D7B09">
        <w:rPr>
          <w:rFonts w:ascii="Times New Roman" w:hAnsi="Times New Roman" w:cs="Times New Roman"/>
          <w:sz w:val="24"/>
          <w:szCs w:val="24"/>
          <w:lang w:val="en-GB"/>
        </w:rPr>
        <w:t xml:space="preserve"> abused in FDA non-compliant prescriptions which include; Gastro-Intestinal </w:t>
      </w:r>
      <w:r w:rsidR="001D7B09" w:rsidRPr="001D7B09">
        <w:rPr>
          <w:rFonts w:ascii="Times New Roman" w:hAnsi="Times New Roman" w:cs="Times New Roman"/>
          <w:sz w:val="24"/>
          <w:szCs w:val="24"/>
          <w:lang w:val="en-GB"/>
        </w:rPr>
        <w:t>prophylaxis (</w:t>
      </w:r>
      <w:r w:rsidRPr="001D7B09">
        <w:rPr>
          <w:rFonts w:ascii="Times New Roman" w:hAnsi="Times New Roman" w:cs="Times New Roman"/>
          <w:sz w:val="24"/>
          <w:szCs w:val="24"/>
          <w:lang w:val="en-GB"/>
        </w:rPr>
        <w:t xml:space="preserve">82%), Abdominal pain and </w:t>
      </w:r>
      <w:r w:rsidR="001D7B09" w:rsidRPr="001D7B09">
        <w:rPr>
          <w:rFonts w:ascii="Times New Roman" w:hAnsi="Times New Roman" w:cs="Times New Roman"/>
          <w:sz w:val="24"/>
          <w:szCs w:val="24"/>
          <w:lang w:val="en-GB"/>
        </w:rPr>
        <w:t>nausea (</w:t>
      </w:r>
      <w:r w:rsidRPr="001D7B09">
        <w:rPr>
          <w:rFonts w:ascii="Times New Roman" w:hAnsi="Times New Roman" w:cs="Times New Roman"/>
          <w:sz w:val="24"/>
          <w:szCs w:val="24"/>
          <w:lang w:val="en-GB"/>
        </w:rPr>
        <w:t>9%)</w:t>
      </w:r>
      <w:r w:rsidR="001D7B09" w:rsidRPr="001D7B09">
        <w:rPr>
          <w:rFonts w:ascii="Times New Roman" w:hAnsi="Times New Roman" w:cs="Times New Roman"/>
          <w:sz w:val="24"/>
          <w:szCs w:val="24"/>
          <w:lang w:val="en-GB"/>
        </w:rPr>
        <w:t>, Non</w:t>
      </w:r>
      <w:r w:rsidRPr="001D7B09">
        <w:rPr>
          <w:rFonts w:ascii="Times New Roman" w:hAnsi="Times New Roman" w:cs="Times New Roman"/>
          <w:sz w:val="24"/>
          <w:szCs w:val="24"/>
          <w:lang w:val="en-GB"/>
        </w:rPr>
        <w:t xml:space="preserve">-cardiac chest </w:t>
      </w:r>
      <w:r w:rsidR="001D7B09" w:rsidRPr="001D7B09">
        <w:rPr>
          <w:rFonts w:ascii="Times New Roman" w:hAnsi="Times New Roman" w:cs="Times New Roman"/>
          <w:sz w:val="24"/>
          <w:szCs w:val="24"/>
          <w:lang w:val="en-GB"/>
        </w:rPr>
        <w:t>pains (</w:t>
      </w:r>
      <w:r w:rsidRPr="001D7B09">
        <w:rPr>
          <w:rFonts w:ascii="Times New Roman" w:hAnsi="Times New Roman" w:cs="Times New Roman"/>
          <w:sz w:val="24"/>
          <w:szCs w:val="24"/>
          <w:lang w:val="en-GB"/>
        </w:rPr>
        <w:t>4%) among others.</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Toxicology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Symptoms associated with Omeprazole overdo</w:t>
      </w:r>
      <w:r w:rsidRPr="001D7B09">
        <w:rPr>
          <w:rFonts w:ascii="Times New Roman" w:hAnsi="Times New Roman" w:cs="Times New Roman"/>
          <w:sz w:val="24"/>
          <w:szCs w:val="24"/>
          <w:lang w:val="en-GB"/>
        </w:rPr>
        <w:t xml:space="preserve">se </w:t>
      </w:r>
      <w:r w:rsidR="001D7B09" w:rsidRPr="001D7B09">
        <w:rPr>
          <w:rFonts w:ascii="Times New Roman" w:hAnsi="Times New Roman" w:cs="Times New Roman"/>
          <w:sz w:val="24"/>
          <w:szCs w:val="24"/>
          <w:lang w:val="en-GB"/>
        </w:rPr>
        <w:t>are transient</w:t>
      </w:r>
      <w:r w:rsidRPr="001D7B09">
        <w:rPr>
          <w:rFonts w:ascii="Times New Roman" w:hAnsi="Times New Roman" w:cs="Times New Roman"/>
          <w:sz w:val="24"/>
          <w:szCs w:val="24"/>
          <w:lang w:val="en-GB"/>
        </w:rPr>
        <w:t xml:space="preserve"> and include; Nausea, </w:t>
      </w:r>
      <w:proofErr w:type="spellStart"/>
      <w:r w:rsidRPr="001D7B09">
        <w:rPr>
          <w:rFonts w:ascii="Times New Roman" w:hAnsi="Times New Roman" w:cs="Times New Roman"/>
          <w:sz w:val="24"/>
          <w:szCs w:val="24"/>
          <w:lang w:val="en-GB"/>
        </w:rPr>
        <w:t>Diarrhea</w:t>
      </w:r>
      <w:proofErr w:type="spellEnd"/>
      <w:r w:rsidRPr="001D7B09">
        <w:rPr>
          <w:rFonts w:ascii="Times New Roman" w:hAnsi="Times New Roman" w:cs="Times New Roman"/>
          <w:sz w:val="24"/>
          <w:szCs w:val="24"/>
          <w:lang w:val="en-GB"/>
        </w:rPr>
        <w:t xml:space="preserve">, Abdominal pain, Dizziness, apathy, depression and confusion. </w:t>
      </w:r>
    </w:p>
    <w:p w:rsidR="0053164A" w:rsidRPr="001D7B09" w:rsidRDefault="004F22A9">
      <w:pPr>
        <w:rPr>
          <w:rFonts w:ascii="Times New Roman" w:hAnsi="Times New Roman" w:cs="Times New Roman"/>
          <w:b/>
          <w:bCs/>
          <w:i/>
          <w:iCs/>
          <w:sz w:val="24"/>
          <w:szCs w:val="24"/>
          <w:u w:val="single"/>
          <w:lang w:val="en-GB"/>
        </w:rPr>
      </w:pPr>
      <w:r w:rsidRPr="001D7B09">
        <w:rPr>
          <w:rFonts w:ascii="Times New Roman" w:hAnsi="Times New Roman" w:cs="Times New Roman"/>
          <w:b/>
          <w:bCs/>
          <w:i/>
          <w:iCs/>
          <w:sz w:val="24"/>
          <w:szCs w:val="24"/>
          <w:u w:val="single"/>
          <w:lang w:val="en-GB"/>
        </w:rPr>
        <w:t>Specific dosage and use recommendations.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Duodenal ulcer-</w:t>
      </w:r>
      <w:r w:rsidRPr="001D7B09">
        <w:rPr>
          <w:rFonts w:ascii="Times New Roman" w:hAnsi="Times New Roman" w:cs="Times New Roman"/>
          <w:sz w:val="24"/>
          <w:szCs w:val="24"/>
          <w:lang w:val="en-GB"/>
        </w:rPr>
        <w:t xml:space="preserve"> 20mg orally everyday for 4-8 weeks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Helicobacter Pylori Infection</w:t>
      </w:r>
      <w:r w:rsidRPr="001D7B09">
        <w:rPr>
          <w:rFonts w:ascii="Times New Roman" w:hAnsi="Times New Roman" w:cs="Times New Roman"/>
          <w:sz w:val="24"/>
          <w:szCs w:val="24"/>
          <w:lang w:val="en-GB"/>
        </w:rPr>
        <w:t xml:space="preserve">- 20mg TD </w:t>
      </w:r>
      <w:r w:rsidR="001D7B09" w:rsidRPr="001D7B09">
        <w:rPr>
          <w:rFonts w:ascii="Times New Roman" w:hAnsi="Times New Roman" w:cs="Times New Roman"/>
          <w:sz w:val="24"/>
          <w:szCs w:val="24"/>
          <w:lang w:val="en-GB"/>
        </w:rPr>
        <w:t>for</w:t>
      </w:r>
      <w:r w:rsidRPr="001D7B09">
        <w:rPr>
          <w:rFonts w:ascii="Times New Roman" w:hAnsi="Times New Roman" w:cs="Times New Roman"/>
          <w:sz w:val="24"/>
          <w:szCs w:val="24"/>
          <w:lang w:val="en-GB"/>
        </w:rPr>
        <w:t xml:space="preserve"> 10 days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ab/>
      </w:r>
      <w:r w:rsidRPr="001D7B09">
        <w:rPr>
          <w:rFonts w:ascii="Times New Roman" w:hAnsi="Times New Roman" w:cs="Times New Roman"/>
          <w:sz w:val="24"/>
          <w:szCs w:val="24"/>
          <w:lang w:val="en-GB"/>
        </w:rPr>
        <w:tab/>
      </w:r>
      <w:r w:rsidRPr="001D7B09">
        <w:rPr>
          <w:rFonts w:ascii="Times New Roman" w:hAnsi="Times New Roman" w:cs="Times New Roman"/>
          <w:sz w:val="24"/>
          <w:szCs w:val="24"/>
          <w:lang w:val="en-GB"/>
        </w:rPr>
        <w:tab/>
        <w:t xml:space="preserve">       </w:t>
      </w:r>
      <w:proofErr w:type="spellStart"/>
      <w:r w:rsidRPr="001D7B09">
        <w:rPr>
          <w:rFonts w:ascii="Times New Roman" w:hAnsi="Times New Roman" w:cs="Times New Roman"/>
          <w:sz w:val="24"/>
          <w:szCs w:val="24"/>
          <w:lang w:val="en-GB"/>
        </w:rPr>
        <w:t>Amoxycillin</w:t>
      </w:r>
      <w:proofErr w:type="spellEnd"/>
      <w:r w:rsidRPr="001D7B09">
        <w:rPr>
          <w:rFonts w:ascii="Times New Roman" w:hAnsi="Times New Roman" w:cs="Times New Roman"/>
          <w:sz w:val="24"/>
          <w:szCs w:val="24"/>
          <w:lang w:val="en-GB"/>
        </w:rPr>
        <w:t xml:space="preserve"> 1000mg TD</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ab/>
      </w:r>
      <w:r w:rsidRPr="001D7B09">
        <w:rPr>
          <w:rFonts w:ascii="Times New Roman" w:hAnsi="Times New Roman" w:cs="Times New Roman"/>
          <w:sz w:val="24"/>
          <w:szCs w:val="24"/>
          <w:lang w:val="en-GB"/>
        </w:rPr>
        <w:tab/>
      </w:r>
      <w:r w:rsidRPr="001D7B09">
        <w:rPr>
          <w:rFonts w:ascii="Times New Roman" w:hAnsi="Times New Roman" w:cs="Times New Roman"/>
          <w:sz w:val="24"/>
          <w:szCs w:val="24"/>
          <w:lang w:val="en-GB"/>
        </w:rPr>
        <w:tab/>
        <w:t xml:space="preserve">       Clarithromycin 500 mg TD for 10-14 days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Gastric Ulcer-</w:t>
      </w:r>
      <w:r w:rsidRPr="001D7B09">
        <w:rPr>
          <w:rFonts w:ascii="Times New Roman" w:hAnsi="Times New Roman" w:cs="Times New Roman"/>
          <w:sz w:val="24"/>
          <w:szCs w:val="24"/>
          <w:lang w:val="en-GB"/>
        </w:rPr>
        <w:t xml:space="preserve"> 40mg orally </w:t>
      </w:r>
      <w:r w:rsidR="001D7B09" w:rsidRPr="001D7B09">
        <w:rPr>
          <w:rFonts w:ascii="Times New Roman" w:hAnsi="Times New Roman" w:cs="Times New Roman"/>
          <w:sz w:val="24"/>
          <w:szCs w:val="24"/>
          <w:lang w:val="en-GB"/>
        </w:rPr>
        <w:t>every day</w:t>
      </w:r>
      <w:r w:rsidRPr="001D7B09">
        <w:rPr>
          <w:rFonts w:ascii="Times New Roman" w:hAnsi="Times New Roman" w:cs="Times New Roman"/>
          <w:sz w:val="24"/>
          <w:szCs w:val="24"/>
          <w:lang w:val="en-GB"/>
        </w:rPr>
        <w:t xml:space="preserve"> for 4-8 weeks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GERD-</w:t>
      </w:r>
      <w:r w:rsidRPr="001D7B09">
        <w:rPr>
          <w:rFonts w:ascii="Times New Roman" w:hAnsi="Times New Roman" w:cs="Times New Roman"/>
          <w:sz w:val="24"/>
          <w:szCs w:val="24"/>
          <w:lang w:val="en-GB"/>
        </w:rPr>
        <w:t xml:space="preserve"> Adults: 20mg orally </w:t>
      </w:r>
      <w:r w:rsidR="001D7B09" w:rsidRPr="001D7B09">
        <w:rPr>
          <w:rFonts w:ascii="Times New Roman" w:hAnsi="Times New Roman" w:cs="Times New Roman"/>
          <w:sz w:val="24"/>
          <w:szCs w:val="24"/>
          <w:lang w:val="en-GB"/>
        </w:rPr>
        <w:t>every day</w:t>
      </w:r>
      <w:r w:rsidRPr="001D7B09">
        <w:rPr>
          <w:rFonts w:ascii="Times New Roman" w:hAnsi="Times New Roman" w:cs="Times New Roman"/>
          <w:sz w:val="24"/>
          <w:szCs w:val="24"/>
          <w:lang w:val="en-GB"/>
        </w:rPr>
        <w:t xml:space="preserve"> for 4 weeks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w:t>
      </w:r>
      <w:r w:rsidR="001D7B09" w:rsidRPr="001D7B09">
        <w:rPr>
          <w:rFonts w:ascii="Times New Roman" w:hAnsi="Times New Roman" w:cs="Times New Roman"/>
          <w:sz w:val="24"/>
          <w:szCs w:val="24"/>
          <w:lang w:val="en-GB"/>
        </w:rPr>
        <w:t>Children between</w:t>
      </w:r>
      <w:r w:rsidRPr="001D7B09">
        <w:rPr>
          <w:rFonts w:ascii="Times New Roman" w:hAnsi="Times New Roman" w:cs="Times New Roman"/>
          <w:sz w:val="24"/>
          <w:szCs w:val="24"/>
          <w:lang w:val="en-GB"/>
        </w:rPr>
        <w:t xml:space="preserve"> 5-10 KG: 5mg orally OD </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Children be</w:t>
      </w:r>
      <w:r w:rsidRPr="001D7B09">
        <w:rPr>
          <w:rFonts w:ascii="Times New Roman" w:hAnsi="Times New Roman" w:cs="Times New Roman"/>
          <w:sz w:val="24"/>
          <w:szCs w:val="24"/>
          <w:lang w:val="en-GB"/>
        </w:rPr>
        <w:t>tween 10-20Kg: 10mg orally OD</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Children greater than 20KG: 20mg orally OD</w:t>
      </w:r>
    </w:p>
    <w:p w:rsidR="0053164A" w:rsidRPr="001D7B09" w:rsidRDefault="004F22A9">
      <w:pPr>
        <w:rPr>
          <w:rFonts w:ascii="Times New Roman" w:hAnsi="Times New Roman" w:cs="Times New Roman"/>
          <w:i/>
          <w:iCs/>
          <w:sz w:val="24"/>
          <w:szCs w:val="24"/>
          <w:lang w:val="en-GB"/>
        </w:rPr>
      </w:pPr>
      <w:r w:rsidRPr="001D7B09">
        <w:rPr>
          <w:rFonts w:ascii="Times New Roman" w:hAnsi="Times New Roman" w:cs="Times New Roman"/>
          <w:i/>
          <w:iCs/>
          <w:sz w:val="24"/>
          <w:szCs w:val="24"/>
          <w:lang w:val="en-GB"/>
        </w:rPr>
        <w:t>Erosive esophagitis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Adult</w:t>
      </w:r>
      <w:proofErr w:type="gramStart"/>
      <w:r w:rsidRPr="001D7B09">
        <w:rPr>
          <w:rFonts w:ascii="Times New Roman" w:hAnsi="Times New Roman" w:cs="Times New Roman"/>
          <w:i/>
          <w:iCs/>
          <w:sz w:val="24"/>
          <w:szCs w:val="24"/>
          <w:lang w:val="en-GB"/>
        </w:rPr>
        <w:t>:</w:t>
      </w:r>
      <w:r w:rsidRPr="001D7B09">
        <w:rPr>
          <w:rFonts w:ascii="Times New Roman" w:hAnsi="Times New Roman" w:cs="Times New Roman"/>
          <w:sz w:val="24"/>
          <w:szCs w:val="24"/>
          <w:lang w:val="en-GB"/>
        </w:rPr>
        <w:t>20mg</w:t>
      </w:r>
      <w:proofErr w:type="gramEnd"/>
      <w:r w:rsidRPr="001D7B09">
        <w:rPr>
          <w:rFonts w:ascii="Times New Roman" w:hAnsi="Times New Roman" w:cs="Times New Roman"/>
          <w:sz w:val="24"/>
          <w:szCs w:val="24"/>
          <w:lang w:val="en-GB"/>
        </w:rPr>
        <w:t xml:space="preserve"> orally </w:t>
      </w:r>
      <w:r w:rsidR="001D7B09" w:rsidRPr="001D7B09">
        <w:rPr>
          <w:rFonts w:ascii="Times New Roman" w:hAnsi="Times New Roman" w:cs="Times New Roman"/>
          <w:sz w:val="24"/>
          <w:szCs w:val="24"/>
          <w:lang w:val="en-GB"/>
        </w:rPr>
        <w:t>every day</w:t>
      </w:r>
      <w:r w:rsidRPr="001D7B09">
        <w:rPr>
          <w:rFonts w:ascii="Times New Roman" w:hAnsi="Times New Roman" w:cs="Times New Roman"/>
          <w:sz w:val="24"/>
          <w:szCs w:val="24"/>
          <w:lang w:val="en-GB"/>
        </w:rPr>
        <w:t xml:space="preserve"> for 4-8 weeks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Maintenance: 20mg orally daily for 1 year</w:t>
      </w:r>
    </w:p>
    <w:p w:rsidR="0053164A" w:rsidRPr="001D7B09" w:rsidRDefault="004F22A9">
      <w:pPr>
        <w:rPr>
          <w:rFonts w:ascii="Times New Roman" w:hAnsi="Times New Roman" w:cs="Times New Roman"/>
          <w:i/>
          <w:iCs/>
          <w:sz w:val="24"/>
          <w:szCs w:val="24"/>
          <w:lang w:val="en-GB"/>
        </w:rPr>
      </w:pPr>
      <w:proofErr w:type="spellStart"/>
      <w:r w:rsidRPr="001D7B09">
        <w:rPr>
          <w:rFonts w:ascii="Times New Roman" w:hAnsi="Times New Roman" w:cs="Times New Roman"/>
          <w:i/>
          <w:iCs/>
          <w:sz w:val="24"/>
          <w:szCs w:val="24"/>
          <w:lang w:val="en-GB"/>
        </w:rPr>
        <w:t>Pediatric</w:t>
      </w:r>
      <w:proofErr w:type="spellEnd"/>
      <w:r w:rsidRPr="001D7B09">
        <w:rPr>
          <w:rFonts w:ascii="Times New Roman" w:hAnsi="Times New Roman" w:cs="Times New Roman"/>
          <w:i/>
          <w:iCs/>
          <w:sz w:val="24"/>
          <w:szCs w:val="24"/>
          <w:lang w:val="en-GB"/>
        </w:rPr>
        <w:t xml:space="preserve"> Treatment</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Children over one month to over 1 y</w:t>
      </w:r>
      <w:r w:rsidRPr="001D7B09">
        <w:rPr>
          <w:rFonts w:ascii="Times New Roman" w:hAnsi="Times New Roman" w:cs="Times New Roman"/>
          <w:sz w:val="24"/>
          <w:szCs w:val="24"/>
          <w:lang w:val="en-GB"/>
        </w:rPr>
        <w:t>ear: 3-5KG- 2.5mg once daily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5-10KG- 5mg once daily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 xml:space="preserve">                                                                           10KG or greater- 10mg once daily</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i/>
          <w:iCs/>
          <w:sz w:val="24"/>
          <w:szCs w:val="24"/>
          <w:lang w:val="en-GB"/>
        </w:rPr>
        <w:t>Refractory duodenal Ul</w:t>
      </w:r>
      <w:r w:rsidRPr="001D7B09">
        <w:rPr>
          <w:rFonts w:ascii="Times New Roman" w:hAnsi="Times New Roman" w:cs="Times New Roman"/>
          <w:i/>
          <w:iCs/>
          <w:sz w:val="24"/>
          <w:szCs w:val="24"/>
          <w:lang w:val="en-GB"/>
        </w:rPr>
        <w:t>cer</w:t>
      </w:r>
      <w:r w:rsidRPr="001D7B09">
        <w:rPr>
          <w:rFonts w:ascii="Times New Roman" w:hAnsi="Times New Roman" w:cs="Times New Roman"/>
          <w:sz w:val="24"/>
          <w:szCs w:val="24"/>
          <w:lang w:val="en-GB"/>
        </w:rPr>
        <w:t>: 0.5-1.5mg/kg once daily for 8 weeks</w:t>
      </w:r>
    </w:p>
    <w:p w:rsidR="0053164A" w:rsidRPr="001D7B09" w:rsidRDefault="004F22A9">
      <w:pPr>
        <w:rPr>
          <w:rFonts w:ascii="Times New Roman" w:hAnsi="Times New Roman" w:cs="Times New Roman"/>
          <w:sz w:val="24"/>
          <w:szCs w:val="24"/>
          <w:lang w:val="en-GB"/>
        </w:rPr>
      </w:pPr>
      <w:proofErr w:type="spellStart"/>
      <w:r w:rsidRPr="001D7B09">
        <w:rPr>
          <w:rFonts w:ascii="Times New Roman" w:hAnsi="Times New Roman" w:cs="Times New Roman"/>
          <w:i/>
          <w:iCs/>
          <w:sz w:val="24"/>
          <w:szCs w:val="24"/>
          <w:lang w:val="en-GB"/>
        </w:rPr>
        <w:t>Zollinger-Elinson</w:t>
      </w:r>
      <w:proofErr w:type="spellEnd"/>
      <w:r w:rsidRPr="001D7B09">
        <w:rPr>
          <w:rFonts w:ascii="Times New Roman" w:hAnsi="Times New Roman" w:cs="Times New Roman"/>
          <w:i/>
          <w:iCs/>
          <w:sz w:val="24"/>
          <w:szCs w:val="24"/>
          <w:lang w:val="en-GB"/>
        </w:rPr>
        <w:t xml:space="preserve"> </w:t>
      </w:r>
      <w:proofErr w:type="spellStart"/>
      <w:r w:rsidRPr="001D7B09">
        <w:rPr>
          <w:rFonts w:ascii="Times New Roman" w:hAnsi="Times New Roman" w:cs="Times New Roman"/>
          <w:i/>
          <w:iCs/>
          <w:sz w:val="24"/>
          <w:szCs w:val="24"/>
          <w:lang w:val="en-GB"/>
        </w:rPr>
        <w:t>Synrdrome</w:t>
      </w:r>
      <w:proofErr w:type="spellEnd"/>
      <w:r w:rsidRPr="001D7B09">
        <w:rPr>
          <w:rFonts w:ascii="Times New Roman" w:hAnsi="Times New Roman" w:cs="Times New Roman"/>
          <w:i/>
          <w:iCs/>
          <w:sz w:val="24"/>
          <w:szCs w:val="24"/>
          <w:lang w:val="en-GB"/>
        </w:rPr>
        <w:t>:</w:t>
      </w:r>
      <w:r w:rsidRPr="001D7B09">
        <w:rPr>
          <w:rFonts w:ascii="Times New Roman" w:hAnsi="Times New Roman" w:cs="Times New Roman"/>
          <w:sz w:val="24"/>
          <w:szCs w:val="24"/>
          <w:lang w:val="en-GB"/>
        </w:rPr>
        <w:t xml:space="preserve"> 60mg orally daily as an initial dose and up to 360 mg/day divides across 8 hours</w:t>
      </w:r>
    </w:p>
    <w:p w:rsidR="0053164A" w:rsidRPr="001D7B09" w:rsidRDefault="004F22A9">
      <w:pPr>
        <w:rPr>
          <w:rFonts w:ascii="Times New Roman" w:hAnsi="Times New Roman" w:cs="Times New Roman"/>
          <w:sz w:val="24"/>
          <w:szCs w:val="24"/>
          <w:lang w:val="en-GB"/>
        </w:rPr>
      </w:pPr>
      <w:r w:rsidRPr="001D7B09">
        <w:rPr>
          <w:rFonts w:ascii="Times New Roman" w:hAnsi="Times New Roman" w:cs="Times New Roman"/>
          <w:sz w:val="24"/>
          <w:szCs w:val="24"/>
          <w:lang w:val="en-GB"/>
        </w:rPr>
        <w:t>Therapy should not extend 12 months for children under one year</w:t>
      </w:r>
    </w:p>
    <w:p w:rsidR="0053164A" w:rsidRPr="001D7B09" w:rsidRDefault="0053164A">
      <w:pPr>
        <w:rPr>
          <w:rFonts w:ascii="Times New Roman" w:hAnsi="Times New Roman" w:cs="Times New Roman"/>
          <w:sz w:val="24"/>
          <w:szCs w:val="24"/>
          <w:lang w:val="en-GB"/>
        </w:rPr>
      </w:pPr>
      <w:bookmarkStart w:id="0" w:name="_GoBack"/>
      <w:bookmarkEnd w:id="0"/>
    </w:p>
    <w:sectPr w:rsidR="0053164A" w:rsidRPr="001D7B09">
      <w:headerReference w:type="default" r:id="rId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2A9" w:rsidRDefault="004F22A9">
      <w:r>
        <w:separator/>
      </w:r>
    </w:p>
  </w:endnote>
  <w:endnote w:type="continuationSeparator" w:id="0">
    <w:p w:rsidR="004F22A9" w:rsidRDefault="004F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2A9" w:rsidRDefault="004F22A9">
      <w:r>
        <w:separator/>
      </w:r>
    </w:p>
  </w:footnote>
  <w:footnote w:type="continuationSeparator" w:id="0">
    <w:p w:rsidR="004F22A9" w:rsidRDefault="004F2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64A" w:rsidRDefault="004F22A9">
    <w:pPr>
      <w:pStyle w:val="Header"/>
      <w:jc w:val="center"/>
      <w:rPr>
        <w:b/>
        <w:bCs/>
        <w:u w:val="single"/>
      </w:rPr>
    </w:pPr>
    <w:r>
      <w:rPr>
        <w:b/>
        <w:bCs/>
        <w:u w:val="single"/>
        <w:lang w:val="en-GB"/>
      </w:rPr>
      <w:t>MEDICATION FORMULA AND EMS USAGE ASSIGNMENT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76184A"/>
    <w:rsid w:val="001D7B09"/>
    <w:rsid w:val="004F22A9"/>
    <w:rsid w:val="0053164A"/>
    <w:rsid w:val="080941C8"/>
    <w:rsid w:val="39E135D3"/>
    <w:rsid w:val="4DD52C6C"/>
    <w:rsid w:val="5898416E"/>
    <w:rsid w:val="5976184A"/>
    <w:rsid w:val="6ACE2D7E"/>
    <w:rsid w:val="796D3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2021-04-05T23:55:00Z</dcterms:created>
  <dcterms:modified xsi:type="dcterms:W3CDTF">2021-04-05T23:55:00Z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