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0A336" w14:textId="2322E0DF" w:rsidR="0053402D" w:rsidRDefault="0053402D" w:rsidP="00136296">
      <w:pPr>
        <w:spacing w:line="480" w:lineRule="auto"/>
        <w:jc w:val="center"/>
        <w:rPr>
          <w:rFonts w:ascii="Times New Roman" w:hAnsi="Times New Roman" w:cs="Times New Roman"/>
          <w:sz w:val="24"/>
          <w:szCs w:val="24"/>
        </w:rPr>
      </w:pPr>
    </w:p>
    <w:p w14:paraId="0C19987E" w14:textId="4CFBC635" w:rsidR="0053402D" w:rsidRDefault="0053402D" w:rsidP="00136296">
      <w:pPr>
        <w:spacing w:line="480" w:lineRule="auto"/>
        <w:jc w:val="center"/>
        <w:rPr>
          <w:rFonts w:ascii="Times New Roman" w:hAnsi="Times New Roman" w:cs="Times New Roman"/>
          <w:sz w:val="24"/>
          <w:szCs w:val="24"/>
        </w:rPr>
      </w:pPr>
    </w:p>
    <w:p w14:paraId="4F9EFEF4" w14:textId="77777777" w:rsidR="0053402D" w:rsidRDefault="0053402D" w:rsidP="00136296">
      <w:pPr>
        <w:spacing w:line="480" w:lineRule="auto"/>
        <w:rPr>
          <w:rFonts w:ascii="Times New Roman" w:hAnsi="Times New Roman" w:cs="Times New Roman"/>
          <w:sz w:val="24"/>
          <w:szCs w:val="24"/>
        </w:rPr>
      </w:pPr>
    </w:p>
    <w:p w14:paraId="276DD1F1" w14:textId="3B1BD52E" w:rsidR="0053402D" w:rsidRDefault="0053402D" w:rsidP="00136296">
      <w:pPr>
        <w:spacing w:line="480" w:lineRule="auto"/>
        <w:jc w:val="center"/>
        <w:rPr>
          <w:rFonts w:ascii="Times New Roman" w:hAnsi="Times New Roman" w:cs="Times New Roman"/>
          <w:sz w:val="24"/>
          <w:szCs w:val="24"/>
        </w:rPr>
      </w:pPr>
    </w:p>
    <w:p w14:paraId="35CE1C41" w14:textId="3F1EBB96" w:rsidR="0053402D" w:rsidRDefault="0053402D" w:rsidP="00136296">
      <w:pPr>
        <w:spacing w:line="480" w:lineRule="auto"/>
        <w:jc w:val="center"/>
        <w:rPr>
          <w:rFonts w:ascii="Times New Roman" w:hAnsi="Times New Roman" w:cs="Times New Roman"/>
          <w:sz w:val="24"/>
          <w:szCs w:val="24"/>
        </w:rPr>
      </w:pPr>
    </w:p>
    <w:p w14:paraId="190F3865" w14:textId="65F9D604" w:rsidR="0053402D" w:rsidRDefault="0053402D" w:rsidP="00136296">
      <w:pPr>
        <w:spacing w:line="480" w:lineRule="auto"/>
        <w:jc w:val="center"/>
        <w:rPr>
          <w:rFonts w:ascii="Times New Roman" w:hAnsi="Times New Roman" w:cs="Times New Roman"/>
          <w:sz w:val="24"/>
          <w:szCs w:val="24"/>
        </w:rPr>
      </w:pPr>
      <w:r>
        <w:rPr>
          <w:rFonts w:ascii="Times New Roman" w:hAnsi="Times New Roman" w:cs="Times New Roman"/>
          <w:sz w:val="24"/>
          <w:szCs w:val="24"/>
        </w:rPr>
        <w:t>Accounting</w:t>
      </w:r>
    </w:p>
    <w:p w14:paraId="3C9451A9" w14:textId="210DA40D" w:rsidR="0053402D" w:rsidRDefault="0053402D" w:rsidP="00136296">
      <w:pPr>
        <w:spacing w:line="480" w:lineRule="auto"/>
        <w:jc w:val="center"/>
        <w:rPr>
          <w:rFonts w:ascii="Times New Roman" w:hAnsi="Times New Roman" w:cs="Times New Roman"/>
          <w:sz w:val="24"/>
          <w:szCs w:val="24"/>
        </w:rPr>
      </w:pPr>
    </w:p>
    <w:p w14:paraId="235B5087" w14:textId="012D21AA" w:rsidR="0053402D" w:rsidRDefault="0053402D" w:rsidP="00136296">
      <w:pPr>
        <w:spacing w:line="480" w:lineRule="auto"/>
        <w:jc w:val="center"/>
        <w:rPr>
          <w:rFonts w:ascii="Times New Roman" w:hAnsi="Times New Roman" w:cs="Times New Roman"/>
          <w:sz w:val="24"/>
          <w:szCs w:val="24"/>
        </w:rPr>
      </w:pPr>
    </w:p>
    <w:p w14:paraId="3B712956" w14:textId="7F4B9305" w:rsidR="0053402D" w:rsidRDefault="0053402D" w:rsidP="00136296">
      <w:pPr>
        <w:spacing w:line="480" w:lineRule="auto"/>
        <w:jc w:val="center"/>
        <w:rPr>
          <w:rFonts w:ascii="Times New Roman" w:hAnsi="Times New Roman" w:cs="Times New Roman"/>
          <w:sz w:val="24"/>
          <w:szCs w:val="24"/>
        </w:rPr>
      </w:pPr>
    </w:p>
    <w:p w14:paraId="115416C3" w14:textId="61F9F8B3" w:rsidR="0053402D" w:rsidRDefault="0053402D" w:rsidP="00136296">
      <w:pPr>
        <w:spacing w:line="480" w:lineRule="auto"/>
        <w:jc w:val="center"/>
        <w:rPr>
          <w:rFonts w:ascii="Times New Roman" w:hAnsi="Times New Roman" w:cs="Times New Roman"/>
          <w:sz w:val="24"/>
          <w:szCs w:val="24"/>
        </w:rPr>
      </w:pPr>
    </w:p>
    <w:p w14:paraId="4DC6DE44" w14:textId="6149BE7A" w:rsidR="0053402D" w:rsidRDefault="0053402D" w:rsidP="00136296">
      <w:pPr>
        <w:spacing w:line="480" w:lineRule="auto"/>
        <w:jc w:val="center"/>
        <w:rPr>
          <w:rFonts w:ascii="Times New Roman" w:hAnsi="Times New Roman" w:cs="Times New Roman"/>
          <w:sz w:val="24"/>
          <w:szCs w:val="24"/>
        </w:rPr>
      </w:pPr>
    </w:p>
    <w:p w14:paraId="651D3E1D" w14:textId="68E3BD8D" w:rsidR="0053402D" w:rsidRDefault="0053402D" w:rsidP="0013629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03EBB4D9" w14:textId="5C00A5B7" w:rsidR="0053402D" w:rsidRDefault="0053402D" w:rsidP="0013629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1FE23DEA" w14:textId="279CA09D" w:rsidR="0053402D" w:rsidRDefault="0053402D" w:rsidP="0013629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ECA5D6F" w14:textId="21A7AF5C" w:rsidR="0053402D" w:rsidRDefault="0053402D" w:rsidP="001362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8FF124C" w14:textId="2C6DB817" w:rsidR="0053402D" w:rsidRDefault="0053402D" w:rsidP="0013629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8CDB928" w14:textId="77777777" w:rsidR="00906CC3" w:rsidRPr="00906CC3" w:rsidRDefault="00906CC3" w:rsidP="00136296">
      <w:pPr>
        <w:spacing w:line="480" w:lineRule="auto"/>
        <w:ind w:firstLine="720"/>
        <w:rPr>
          <w:rFonts w:ascii="Times New Roman" w:hAnsi="Times New Roman" w:cs="Times New Roman"/>
          <w:sz w:val="24"/>
          <w:szCs w:val="24"/>
        </w:rPr>
      </w:pPr>
      <w:r w:rsidRPr="00906CC3">
        <w:rPr>
          <w:rFonts w:ascii="Times New Roman" w:hAnsi="Times New Roman" w:cs="Times New Roman"/>
          <w:sz w:val="24"/>
          <w:szCs w:val="24"/>
        </w:rPr>
        <w:lastRenderedPageBreak/>
        <w:t>Fresh-bake is a company that is behind the successful production of the Fresh-bake brand. The company was established with the main aim objective of manufacturing and distributing different types of baked products. The manager of that company is supposed to be well versed with cost behavior when it comes to creating an annual budget. Golden et al.,2020, points out that cost behavior serves as an indicator of the manner in which expenses are incurred in the business. When making an annual budget, the manager uses cost to anticipate whether expenses decline or rise. For instance, in the Fresh-Bake company, the expenses related to buying the flour will increase if there is a demand for more loaves of bread.</w:t>
      </w:r>
    </w:p>
    <w:p w14:paraId="07453888" w14:textId="77777777" w:rsidR="00906CC3" w:rsidRPr="00906CC3" w:rsidRDefault="00906CC3" w:rsidP="00136296">
      <w:pPr>
        <w:spacing w:line="480" w:lineRule="auto"/>
        <w:ind w:firstLine="720"/>
        <w:rPr>
          <w:rFonts w:ascii="Times New Roman" w:hAnsi="Times New Roman" w:cs="Times New Roman"/>
          <w:sz w:val="24"/>
          <w:szCs w:val="24"/>
        </w:rPr>
      </w:pPr>
      <w:r w:rsidRPr="00906CC3">
        <w:rPr>
          <w:rFonts w:ascii="Times New Roman" w:hAnsi="Times New Roman" w:cs="Times New Roman"/>
          <w:sz w:val="24"/>
          <w:szCs w:val="24"/>
        </w:rPr>
        <w:t xml:space="preserve">There are three types of cost behavior in managerial accounting. The first one is a variable cost, which is the cost that directly and proportionally increases with the increase of activity. Also, the amount of variable costs decreases with the decrease in activity. For instance, the cost of buying flour and packaging materials will decrease when there is a decrease in the demand for bread. Less demand for bread will lower the activity in the company. The second type of cost is fixed cost. Fixed cost amount is not dependent on the increase or decrease of activity in the company. Where there is an increase or decrease in activity, it remains the same. The example includes rental lease expenditure, insurance, salaries, and property taxes. The third type of cost is referred to as mixed or semi-variable costs (Novak et al., 2017). </w:t>
      </w:r>
    </w:p>
    <w:p w14:paraId="05967CC5" w14:textId="77777777" w:rsidR="00906CC3" w:rsidRPr="00906CC3" w:rsidRDefault="00906CC3" w:rsidP="00136296">
      <w:pPr>
        <w:spacing w:line="480" w:lineRule="auto"/>
        <w:ind w:firstLine="720"/>
        <w:rPr>
          <w:rFonts w:ascii="Times New Roman" w:hAnsi="Times New Roman" w:cs="Times New Roman"/>
          <w:sz w:val="24"/>
          <w:szCs w:val="24"/>
        </w:rPr>
      </w:pPr>
      <w:r w:rsidRPr="00906CC3">
        <w:rPr>
          <w:rFonts w:ascii="Times New Roman" w:hAnsi="Times New Roman" w:cs="Times New Roman"/>
          <w:sz w:val="24"/>
          <w:szCs w:val="24"/>
        </w:rPr>
        <w:t xml:space="preserve">Semi-variable costs are made of both the fixed costs and variable costs. They are partially fixed and partially variable. The variable portion is incurred depending on the volume of the activity while the portion of the fixed cost is incurred regardless of the volume of the activity. The manager of the company manipulates the level of the levels of the activity in a company to change the variable costs.  It is worth noting that a semi-variable cost with the reduced fixed cost is conducive to the profitability of a business. An example of semi-variable costs can be used in </w:t>
      </w:r>
      <w:r w:rsidRPr="00906CC3">
        <w:rPr>
          <w:rFonts w:ascii="Times New Roman" w:hAnsi="Times New Roman" w:cs="Times New Roman"/>
          <w:sz w:val="24"/>
          <w:szCs w:val="24"/>
        </w:rPr>
        <w:lastRenderedPageBreak/>
        <w:t xml:space="preserve">the line of production of loaves of bread. The costs of salary in the production of bread are fixed. However, if there are overtime and the need to increase more labor to produce more loaves of bread, the portion of variable costs incurred will include factor such as commission (Novak et al., 2017). </w:t>
      </w:r>
    </w:p>
    <w:p w14:paraId="083C12F7" w14:textId="793D505A" w:rsidR="0053402D" w:rsidRPr="00C638B9" w:rsidRDefault="00906CC3" w:rsidP="00136296">
      <w:pPr>
        <w:spacing w:line="480" w:lineRule="auto"/>
        <w:rPr>
          <w:rFonts w:ascii="Times New Roman" w:hAnsi="Times New Roman" w:cs="Times New Roman"/>
          <w:sz w:val="24"/>
          <w:szCs w:val="24"/>
        </w:rPr>
      </w:pPr>
      <w:r w:rsidRPr="00906CC3">
        <w:rPr>
          <w:rFonts w:ascii="Times New Roman" w:hAnsi="Times New Roman" w:cs="Times New Roman"/>
          <w:sz w:val="24"/>
          <w:szCs w:val="24"/>
        </w:rPr>
        <w:t xml:space="preserve">           Discretionary fixed costs are expenditures that are period-specific and can be minimized or eliminated without posing an immediate effect on the business profits. On the other hand, committed fixed are the expenses that cannot be excluded from the budget. They are the necessary expenditures that support the goods and services needed to run a business. Thus, the example of discretionary committed costs in the Fresh-bake industry will include costs for research and training employees while fixed committed costs will include costs for insurance costs and machinery costs. The other difference is that discretionary fixed costs require short time planning while committed costs require long-term planning. The reason why committed costs require long-term planning is that they have a direct impact on the future of the company while the other costs don’t have a direct impact. Lastly, avoiding or cutting down discretionary fixed costs for a lengthy period can negatively affect the competitiveness of the company. On the other hand, avoiding committed costs for a long period can lead to legal charges by the affected party (Amoah et al., 2018). </w:t>
      </w:r>
      <w:r w:rsidR="0053402D" w:rsidRPr="00C638B9">
        <w:rPr>
          <w:rFonts w:ascii="Times New Roman" w:hAnsi="Times New Roman" w:cs="Times New Roman"/>
          <w:sz w:val="24"/>
          <w:szCs w:val="24"/>
        </w:rPr>
        <w:br w:type="page"/>
      </w:r>
    </w:p>
    <w:p w14:paraId="1BD0BF48" w14:textId="2F258118" w:rsidR="0053402D" w:rsidRDefault="0053402D" w:rsidP="001362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CD6473E" w14:textId="14381BB5" w:rsidR="00906CC3" w:rsidRPr="00136296" w:rsidRDefault="00906CC3" w:rsidP="00136296">
      <w:pPr>
        <w:spacing w:line="480" w:lineRule="auto"/>
        <w:ind w:left="720" w:hanging="720"/>
        <w:rPr>
          <w:rFonts w:ascii="Times New Roman" w:hAnsi="Times New Roman" w:cs="Times New Roman"/>
          <w:color w:val="222222"/>
          <w:sz w:val="24"/>
          <w:szCs w:val="24"/>
          <w:shd w:val="clear" w:color="auto" w:fill="FFFFFF"/>
        </w:rPr>
      </w:pPr>
      <w:r w:rsidRPr="00136296">
        <w:rPr>
          <w:rFonts w:ascii="Times New Roman" w:hAnsi="Times New Roman" w:cs="Times New Roman"/>
          <w:color w:val="222222"/>
          <w:sz w:val="24"/>
          <w:szCs w:val="24"/>
          <w:shd w:val="clear" w:color="auto" w:fill="FFFFFF"/>
        </w:rPr>
        <w:t xml:space="preserve">Golden, J., </w:t>
      </w:r>
      <w:proofErr w:type="spellStart"/>
      <w:r w:rsidRPr="00136296">
        <w:rPr>
          <w:rFonts w:ascii="Times New Roman" w:hAnsi="Times New Roman" w:cs="Times New Roman"/>
          <w:color w:val="222222"/>
          <w:sz w:val="24"/>
          <w:szCs w:val="24"/>
          <w:shd w:val="clear" w:color="auto" w:fill="FFFFFF"/>
        </w:rPr>
        <w:t>Mashruwala</w:t>
      </w:r>
      <w:proofErr w:type="spellEnd"/>
      <w:r w:rsidRPr="00136296">
        <w:rPr>
          <w:rFonts w:ascii="Times New Roman" w:hAnsi="Times New Roman" w:cs="Times New Roman"/>
          <w:color w:val="222222"/>
          <w:sz w:val="24"/>
          <w:szCs w:val="24"/>
          <w:shd w:val="clear" w:color="auto" w:fill="FFFFFF"/>
        </w:rPr>
        <w:t xml:space="preserve">, R., &amp; </w:t>
      </w:r>
      <w:proofErr w:type="spellStart"/>
      <w:r w:rsidRPr="00136296">
        <w:rPr>
          <w:rFonts w:ascii="Times New Roman" w:hAnsi="Times New Roman" w:cs="Times New Roman"/>
          <w:color w:val="222222"/>
          <w:sz w:val="24"/>
          <w:szCs w:val="24"/>
          <w:shd w:val="clear" w:color="auto" w:fill="FFFFFF"/>
        </w:rPr>
        <w:t>Pevzner</w:t>
      </w:r>
      <w:proofErr w:type="spellEnd"/>
      <w:r w:rsidRPr="00136296">
        <w:rPr>
          <w:rFonts w:ascii="Times New Roman" w:hAnsi="Times New Roman" w:cs="Times New Roman"/>
          <w:color w:val="222222"/>
          <w:sz w:val="24"/>
          <w:szCs w:val="24"/>
          <w:shd w:val="clear" w:color="auto" w:fill="FFFFFF"/>
        </w:rPr>
        <w:t>, M. (2020). Labor adjustment costs and asymmetric cost behavior: An extension. </w:t>
      </w:r>
      <w:r w:rsidRPr="00136296">
        <w:rPr>
          <w:rFonts w:ascii="Times New Roman" w:hAnsi="Times New Roman" w:cs="Times New Roman"/>
          <w:i/>
          <w:iCs/>
          <w:color w:val="222222"/>
          <w:sz w:val="24"/>
          <w:szCs w:val="24"/>
          <w:shd w:val="clear" w:color="auto" w:fill="FFFFFF"/>
        </w:rPr>
        <w:t>Management Accounting Research</w:t>
      </w:r>
      <w:r w:rsidRPr="00136296">
        <w:rPr>
          <w:rFonts w:ascii="Times New Roman" w:hAnsi="Times New Roman" w:cs="Times New Roman"/>
          <w:color w:val="222222"/>
          <w:sz w:val="24"/>
          <w:szCs w:val="24"/>
          <w:shd w:val="clear" w:color="auto" w:fill="FFFFFF"/>
        </w:rPr>
        <w:t>, </w:t>
      </w:r>
      <w:r w:rsidRPr="00136296">
        <w:rPr>
          <w:rFonts w:ascii="Times New Roman" w:hAnsi="Times New Roman" w:cs="Times New Roman"/>
          <w:i/>
          <w:iCs/>
          <w:color w:val="222222"/>
          <w:sz w:val="24"/>
          <w:szCs w:val="24"/>
          <w:shd w:val="clear" w:color="auto" w:fill="FFFFFF"/>
        </w:rPr>
        <w:t>46</w:t>
      </w:r>
      <w:r w:rsidRPr="00136296">
        <w:rPr>
          <w:rFonts w:ascii="Times New Roman" w:hAnsi="Times New Roman" w:cs="Times New Roman"/>
          <w:color w:val="222222"/>
          <w:sz w:val="24"/>
          <w:szCs w:val="24"/>
          <w:shd w:val="clear" w:color="auto" w:fill="FFFFFF"/>
        </w:rPr>
        <w:t>, 100647.</w:t>
      </w:r>
    </w:p>
    <w:p w14:paraId="478B98A4" w14:textId="40409524" w:rsidR="00906CC3" w:rsidRPr="00136296" w:rsidRDefault="00906CC3" w:rsidP="00136296">
      <w:pPr>
        <w:spacing w:line="480" w:lineRule="auto"/>
        <w:ind w:left="720" w:hanging="720"/>
        <w:rPr>
          <w:rFonts w:ascii="Times New Roman" w:hAnsi="Times New Roman" w:cs="Times New Roman"/>
          <w:color w:val="222222"/>
          <w:sz w:val="24"/>
          <w:szCs w:val="24"/>
          <w:shd w:val="clear" w:color="auto" w:fill="FFFFFF"/>
        </w:rPr>
      </w:pPr>
      <w:proofErr w:type="spellStart"/>
      <w:r w:rsidRPr="00136296">
        <w:rPr>
          <w:rFonts w:ascii="Times New Roman" w:hAnsi="Times New Roman" w:cs="Times New Roman"/>
          <w:color w:val="222222"/>
          <w:sz w:val="24"/>
          <w:szCs w:val="24"/>
          <w:shd w:val="clear" w:color="auto" w:fill="FFFFFF"/>
        </w:rPr>
        <w:t>Novák</w:t>
      </w:r>
      <w:proofErr w:type="spellEnd"/>
      <w:r w:rsidRPr="00136296">
        <w:rPr>
          <w:rFonts w:ascii="Times New Roman" w:hAnsi="Times New Roman" w:cs="Times New Roman"/>
          <w:color w:val="222222"/>
          <w:sz w:val="24"/>
          <w:szCs w:val="24"/>
          <w:shd w:val="clear" w:color="auto" w:fill="FFFFFF"/>
        </w:rPr>
        <w:t xml:space="preserve">, P., </w:t>
      </w:r>
      <w:proofErr w:type="spellStart"/>
      <w:r w:rsidRPr="00136296">
        <w:rPr>
          <w:rFonts w:ascii="Times New Roman" w:hAnsi="Times New Roman" w:cs="Times New Roman"/>
          <w:color w:val="222222"/>
          <w:sz w:val="24"/>
          <w:szCs w:val="24"/>
          <w:shd w:val="clear" w:color="auto" w:fill="FFFFFF"/>
        </w:rPr>
        <w:t>Dvorský</w:t>
      </w:r>
      <w:proofErr w:type="spellEnd"/>
      <w:r w:rsidRPr="00136296">
        <w:rPr>
          <w:rFonts w:ascii="Times New Roman" w:hAnsi="Times New Roman" w:cs="Times New Roman"/>
          <w:color w:val="222222"/>
          <w:sz w:val="24"/>
          <w:szCs w:val="24"/>
          <w:shd w:val="clear" w:color="auto" w:fill="FFFFFF"/>
        </w:rPr>
        <w:t xml:space="preserve">, J., </w:t>
      </w:r>
      <w:proofErr w:type="spellStart"/>
      <w:r w:rsidRPr="00136296">
        <w:rPr>
          <w:rFonts w:ascii="Times New Roman" w:hAnsi="Times New Roman" w:cs="Times New Roman"/>
          <w:color w:val="222222"/>
          <w:sz w:val="24"/>
          <w:szCs w:val="24"/>
          <w:shd w:val="clear" w:color="auto" w:fill="FFFFFF"/>
        </w:rPr>
        <w:t>Popesko</w:t>
      </w:r>
      <w:proofErr w:type="spellEnd"/>
      <w:r w:rsidRPr="00136296">
        <w:rPr>
          <w:rFonts w:ascii="Times New Roman" w:hAnsi="Times New Roman" w:cs="Times New Roman"/>
          <w:color w:val="222222"/>
          <w:sz w:val="24"/>
          <w:szCs w:val="24"/>
          <w:shd w:val="clear" w:color="auto" w:fill="FFFFFF"/>
        </w:rPr>
        <w:t>, B., &amp; Strouhal, J. (2017). Analysis of overhead cost behavior: case study on decision-making approach. </w:t>
      </w:r>
      <w:r w:rsidRPr="00136296">
        <w:rPr>
          <w:rFonts w:ascii="Times New Roman" w:hAnsi="Times New Roman" w:cs="Times New Roman"/>
          <w:i/>
          <w:iCs/>
          <w:color w:val="222222"/>
          <w:sz w:val="24"/>
          <w:szCs w:val="24"/>
          <w:shd w:val="clear" w:color="auto" w:fill="FFFFFF"/>
        </w:rPr>
        <w:t>Journal of International Studies</w:t>
      </w:r>
      <w:r w:rsidRPr="00136296">
        <w:rPr>
          <w:rFonts w:ascii="Times New Roman" w:hAnsi="Times New Roman" w:cs="Times New Roman"/>
          <w:color w:val="222222"/>
          <w:sz w:val="24"/>
          <w:szCs w:val="24"/>
          <w:shd w:val="clear" w:color="auto" w:fill="FFFFFF"/>
        </w:rPr>
        <w:t>.</w:t>
      </w:r>
    </w:p>
    <w:p w14:paraId="08A65714" w14:textId="6D16B320" w:rsidR="00906CC3" w:rsidRPr="00136296" w:rsidRDefault="00906CC3" w:rsidP="00136296">
      <w:pPr>
        <w:spacing w:line="480" w:lineRule="auto"/>
        <w:ind w:left="720" w:hanging="720"/>
        <w:rPr>
          <w:rFonts w:ascii="Times New Roman" w:hAnsi="Times New Roman" w:cs="Times New Roman"/>
          <w:color w:val="222222"/>
          <w:sz w:val="24"/>
          <w:szCs w:val="24"/>
          <w:shd w:val="clear" w:color="auto" w:fill="FFFFFF"/>
        </w:rPr>
      </w:pPr>
      <w:r w:rsidRPr="00136296">
        <w:rPr>
          <w:rFonts w:ascii="Times New Roman" w:hAnsi="Times New Roman" w:cs="Times New Roman"/>
          <w:color w:val="222222"/>
          <w:sz w:val="24"/>
          <w:szCs w:val="24"/>
          <w:shd w:val="clear" w:color="auto" w:fill="FFFFFF"/>
        </w:rPr>
        <w:t>Amoah, B., Ohene-</w:t>
      </w:r>
      <w:proofErr w:type="spellStart"/>
      <w:r w:rsidRPr="00136296">
        <w:rPr>
          <w:rFonts w:ascii="Times New Roman" w:hAnsi="Times New Roman" w:cs="Times New Roman"/>
          <w:color w:val="222222"/>
          <w:sz w:val="24"/>
          <w:szCs w:val="24"/>
          <w:shd w:val="clear" w:color="auto" w:fill="FFFFFF"/>
        </w:rPr>
        <w:t>Asare</w:t>
      </w:r>
      <w:proofErr w:type="spellEnd"/>
      <w:r w:rsidRPr="00136296">
        <w:rPr>
          <w:rFonts w:ascii="Times New Roman" w:hAnsi="Times New Roman" w:cs="Times New Roman"/>
          <w:color w:val="222222"/>
          <w:sz w:val="24"/>
          <w:szCs w:val="24"/>
          <w:shd w:val="clear" w:color="auto" w:fill="FFFFFF"/>
        </w:rPr>
        <w:t xml:space="preserve">, K., </w:t>
      </w:r>
      <w:proofErr w:type="spellStart"/>
      <w:r w:rsidRPr="00136296">
        <w:rPr>
          <w:rFonts w:ascii="Times New Roman" w:hAnsi="Times New Roman" w:cs="Times New Roman"/>
          <w:color w:val="222222"/>
          <w:sz w:val="24"/>
          <w:szCs w:val="24"/>
          <w:shd w:val="clear" w:color="auto" w:fill="FFFFFF"/>
        </w:rPr>
        <w:t>Bokpin</w:t>
      </w:r>
      <w:proofErr w:type="spellEnd"/>
      <w:r w:rsidRPr="00136296">
        <w:rPr>
          <w:rFonts w:ascii="Times New Roman" w:hAnsi="Times New Roman" w:cs="Times New Roman"/>
          <w:color w:val="222222"/>
          <w:sz w:val="24"/>
          <w:szCs w:val="24"/>
          <w:shd w:val="clear" w:color="auto" w:fill="FFFFFF"/>
        </w:rPr>
        <w:t>, G. A., &amp; Aboagye, A. Q. (2018). Technical efficiency: the pathway to credit union cost efficiency in Ghana. </w:t>
      </w:r>
      <w:r w:rsidRPr="00136296">
        <w:rPr>
          <w:rFonts w:ascii="Times New Roman" w:hAnsi="Times New Roman" w:cs="Times New Roman"/>
          <w:i/>
          <w:iCs/>
          <w:color w:val="222222"/>
          <w:sz w:val="24"/>
          <w:szCs w:val="24"/>
          <w:shd w:val="clear" w:color="auto" w:fill="FFFFFF"/>
        </w:rPr>
        <w:t>Managerial Finance</w:t>
      </w:r>
      <w:r w:rsidRPr="00136296">
        <w:rPr>
          <w:rFonts w:ascii="Times New Roman" w:hAnsi="Times New Roman" w:cs="Times New Roman"/>
          <w:color w:val="222222"/>
          <w:sz w:val="24"/>
          <w:szCs w:val="24"/>
          <w:shd w:val="clear" w:color="auto" w:fill="FFFFFF"/>
        </w:rPr>
        <w:t>.</w:t>
      </w:r>
    </w:p>
    <w:p w14:paraId="3C61EFC5" w14:textId="77777777" w:rsidR="00906CC3" w:rsidRPr="0053402D" w:rsidRDefault="00906CC3" w:rsidP="00906CC3">
      <w:pPr>
        <w:rPr>
          <w:rFonts w:ascii="Times New Roman" w:hAnsi="Times New Roman" w:cs="Times New Roman"/>
          <w:sz w:val="24"/>
          <w:szCs w:val="24"/>
        </w:rPr>
      </w:pPr>
    </w:p>
    <w:sectPr w:rsidR="00906CC3" w:rsidRPr="005340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4010B" w14:textId="77777777" w:rsidR="002C06D7" w:rsidRDefault="002C06D7" w:rsidP="0053402D">
      <w:pPr>
        <w:spacing w:after="0" w:line="240" w:lineRule="auto"/>
      </w:pPr>
      <w:r>
        <w:separator/>
      </w:r>
    </w:p>
  </w:endnote>
  <w:endnote w:type="continuationSeparator" w:id="0">
    <w:p w14:paraId="6078B6C4" w14:textId="77777777" w:rsidR="002C06D7" w:rsidRDefault="002C06D7" w:rsidP="00534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643243" w14:textId="77777777" w:rsidR="002C06D7" w:rsidRDefault="002C06D7" w:rsidP="0053402D">
      <w:pPr>
        <w:spacing w:after="0" w:line="240" w:lineRule="auto"/>
      </w:pPr>
      <w:r>
        <w:separator/>
      </w:r>
    </w:p>
  </w:footnote>
  <w:footnote w:type="continuationSeparator" w:id="0">
    <w:p w14:paraId="2EC2D1AE" w14:textId="77777777" w:rsidR="002C06D7" w:rsidRDefault="002C06D7" w:rsidP="00534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E837D" w14:textId="178E7109" w:rsidR="0053402D" w:rsidRPr="0053402D" w:rsidRDefault="0053402D">
    <w:pPr>
      <w:pStyle w:val="Header"/>
      <w:rPr>
        <w:rFonts w:ascii="Times New Roman" w:hAnsi="Times New Roman" w:cs="Times New Roman"/>
        <w:sz w:val="24"/>
        <w:szCs w:val="24"/>
      </w:rPr>
    </w:pPr>
    <w:r w:rsidRPr="0053402D">
      <w:rPr>
        <w:rFonts w:ascii="Times New Roman" w:hAnsi="Times New Roman" w:cs="Times New Roman"/>
        <w:sz w:val="24"/>
        <w:szCs w:val="24"/>
      </w:rPr>
      <w:t xml:space="preserve">ACCOUNTING                                                                                                                   </w:t>
    </w:r>
    <w:sdt>
      <w:sdtPr>
        <w:rPr>
          <w:rFonts w:ascii="Times New Roman" w:hAnsi="Times New Roman" w:cs="Times New Roman"/>
          <w:sz w:val="24"/>
          <w:szCs w:val="24"/>
        </w:rPr>
        <w:id w:val="-787584234"/>
        <w:docPartObj>
          <w:docPartGallery w:val="Page Numbers (Top of Page)"/>
          <w:docPartUnique/>
        </w:docPartObj>
      </w:sdtPr>
      <w:sdtEndPr>
        <w:rPr>
          <w:noProof/>
        </w:rPr>
      </w:sdtEndPr>
      <w:sdtContent>
        <w:r w:rsidRPr="0053402D">
          <w:rPr>
            <w:rFonts w:ascii="Times New Roman" w:hAnsi="Times New Roman" w:cs="Times New Roman"/>
            <w:sz w:val="24"/>
            <w:szCs w:val="24"/>
          </w:rPr>
          <w:fldChar w:fldCharType="begin"/>
        </w:r>
        <w:r w:rsidRPr="0053402D">
          <w:rPr>
            <w:rFonts w:ascii="Times New Roman" w:hAnsi="Times New Roman" w:cs="Times New Roman"/>
            <w:sz w:val="24"/>
            <w:szCs w:val="24"/>
          </w:rPr>
          <w:instrText xml:space="preserve"> PAGE   \* MERGEFORMAT </w:instrText>
        </w:r>
        <w:r w:rsidRPr="0053402D">
          <w:rPr>
            <w:rFonts w:ascii="Times New Roman" w:hAnsi="Times New Roman" w:cs="Times New Roman"/>
            <w:sz w:val="24"/>
            <w:szCs w:val="24"/>
          </w:rPr>
          <w:fldChar w:fldCharType="separate"/>
        </w:r>
        <w:r w:rsidRPr="0053402D">
          <w:rPr>
            <w:rFonts w:ascii="Times New Roman" w:hAnsi="Times New Roman" w:cs="Times New Roman"/>
            <w:noProof/>
            <w:sz w:val="24"/>
            <w:szCs w:val="24"/>
          </w:rPr>
          <w:t>2</w:t>
        </w:r>
        <w:r w:rsidRPr="0053402D">
          <w:rPr>
            <w:rFonts w:ascii="Times New Roman" w:hAnsi="Times New Roman" w:cs="Times New Roman"/>
            <w:noProof/>
            <w:sz w:val="24"/>
            <w:szCs w:val="24"/>
          </w:rPr>
          <w:fldChar w:fldCharType="end"/>
        </w:r>
      </w:sdtContent>
    </w:sdt>
  </w:p>
  <w:p w14:paraId="543734DD" w14:textId="77777777" w:rsidR="0053402D" w:rsidRDefault="005340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02D"/>
    <w:rsid w:val="00076499"/>
    <w:rsid w:val="00110096"/>
    <w:rsid w:val="00124C68"/>
    <w:rsid w:val="00136296"/>
    <w:rsid w:val="00263DE1"/>
    <w:rsid w:val="002A08AF"/>
    <w:rsid w:val="002C06D7"/>
    <w:rsid w:val="0053402D"/>
    <w:rsid w:val="005821B7"/>
    <w:rsid w:val="007D3FEC"/>
    <w:rsid w:val="00906CC3"/>
    <w:rsid w:val="00931326"/>
    <w:rsid w:val="009314AC"/>
    <w:rsid w:val="00A2248A"/>
    <w:rsid w:val="00A25DC9"/>
    <w:rsid w:val="00B1607F"/>
    <w:rsid w:val="00B87778"/>
    <w:rsid w:val="00C1471B"/>
    <w:rsid w:val="00C638B9"/>
    <w:rsid w:val="00EA79EB"/>
    <w:rsid w:val="00F75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518C"/>
  <w15:chartTrackingRefBased/>
  <w15:docId w15:val="{5C5F6821-175F-4AD8-9347-7969E12C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02D"/>
  </w:style>
  <w:style w:type="paragraph" w:styleId="Footer">
    <w:name w:val="footer"/>
    <w:basedOn w:val="Normal"/>
    <w:link w:val="FooterChar"/>
    <w:uiPriority w:val="99"/>
    <w:unhideWhenUsed/>
    <w:rsid w:val="00534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3</cp:revision>
  <dcterms:created xsi:type="dcterms:W3CDTF">2021-01-25T14:21:00Z</dcterms:created>
  <dcterms:modified xsi:type="dcterms:W3CDTF">2021-01-25T14:35:00Z</dcterms:modified>
</cp:coreProperties>
</file>