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9243F2" w:rsidRPr="009F5604" w:rsidRDefault="00DF6E3E" w:rsidP="006600B1">
      <w:pPr>
        <w:jc w:val="center"/>
        <w:rPr>
          <w:rFonts w:ascii="Times New Roman" w:hAnsi="Times New Roman" w:cs="Times New Roman"/>
          <w:sz w:val="24"/>
          <w:szCs w:val="24"/>
        </w:rPr>
      </w:pPr>
      <w:r w:rsidRPr="009F5604">
        <w:rPr>
          <w:rFonts w:ascii="Times New Roman" w:hAnsi="Times New Roman" w:cs="Times New Roman"/>
          <w:sz w:val="24"/>
          <w:szCs w:val="24"/>
        </w:rPr>
        <w:t xml:space="preserve">Corporate </w:t>
      </w:r>
      <w:r w:rsidR="00EA03A5" w:rsidRPr="009F5604">
        <w:rPr>
          <w:rFonts w:ascii="Times New Roman" w:hAnsi="Times New Roman" w:cs="Times New Roman"/>
          <w:sz w:val="24"/>
          <w:szCs w:val="24"/>
        </w:rPr>
        <w:t xml:space="preserve">Governance in </w:t>
      </w:r>
      <w:r w:rsidRPr="009F5604">
        <w:rPr>
          <w:rFonts w:ascii="Times New Roman" w:hAnsi="Times New Roman" w:cs="Times New Roman"/>
          <w:sz w:val="24"/>
          <w:szCs w:val="24"/>
        </w:rPr>
        <w:t>Corporate</w:t>
      </w:r>
      <w:r w:rsidR="000E483F" w:rsidRPr="009F5604">
        <w:rPr>
          <w:rFonts w:ascii="Times New Roman" w:hAnsi="Times New Roman" w:cs="Times New Roman"/>
          <w:sz w:val="24"/>
          <w:szCs w:val="24"/>
        </w:rPr>
        <w:t xml:space="preserve"> America </w:t>
      </w:r>
      <w:r w:rsidR="002E625F" w:rsidRPr="009F5604">
        <w:rPr>
          <w:rFonts w:ascii="Times New Roman" w:hAnsi="Times New Roman" w:cs="Times New Roman"/>
          <w:sz w:val="24"/>
          <w:szCs w:val="24"/>
        </w:rPr>
        <w:t>Society</w:t>
      </w:r>
      <w:r w:rsidRPr="009F5604">
        <w:rPr>
          <w:rFonts w:ascii="Times New Roman" w:hAnsi="Times New Roman" w:cs="Times New Roman"/>
          <w:sz w:val="24"/>
          <w:szCs w:val="24"/>
        </w:rPr>
        <w:t xml:space="preserve"> </w:t>
      </w:r>
      <w:r w:rsidR="00EA03A5" w:rsidRPr="009F5604">
        <w:rPr>
          <w:rFonts w:ascii="Times New Roman" w:hAnsi="Times New Roman" w:cs="Times New Roman"/>
          <w:sz w:val="24"/>
          <w:szCs w:val="24"/>
        </w:rPr>
        <w:t>and Other Constituencies</w:t>
      </w:r>
    </w:p>
    <w:p w:rsidR="00DF6E3E" w:rsidRPr="009F5604" w:rsidRDefault="00F1333B" w:rsidP="006600B1">
      <w:pPr>
        <w:jc w:val="center"/>
        <w:rPr>
          <w:rFonts w:ascii="Times New Roman" w:hAnsi="Times New Roman" w:cs="Times New Roman"/>
          <w:sz w:val="24"/>
          <w:szCs w:val="24"/>
        </w:rPr>
      </w:pPr>
      <w:r w:rsidRPr="009F5604">
        <w:rPr>
          <w:rFonts w:ascii="Times New Roman" w:hAnsi="Times New Roman" w:cs="Times New Roman"/>
          <w:sz w:val="24"/>
          <w:szCs w:val="24"/>
        </w:rPr>
        <w:t xml:space="preserve">Student’s </w:t>
      </w:r>
      <w:r w:rsidR="00EA03A5" w:rsidRPr="009F5604">
        <w:rPr>
          <w:rFonts w:ascii="Times New Roman" w:hAnsi="Times New Roman" w:cs="Times New Roman"/>
          <w:sz w:val="24"/>
          <w:szCs w:val="24"/>
        </w:rPr>
        <w:t xml:space="preserve">Name </w:t>
      </w:r>
    </w:p>
    <w:p w:rsidR="00F1333B" w:rsidRDefault="00F1333B" w:rsidP="006600B1">
      <w:pPr>
        <w:jc w:val="center"/>
        <w:rPr>
          <w:rFonts w:ascii="Times New Roman" w:hAnsi="Times New Roman" w:cs="Times New Roman"/>
          <w:sz w:val="24"/>
          <w:szCs w:val="24"/>
        </w:rPr>
      </w:pPr>
      <w:r w:rsidRPr="009F5604">
        <w:rPr>
          <w:rFonts w:ascii="Times New Roman" w:hAnsi="Times New Roman" w:cs="Times New Roman"/>
          <w:sz w:val="24"/>
          <w:szCs w:val="24"/>
        </w:rPr>
        <w:t xml:space="preserve">Institutional Affiliation </w:t>
      </w: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Default="00AA420F" w:rsidP="006600B1">
      <w:pPr>
        <w:jc w:val="center"/>
        <w:rPr>
          <w:rFonts w:ascii="Times New Roman" w:hAnsi="Times New Roman" w:cs="Times New Roman"/>
          <w:sz w:val="24"/>
          <w:szCs w:val="24"/>
        </w:rPr>
      </w:pPr>
    </w:p>
    <w:p w:rsidR="00AA420F" w:rsidRPr="009F5604" w:rsidRDefault="00AA420F" w:rsidP="00AA420F">
      <w:pPr>
        <w:jc w:val="center"/>
        <w:rPr>
          <w:rFonts w:ascii="Times New Roman" w:hAnsi="Times New Roman" w:cs="Times New Roman"/>
          <w:sz w:val="24"/>
          <w:szCs w:val="24"/>
        </w:rPr>
      </w:pPr>
      <w:r w:rsidRPr="009F5604">
        <w:rPr>
          <w:rFonts w:ascii="Times New Roman" w:hAnsi="Times New Roman" w:cs="Times New Roman"/>
          <w:sz w:val="24"/>
          <w:szCs w:val="24"/>
        </w:rPr>
        <w:lastRenderedPageBreak/>
        <w:t>Corporate Governance in Corporate America Society and Other Constituencies</w:t>
      </w:r>
    </w:p>
    <w:p w:rsidR="00D1231A" w:rsidRDefault="00D1231A" w:rsidP="001B1760">
      <w:pPr>
        <w:pStyle w:val="para"/>
        <w:spacing w:line="480" w:lineRule="auto"/>
        <w:contextualSpacing/>
      </w:pPr>
      <w:bookmarkStart w:id="0" w:name="_GoBack"/>
      <w:bookmarkEnd w:id="0"/>
      <w:r>
        <w:t xml:space="preserve">Corporate governance refers to the system of processes, practices, and rules by which the company is controlled and directed. Essentially, corporate governance comprises balancing the interests of the firm’s many stakeholders such as the community, government, financiers, suppliers, customers, and </w:t>
      </w:r>
      <w:r w:rsidR="009001CF">
        <w:t>management (</w:t>
      </w:r>
      <w:r w:rsidR="009001CF">
        <w:rPr>
          <w:rFonts w:eastAsiaTheme="minorHAnsi"/>
          <w:shd w:val="clear" w:color="auto" w:fill="FFFFFF"/>
        </w:rPr>
        <w:t>CSR, 2018</w:t>
      </w:r>
      <w:r w:rsidR="006542C8">
        <w:rPr>
          <w:rFonts w:eastAsiaTheme="minorHAnsi"/>
          <w:shd w:val="clear" w:color="auto" w:fill="FFFFFF"/>
        </w:rPr>
        <w:t>)</w:t>
      </w:r>
      <w:r>
        <w:t xml:space="preserve">. While corporate governance offers a model for achieving an </w:t>
      </w:r>
      <w:r w:rsidR="003346E6">
        <w:t>organization’s</w:t>
      </w:r>
      <w:r>
        <w:t xml:space="preserve"> goals, it encompasses each sphere of administration functionally, from internal controls and plans to corporate disclosures and performance measurements. </w:t>
      </w:r>
    </w:p>
    <w:p w:rsidR="004B5499" w:rsidRPr="004B5499" w:rsidRDefault="004B5499" w:rsidP="004B5499">
      <w:pPr>
        <w:pStyle w:val="para"/>
        <w:spacing w:line="480" w:lineRule="auto"/>
        <w:ind w:firstLine="720"/>
        <w:contextualSpacing/>
        <w:jc w:val="center"/>
        <w:rPr>
          <w:b/>
        </w:rPr>
      </w:pPr>
      <w:r w:rsidRPr="004B5499">
        <w:rPr>
          <w:b/>
        </w:rPr>
        <w:t>Corporate Governance in Corporate America</w:t>
      </w:r>
    </w:p>
    <w:p w:rsidR="00D1231A" w:rsidRDefault="00D1231A" w:rsidP="00143DCF">
      <w:pPr>
        <w:pStyle w:val="para"/>
        <w:spacing w:line="480" w:lineRule="auto"/>
        <w:ind w:firstLine="720"/>
        <w:contextualSpacing/>
      </w:pPr>
      <w:r>
        <w:t>Corporate governance is an issue of heightened significance and interest in state policy academia, circles, and traditional press in America</w:t>
      </w:r>
      <w:r w:rsidR="006542C8">
        <w:t xml:space="preserve"> (</w:t>
      </w:r>
      <w:r w:rsidR="009001CF">
        <w:rPr>
          <w:rFonts w:eastAsiaTheme="minorHAnsi"/>
          <w:shd w:val="clear" w:color="auto" w:fill="FFFFFF"/>
        </w:rPr>
        <w:t>CSR, 2018</w:t>
      </w:r>
      <w:r w:rsidR="006542C8">
        <w:rPr>
          <w:rFonts w:eastAsiaTheme="minorHAnsi"/>
          <w:shd w:val="clear" w:color="auto" w:fill="FFFFFF"/>
        </w:rPr>
        <w:t>)</w:t>
      </w:r>
      <w:r>
        <w:t>. Multiple reasons describe the present prominence of what several individuals might otherwise view as a technical and arcane topic. The current economic scandals impacting main Americans companies such as Anderson, WorldCom, Enron, and the ensuing loss of trust by the public expenditure in the stock market have caused remarkable declines in stock prices and financial losses to millions of investors (</w:t>
      </w:r>
      <w:r w:rsidR="009001CF">
        <w:rPr>
          <w:rFonts w:eastAsiaTheme="minorHAnsi"/>
          <w:iCs/>
          <w:shd w:val="clear" w:color="auto" w:fill="FFFFFF"/>
        </w:rPr>
        <w:t>Steer</w:t>
      </w:r>
      <w:r w:rsidR="00B25B39">
        <w:rPr>
          <w:rFonts w:eastAsiaTheme="minorHAnsi"/>
          <w:iCs/>
          <w:shd w:val="clear" w:color="auto" w:fill="FFFFFF"/>
        </w:rPr>
        <w:t xml:space="preserve"> </w:t>
      </w:r>
      <w:r w:rsidR="00B25B39" w:rsidRPr="00E96B6C">
        <w:rPr>
          <w:iCs/>
          <w:shd w:val="clear" w:color="auto" w:fill="FFFFFF"/>
        </w:rPr>
        <w:t>&amp; Jacobi</w:t>
      </w:r>
      <w:r w:rsidR="00B25B39">
        <w:rPr>
          <w:rFonts w:eastAsiaTheme="minorHAnsi"/>
          <w:iCs/>
          <w:shd w:val="clear" w:color="auto" w:fill="FFFFFF"/>
        </w:rPr>
        <w:t xml:space="preserve">, </w:t>
      </w:r>
      <w:r w:rsidR="00B25B39" w:rsidRPr="00E96B6C">
        <w:rPr>
          <w:rFonts w:eastAsiaTheme="minorHAnsi"/>
          <w:iCs/>
          <w:shd w:val="clear" w:color="auto" w:fill="FFFFFF"/>
        </w:rPr>
        <w:t>2014</w:t>
      </w:r>
      <w:r>
        <w:t xml:space="preserve">). Notably, both the experts and the public have noted the failed corporate governance as a leading cause of these misconduct. </w:t>
      </w:r>
    </w:p>
    <w:p w:rsidR="00D1231A" w:rsidRDefault="00D1231A" w:rsidP="00143DCF">
      <w:pPr>
        <w:pStyle w:val="para"/>
        <w:spacing w:line="480" w:lineRule="auto"/>
        <w:ind w:firstLine="720"/>
        <w:contextualSpacing/>
      </w:pPr>
      <w:r>
        <w:t xml:space="preserve">Two thousand one will be remembered as the year of corporate scandals, and most significant of these issues happened in America in </w:t>
      </w:r>
      <w:r w:rsidR="003346E6">
        <w:t>organizations</w:t>
      </w:r>
      <w:r>
        <w:t xml:space="preserve"> such as WorldCom and Enron, Tyco and Anderson</w:t>
      </w:r>
      <w:r w:rsidR="003346E6">
        <w:t xml:space="preserve">. </w:t>
      </w:r>
      <w:r>
        <w:t xml:space="preserve">However, before these misconduct completely </w:t>
      </w:r>
      <w:r w:rsidR="003346E6">
        <w:t>unraveled</w:t>
      </w:r>
      <w:r>
        <w:t>, a progressive increase in the number of issues concerning management salaries, worries about the displacement of individual- sector workers to other nations via off-shoring and trouble of corporate governance has started to drive political and emotional reactions to the corporate announcement in America and entire world(</w:t>
      </w:r>
      <w:r w:rsidR="004B38FF">
        <w:rPr>
          <w:rFonts w:eastAsiaTheme="minorHAnsi"/>
          <w:shd w:val="clear" w:color="auto" w:fill="FFFFFF"/>
        </w:rPr>
        <w:t>Sheehy</w:t>
      </w:r>
      <w:r w:rsidR="004B38FF" w:rsidRPr="00E96B6C">
        <w:rPr>
          <w:shd w:val="clear" w:color="auto" w:fill="FFFFFF"/>
        </w:rPr>
        <w:t xml:space="preserve"> &amp;</w:t>
      </w:r>
      <w:r w:rsidR="004B38FF">
        <w:rPr>
          <w:rFonts w:eastAsiaTheme="minorHAnsi"/>
          <w:shd w:val="clear" w:color="auto" w:fill="FFFFFF"/>
        </w:rPr>
        <w:t xml:space="preserve"> Feaver, </w:t>
      </w:r>
      <w:r w:rsidR="004B38FF" w:rsidRPr="00E96B6C">
        <w:rPr>
          <w:rFonts w:eastAsiaTheme="minorHAnsi"/>
          <w:shd w:val="clear" w:color="auto" w:fill="FFFFFF"/>
        </w:rPr>
        <w:t>2014</w:t>
      </w:r>
      <w:r>
        <w:t>). Moreover, the majority of these improprieties involved strategically inflating economic results either by understanding costs and overstating revenues or shifting substantial resources to the individual pockets of executives (</w:t>
      </w:r>
      <w:r w:rsidR="00EA399B">
        <w:t>Eccles &amp;</w:t>
      </w:r>
      <w:r w:rsidR="00EA399B" w:rsidRPr="00E96B6C">
        <w:t xml:space="preserve"> </w:t>
      </w:r>
      <w:r w:rsidR="009001CF">
        <w:t>Youmans, 2015</w:t>
      </w:r>
      <w:r>
        <w:t xml:space="preserve">). Notably, two significant notable illustrations of defrauding earnings of management comprise of the Enron’s development of the off-balance sheet to hide the firm’s declining financial position and benefit Enron officials and intentional WorldCom’s misclassification of 11 billion costs making it the biggest accounting fraud in world history.  </w:t>
      </w:r>
    </w:p>
    <w:p w:rsidR="007E5705" w:rsidRPr="007E5705" w:rsidRDefault="007E5705" w:rsidP="007E5705">
      <w:pPr>
        <w:pStyle w:val="para"/>
        <w:spacing w:line="480" w:lineRule="auto"/>
        <w:ind w:firstLine="720"/>
        <w:contextualSpacing/>
        <w:jc w:val="center"/>
        <w:rPr>
          <w:b/>
        </w:rPr>
      </w:pPr>
      <w:r w:rsidRPr="007E5705">
        <w:rPr>
          <w:b/>
        </w:rPr>
        <w:t>Corporate Governance in America Society</w:t>
      </w:r>
    </w:p>
    <w:p w:rsidR="00D1231A" w:rsidRDefault="00D1231A" w:rsidP="00143DCF">
      <w:pPr>
        <w:pStyle w:val="para"/>
        <w:spacing w:line="480" w:lineRule="auto"/>
        <w:ind w:firstLine="720"/>
        <w:contextualSpacing/>
      </w:pPr>
      <w:r>
        <w:t>While about half of the elderly in America own stock either indirectly or directly, corporate governance rectification has become a significantly charged legal issues. For this reason, the American Congress speedily reacted by enacting the Sarbanes- Oxley Act of 2002, where the New York Stock Exchange (NYSE) rapidly followed by implementing sweeping modern regulations for the listed companies, thereafter impacting the most remarkable reform in the United States corporate governance since the development of the nation’s securities control jurisdiction in the 1930s (</w:t>
      </w:r>
      <w:r w:rsidR="00EA399B">
        <w:t>Eccles</w:t>
      </w:r>
      <w:r w:rsidR="00EA399B" w:rsidRPr="00E96B6C">
        <w:t xml:space="preserve"> </w:t>
      </w:r>
      <w:r w:rsidR="009001CF" w:rsidRPr="00E96B6C">
        <w:t>&amp; Youmans</w:t>
      </w:r>
      <w:r w:rsidR="009001CF">
        <w:t>,</w:t>
      </w:r>
      <w:r w:rsidR="009001CF" w:rsidRPr="00E96B6C">
        <w:t xml:space="preserve"> 2015</w:t>
      </w:r>
      <w:r>
        <w:t xml:space="preserve">). Therefore, by observing the above situation in America cautiously, European nations, mindful of their previous financial crisis of their own are assessing their corporate governance framework in an </w:t>
      </w:r>
      <w:r w:rsidR="003346E6">
        <w:t>endeavor</w:t>
      </w:r>
      <w:r>
        <w:t xml:space="preserve"> to protect against common abuses.</w:t>
      </w:r>
    </w:p>
    <w:p w:rsidR="00D1231A" w:rsidRDefault="00D1231A" w:rsidP="00143DCF">
      <w:pPr>
        <w:pStyle w:val="para"/>
        <w:spacing w:line="480" w:lineRule="auto"/>
        <w:ind w:firstLine="720"/>
        <w:contextualSpacing/>
      </w:pPr>
      <w:r>
        <w:t>A major concern which has assisted in reshaping today’s assortment is the corporate rules in the interrelation between the laws regulating the private relationship. Legal researchers generally adopt their public interest and contract based model to the above issue (</w:t>
      </w:r>
      <w:r w:rsidR="004007BD">
        <w:t xml:space="preserve">Kay, </w:t>
      </w:r>
      <w:r w:rsidR="004007BD" w:rsidRPr="00E96B6C">
        <w:t>2015</w:t>
      </w:r>
      <w:r>
        <w:t>). Free- market proponents tend to observe the agencies as a covenant, a free financial interrelationship between management and shareholder and see the need for state control other than the requirement of offering a judicial conference for civil court case alleging to breach the contract. In contrast, public interest supporters are affected by the increasing effect of large agencies on community and tend to have less confidence in the financial market resolutions and argue that federal government should coerce corporations to act in nature which advances the interest of the public (</w:t>
      </w:r>
      <w:r w:rsidR="004007BD">
        <w:t xml:space="preserve">Kay, </w:t>
      </w:r>
      <w:r w:rsidR="004007BD" w:rsidRPr="00E96B6C">
        <w:t>2015</w:t>
      </w:r>
      <w:r>
        <w:t xml:space="preserve">). Ultimately, the advocates of this opinion </w:t>
      </w:r>
      <w:r w:rsidR="003346E6">
        <w:t>emphasize</w:t>
      </w:r>
      <w:r>
        <w:t xml:space="preserve"> how corporate governance impacts various creditors, employees, customers, protectors of states, and the local society.   </w:t>
      </w:r>
    </w:p>
    <w:p w:rsidR="00560589" w:rsidRPr="00560589" w:rsidRDefault="00560589" w:rsidP="00560589">
      <w:pPr>
        <w:pStyle w:val="para"/>
        <w:spacing w:line="480" w:lineRule="auto"/>
        <w:ind w:firstLine="720"/>
        <w:contextualSpacing/>
        <w:jc w:val="center"/>
        <w:rPr>
          <w:b/>
        </w:rPr>
      </w:pPr>
      <w:r w:rsidRPr="00560589">
        <w:rPr>
          <w:b/>
        </w:rPr>
        <w:t>Corporate Governance in Stock Market</w:t>
      </w:r>
    </w:p>
    <w:p w:rsidR="00D1231A" w:rsidRDefault="00D1231A" w:rsidP="00143DCF">
      <w:pPr>
        <w:pStyle w:val="para"/>
        <w:spacing w:line="480" w:lineRule="auto"/>
        <w:ind w:firstLine="720"/>
        <w:contextualSpacing/>
      </w:pPr>
      <w:r>
        <w:t>The crash in the stock market in 1929 led the federal state in the control of the corporate governance for its first time (</w:t>
      </w:r>
      <w:r w:rsidR="004007BD">
        <w:t>Kay</w:t>
      </w:r>
      <w:r w:rsidR="009001CF">
        <w:t>,</w:t>
      </w:r>
      <w:r w:rsidR="009001CF" w:rsidRPr="00E96B6C">
        <w:t xml:space="preserve"> 2015</w:t>
      </w:r>
      <w:r>
        <w:t>). By then US President Roosevelt affirmed that public trust in the equity trade needed to be reinstated with the fear that private shareholders could shy away from buying stock and thereby reducing the vast capital resources accessible to drive economic expansion in the individual industry and for this reason, Congress passed the Securities law in 1933 and the Surety Exchange rule in the following year that developed the Securities and Exchange Commission (SEC). Notably, this significant legislation changed the stability between the duties of state and government in controlling corporate action in the United States and triggered the expansion of the federal administration of the companies at the expense if the government and uncovered corporate officials to state criminal charges (</w:t>
      </w:r>
      <w:r w:rsidR="004007BD">
        <w:t>Kay</w:t>
      </w:r>
      <w:r w:rsidR="009001CF">
        <w:t>,</w:t>
      </w:r>
      <w:r w:rsidR="009001CF" w:rsidRPr="00E96B6C">
        <w:t xml:space="preserve"> 2015</w:t>
      </w:r>
      <w:r>
        <w:t xml:space="preserve">). However, recently, due to the revelations of financial and accounting wrongdoing in the WorldCom and Enron misconduct, Congress approved the Accounting Reform and Investor protection Act ( ARIPA) commonly knowns as Sarbanes- Oxley Act. </w:t>
      </w:r>
    </w:p>
    <w:p w:rsidR="00D1231A" w:rsidRDefault="00D1231A" w:rsidP="00143DCF">
      <w:pPr>
        <w:pStyle w:val="para"/>
        <w:spacing w:line="480" w:lineRule="auto"/>
        <w:ind w:firstLine="720"/>
        <w:contextualSpacing/>
      </w:pPr>
      <w:r>
        <w:t>Delaware Chancery Court provides the majority of the initial government tribunal decisions concerning corporate governance because of the multiple agencies integrated with Delaware. However, in the 21st century, government securities regulations supplanted the state laws as the most unusual methods of controlling firms (</w:t>
      </w:r>
      <w:r w:rsidR="004007BD">
        <w:t xml:space="preserve">Kay, </w:t>
      </w:r>
      <w:r w:rsidR="004007BD" w:rsidRPr="00E96B6C">
        <w:t>2015</w:t>
      </w:r>
      <w:r>
        <w:t xml:space="preserve">). Consequently, the state control of the corporate governance rules is perhaps the best example of the provision of Sarbanes- Oxley Act which prohibits the corporate mortgages to executive officers and directors a situation which was traditionally dominated by the state regulations. </w:t>
      </w:r>
    </w:p>
    <w:p w:rsidR="00D1231A" w:rsidRDefault="00D1231A" w:rsidP="00143DCF">
      <w:pPr>
        <w:pStyle w:val="para"/>
        <w:spacing w:line="480" w:lineRule="auto"/>
        <w:ind w:firstLine="720"/>
        <w:contextualSpacing/>
      </w:pPr>
      <w:r>
        <w:t xml:space="preserve">The Securities and Exchange Commission (SEC) was developed to safeguard shareholders, keep orderly, efficient, and fair markets, and promote capital creation that is responsible for adopting and reinforcing the legal system which governs the security transactions in America. The above model is based on the straightforward and simple ideas that all investor’s whether a private individual or large firms must access particular information concerning the investments before purchasing and as long as they hold </w:t>
      </w:r>
      <w:r w:rsidR="009001CF">
        <w:t>them (</w:t>
      </w:r>
      <w:r w:rsidR="00382054">
        <w:t xml:space="preserve">Shahwan&amp; Mohammad, </w:t>
      </w:r>
      <w:r w:rsidR="00382054" w:rsidRPr="00E96B6C">
        <w:t>2016</w:t>
      </w:r>
      <w:r>
        <w:t xml:space="preserve">). Therefore, to </w:t>
      </w:r>
      <w:r w:rsidR="003346E6">
        <w:t>realize</w:t>
      </w:r>
      <w:r>
        <w:t xml:space="preserve"> this, the Securities and Exchange Commission (SEC) demand that the public registered corporations should disclose the critical financial statements to the general public on an annual basis. This promotes transparency and efficiency in the capital marketplace which stimulates the capital formation (</w:t>
      </w:r>
      <w:r w:rsidR="00101663">
        <w:t xml:space="preserve">Shahwan &amp; Mohammad, </w:t>
      </w:r>
      <w:r w:rsidR="00101663" w:rsidRPr="00E96B6C">
        <w:t>2016</w:t>
      </w:r>
      <w:r>
        <w:t xml:space="preserve">). Ultimately, to ensure openness’s and effectiveness, the Securities and Exchange Commission (SEC) tracks the main participants in the securities market, including collateral trades, securities dealers and brokers, mutual funds and investment advisers.   </w:t>
      </w:r>
    </w:p>
    <w:p w:rsidR="00D1231A" w:rsidRDefault="00D1231A" w:rsidP="00143DCF">
      <w:pPr>
        <w:pStyle w:val="para"/>
        <w:spacing w:line="480" w:lineRule="auto"/>
        <w:ind w:firstLine="720"/>
        <w:contextualSpacing/>
      </w:pPr>
      <w:r>
        <w:t xml:space="preserve">Paramount to the effectiveness of the Securities and Exchange Commission (SEC) in every of governance areas is its underpinning authority. Consequently, every year brings more civil enforcement of </w:t>
      </w:r>
      <w:r w:rsidR="00F24A67">
        <w:t>behaviors</w:t>
      </w:r>
      <w:r>
        <w:t xml:space="preserve"> against companies and individuals for abusing securities regulations (</w:t>
      </w:r>
      <w:r w:rsidR="00101663">
        <w:t>Shahwan &amp; Mohammad</w:t>
      </w:r>
      <w:r w:rsidR="009001CF">
        <w:t>,</w:t>
      </w:r>
      <w:r w:rsidR="009001CF" w:rsidRPr="00E96B6C">
        <w:t xml:space="preserve"> 2016</w:t>
      </w:r>
      <w:r>
        <w:t xml:space="preserve">). General infractions comprise accounting fraud, providing misleading or false information concerning the securities of the company, and insider trading. While it is the primary role of SEC to oversee and regulate the United States securities exchanges, it works intimately with several other </w:t>
      </w:r>
      <w:r w:rsidR="00F24A67">
        <w:t>organizations</w:t>
      </w:r>
      <w:r>
        <w:t xml:space="preserve"> such as private industry agencies, state securities regulators, the stock exchanges, government departments and agencies, and the Congress (</w:t>
      </w:r>
      <w:r w:rsidR="00101663">
        <w:t xml:space="preserve">Shahwan &amp; Mohammad, </w:t>
      </w:r>
      <w:r w:rsidR="00101663" w:rsidRPr="00E96B6C">
        <w:t>2016</w:t>
      </w:r>
      <w:r>
        <w:t xml:space="preserve">). Essentially, unique roles of Securities and Exchange Commission (SEC) include coordinating America securities regulation with state, federal, and authorities, overseeing individual regulatory institutions in the accounting, auditing fields, and accounting, manage evaluation of brokers, securities firms, ratings agencies, and investing advisers, issuing new norms and change the existing ones, and expound government securities regulations. </w:t>
      </w:r>
    </w:p>
    <w:p w:rsidR="00D1231A" w:rsidRDefault="00D1231A" w:rsidP="00D1231A">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0857F4" w:rsidRDefault="000857F4" w:rsidP="004B15D0">
      <w:pPr>
        <w:pStyle w:val="para"/>
        <w:jc w:val="center"/>
      </w:pPr>
    </w:p>
    <w:p w:rsidR="004B15D0" w:rsidRDefault="004B15D0" w:rsidP="004B15D0">
      <w:pPr>
        <w:pStyle w:val="para"/>
        <w:jc w:val="center"/>
      </w:pPr>
      <w:r>
        <w:t>References</w:t>
      </w:r>
    </w:p>
    <w:p w:rsidR="00171173" w:rsidRDefault="00171173" w:rsidP="00421BD6">
      <w:pPr>
        <w:spacing w:line="480" w:lineRule="auto"/>
        <w:ind w:left="720" w:hanging="720"/>
        <w:contextualSpacing/>
        <w:rPr>
          <w:rFonts w:ascii="Times New Roman" w:hAnsi="Times New Roman" w:cs="Times New Roman"/>
          <w:sz w:val="24"/>
          <w:szCs w:val="24"/>
        </w:rPr>
      </w:pPr>
      <w:r w:rsidRPr="00E96B6C">
        <w:rPr>
          <w:rFonts w:ascii="Times New Roman" w:eastAsia="Times New Roman" w:hAnsi="Times New Roman" w:cs="Times New Roman"/>
          <w:sz w:val="24"/>
          <w:szCs w:val="24"/>
        </w:rPr>
        <w:t xml:space="preserve">Eccles, </w:t>
      </w:r>
      <w:r w:rsidR="004A539C" w:rsidRPr="00E96B6C">
        <w:rPr>
          <w:rFonts w:ascii="Times New Roman" w:eastAsia="Times New Roman" w:hAnsi="Times New Roman" w:cs="Times New Roman"/>
          <w:sz w:val="24"/>
          <w:szCs w:val="24"/>
        </w:rPr>
        <w:t>R.G.,</w:t>
      </w:r>
      <w:r w:rsidRPr="00E96B6C">
        <w:rPr>
          <w:rFonts w:ascii="Times New Roman" w:eastAsia="Times New Roman" w:hAnsi="Times New Roman" w:cs="Times New Roman"/>
          <w:sz w:val="24"/>
          <w:szCs w:val="24"/>
        </w:rPr>
        <w:t xml:space="preserve"> &amp; </w:t>
      </w:r>
      <w:r w:rsidR="004A539C" w:rsidRPr="00E96B6C">
        <w:rPr>
          <w:rFonts w:ascii="Times New Roman" w:eastAsia="Times New Roman" w:hAnsi="Times New Roman" w:cs="Times New Roman"/>
          <w:sz w:val="24"/>
          <w:szCs w:val="24"/>
        </w:rPr>
        <w:t>T. Youmans. (2015).</w:t>
      </w:r>
      <w:r w:rsidRPr="00E96B6C">
        <w:rPr>
          <w:rFonts w:ascii="Times New Roman" w:eastAsia="Times New Roman" w:hAnsi="Times New Roman" w:cs="Times New Roman"/>
          <w:sz w:val="24"/>
          <w:szCs w:val="24"/>
        </w:rPr>
        <w:t>Materiality in Corporate Governance: The Statement of Significant Audiences and Materiality, Boston: Harvard Business School, working paper 16-023</w:t>
      </w:r>
      <w:r w:rsidRPr="00E96B6C">
        <w:rPr>
          <w:rFonts w:ascii="Times New Roman" w:hAnsi="Times New Roman" w:cs="Times New Roman"/>
          <w:sz w:val="24"/>
          <w:szCs w:val="24"/>
        </w:rPr>
        <w:t>, </w:t>
      </w:r>
      <w:hyperlink r:id="rId8" w:history="1">
        <w:r w:rsidR="001E27E5" w:rsidRPr="0015611E">
          <w:rPr>
            <w:rStyle w:val="Hyperlink"/>
            <w:rFonts w:ascii="Times New Roman" w:hAnsi="Times New Roman" w:cs="Times New Roman"/>
            <w:sz w:val="24"/>
            <w:szCs w:val="24"/>
          </w:rPr>
          <w:t>http://hbswk.hbs.edu/item/materiality-in-corporate-governance-the-statement-of-significant-audiences-and-materiality</w:t>
        </w:r>
      </w:hyperlink>
      <w:r w:rsidR="001E27E5">
        <w:rPr>
          <w:rFonts w:ascii="Times New Roman" w:hAnsi="Times New Roman" w:cs="Times New Roman"/>
          <w:sz w:val="24"/>
          <w:szCs w:val="24"/>
        </w:rPr>
        <w:t>.</w:t>
      </w:r>
    </w:p>
    <w:p w:rsidR="001E27E5" w:rsidRPr="00E96B6C" w:rsidRDefault="001E27E5" w:rsidP="00421BD6">
      <w:pPr>
        <w:spacing w:line="480" w:lineRule="auto"/>
        <w:ind w:left="720" w:hanging="720"/>
        <w:contextualSpacing/>
        <w:rPr>
          <w:rFonts w:ascii="Times New Roman" w:hAnsi="Times New Roman" w:cs="Times New Roman"/>
          <w:sz w:val="24"/>
          <w:szCs w:val="24"/>
          <w:shd w:val="clear" w:color="auto" w:fill="FFFFFF"/>
        </w:rPr>
      </w:pPr>
      <w:r w:rsidRPr="00E96B6C">
        <w:rPr>
          <w:rFonts w:ascii="Times New Roman" w:hAnsi="Times New Roman" w:cs="Times New Roman"/>
          <w:sz w:val="24"/>
          <w:szCs w:val="24"/>
          <w:shd w:val="clear" w:color="auto" w:fill="FFFFFF"/>
        </w:rPr>
        <w:t>CSR (2018). </w:t>
      </w:r>
      <w:r w:rsidRPr="00E96B6C">
        <w:rPr>
          <w:rFonts w:ascii="Times New Roman" w:hAnsi="Times New Roman" w:cs="Times New Roman"/>
          <w:sz w:val="24"/>
          <w:szCs w:val="24"/>
        </w:rPr>
        <w:t xml:space="preserve">"Millennials </w:t>
      </w:r>
      <w:r w:rsidR="00622692">
        <w:rPr>
          <w:rFonts w:ascii="Times New Roman" w:hAnsi="Times New Roman" w:cs="Times New Roman"/>
          <w:sz w:val="24"/>
          <w:szCs w:val="24"/>
        </w:rPr>
        <w:t>d</w:t>
      </w:r>
      <w:r w:rsidRPr="00E96B6C">
        <w:rPr>
          <w:rFonts w:ascii="Times New Roman" w:hAnsi="Times New Roman" w:cs="Times New Roman"/>
          <w:sz w:val="24"/>
          <w:szCs w:val="24"/>
        </w:rPr>
        <w:t xml:space="preserve">riving </w:t>
      </w:r>
      <w:r w:rsidR="00622692">
        <w:rPr>
          <w:rFonts w:ascii="Times New Roman" w:hAnsi="Times New Roman" w:cs="Times New Roman"/>
          <w:sz w:val="24"/>
          <w:szCs w:val="24"/>
        </w:rPr>
        <w:t>b</w:t>
      </w:r>
      <w:r w:rsidRPr="00E96B6C">
        <w:rPr>
          <w:rFonts w:ascii="Times New Roman" w:hAnsi="Times New Roman" w:cs="Times New Roman"/>
          <w:sz w:val="24"/>
          <w:szCs w:val="24"/>
        </w:rPr>
        <w:t xml:space="preserve">rands towards </w:t>
      </w:r>
      <w:r w:rsidR="00622692">
        <w:rPr>
          <w:rFonts w:ascii="Times New Roman" w:hAnsi="Times New Roman" w:cs="Times New Roman"/>
          <w:sz w:val="24"/>
          <w:szCs w:val="24"/>
        </w:rPr>
        <w:t>s</w:t>
      </w:r>
      <w:r w:rsidRPr="00E96B6C">
        <w:rPr>
          <w:rFonts w:ascii="Times New Roman" w:hAnsi="Times New Roman" w:cs="Times New Roman"/>
          <w:sz w:val="24"/>
          <w:szCs w:val="24"/>
        </w:rPr>
        <w:t xml:space="preserve">ocial </w:t>
      </w:r>
      <w:r w:rsidR="009001CF">
        <w:rPr>
          <w:rFonts w:ascii="Times New Roman" w:hAnsi="Times New Roman" w:cs="Times New Roman"/>
          <w:sz w:val="24"/>
          <w:szCs w:val="24"/>
        </w:rPr>
        <w:t>r</w:t>
      </w:r>
      <w:r w:rsidR="009001CF" w:rsidRPr="00E96B6C">
        <w:rPr>
          <w:rFonts w:ascii="Times New Roman" w:hAnsi="Times New Roman" w:cs="Times New Roman"/>
          <w:sz w:val="24"/>
          <w:szCs w:val="24"/>
        </w:rPr>
        <w:t xml:space="preserve">esponsibility. </w:t>
      </w:r>
      <w:r w:rsidRPr="00E96B6C">
        <w:rPr>
          <w:rFonts w:ascii="Times New Roman" w:hAnsi="Times New Roman" w:cs="Times New Roman"/>
          <w:sz w:val="24"/>
          <w:szCs w:val="24"/>
        </w:rPr>
        <w:t>The CSR Journal".</w:t>
      </w:r>
      <w:r w:rsidRPr="00E96B6C">
        <w:rPr>
          <w:rFonts w:ascii="Times New Roman" w:hAnsi="Times New Roman" w:cs="Times New Roman"/>
          <w:sz w:val="24"/>
          <w:szCs w:val="24"/>
          <w:shd w:val="clear" w:color="auto" w:fill="FFFFFF"/>
        </w:rPr>
        <w:t> </w:t>
      </w:r>
      <w:r w:rsidRPr="00E96B6C">
        <w:rPr>
          <w:rFonts w:ascii="Times New Roman" w:hAnsi="Times New Roman" w:cs="Times New Roman"/>
          <w:i/>
          <w:iCs/>
          <w:sz w:val="24"/>
          <w:szCs w:val="24"/>
          <w:shd w:val="clear" w:color="auto" w:fill="FFFFFF"/>
        </w:rPr>
        <w:t>The CSR Journal</w:t>
      </w:r>
      <w:r w:rsidRPr="00E96B6C">
        <w:rPr>
          <w:rFonts w:ascii="Times New Roman" w:hAnsi="Times New Roman" w:cs="Times New Roman"/>
          <w:sz w:val="24"/>
          <w:szCs w:val="24"/>
          <w:shd w:val="clear" w:color="auto" w:fill="FFFFFF"/>
        </w:rPr>
        <w:t>. Retrieved 2018-09-15.</w:t>
      </w:r>
    </w:p>
    <w:p w:rsidR="008B01F3" w:rsidRPr="00E96B6C" w:rsidRDefault="008B01F3" w:rsidP="00421BD6">
      <w:pPr>
        <w:spacing w:line="480" w:lineRule="auto"/>
        <w:ind w:left="720" w:hanging="720"/>
        <w:contextualSpacing/>
        <w:rPr>
          <w:rFonts w:ascii="Times New Roman" w:eastAsia="Times New Roman" w:hAnsi="Times New Roman" w:cs="Times New Roman"/>
          <w:sz w:val="24"/>
          <w:szCs w:val="24"/>
        </w:rPr>
      </w:pPr>
      <w:r w:rsidRPr="00E96B6C">
        <w:rPr>
          <w:rFonts w:ascii="Times New Roman" w:eastAsia="Times New Roman" w:hAnsi="Times New Roman" w:cs="Times New Roman"/>
          <w:sz w:val="24"/>
          <w:szCs w:val="24"/>
        </w:rPr>
        <w:t>Kay, J</w:t>
      </w:r>
      <w:r w:rsidR="004A539C" w:rsidRPr="00E96B6C">
        <w:rPr>
          <w:rFonts w:ascii="Times New Roman" w:eastAsia="Times New Roman" w:hAnsi="Times New Roman" w:cs="Times New Roman"/>
          <w:sz w:val="24"/>
          <w:szCs w:val="24"/>
        </w:rPr>
        <w:t xml:space="preserve">. </w:t>
      </w:r>
      <w:r w:rsidRPr="00E96B6C">
        <w:rPr>
          <w:rFonts w:ascii="Times New Roman" w:eastAsia="Times New Roman" w:hAnsi="Times New Roman" w:cs="Times New Roman"/>
          <w:sz w:val="24"/>
          <w:szCs w:val="24"/>
        </w:rPr>
        <w:t>(2015), 'Shareholders think they own the company — they are wrong', </w:t>
      </w:r>
      <w:r w:rsidRPr="00E96B6C">
        <w:rPr>
          <w:rFonts w:ascii="Times New Roman" w:eastAsia="Times New Roman" w:hAnsi="Times New Roman" w:cs="Times New Roman"/>
          <w:i/>
          <w:iCs/>
          <w:sz w:val="24"/>
          <w:szCs w:val="24"/>
        </w:rPr>
        <w:t>The Financial Times</w:t>
      </w:r>
      <w:r w:rsidRPr="00E96B6C">
        <w:rPr>
          <w:rFonts w:ascii="Times New Roman" w:eastAsia="Times New Roman" w:hAnsi="Times New Roman" w:cs="Times New Roman"/>
          <w:sz w:val="24"/>
          <w:szCs w:val="24"/>
        </w:rPr>
        <w:t>, 10 November 2015</w:t>
      </w:r>
      <w:r w:rsidR="00335E79" w:rsidRPr="00E96B6C">
        <w:rPr>
          <w:rFonts w:ascii="Times New Roman" w:eastAsia="Times New Roman" w:hAnsi="Times New Roman" w:cs="Times New Roman"/>
          <w:sz w:val="24"/>
          <w:szCs w:val="24"/>
        </w:rPr>
        <w:t>.</w:t>
      </w:r>
    </w:p>
    <w:p w:rsidR="007F56BE" w:rsidRPr="00E96B6C" w:rsidRDefault="00335E79" w:rsidP="00421BD6">
      <w:pPr>
        <w:spacing w:line="480" w:lineRule="auto"/>
        <w:ind w:left="720" w:hanging="720"/>
        <w:contextualSpacing/>
        <w:rPr>
          <w:rFonts w:ascii="Times New Roman" w:hAnsi="Times New Roman" w:cs="Times New Roman"/>
          <w:sz w:val="24"/>
          <w:szCs w:val="24"/>
        </w:rPr>
      </w:pPr>
      <w:r w:rsidRPr="00E96B6C">
        <w:rPr>
          <w:rFonts w:ascii="Times New Roman" w:eastAsia="Times New Roman" w:hAnsi="Times New Roman" w:cs="Times New Roman"/>
          <w:sz w:val="24"/>
          <w:szCs w:val="24"/>
        </w:rPr>
        <w:t xml:space="preserve">Shahwan, Y., &amp; Mohammad, N. R. (2016). Descriptive </w:t>
      </w:r>
      <w:r w:rsidR="00997A74">
        <w:rPr>
          <w:rFonts w:ascii="Times New Roman" w:eastAsia="Times New Roman" w:hAnsi="Times New Roman" w:cs="Times New Roman"/>
          <w:sz w:val="24"/>
          <w:szCs w:val="24"/>
        </w:rPr>
        <w:t>e</w:t>
      </w:r>
      <w:r w:rsidRPr="00E96B6C">
        <w:rPr>
          <w:rFonts w:ascii="Times New Roman" w:eastAsia="Times New Roman" w:hAnsi="Times New Roman" w:cs="Times New Roman"/>
          <w:sz w:val="24"/>
          <w:szCs w:val="24"/>
        </w:rPr>
        <w:t xml:space="preserve">vidence of </w:t>
      </w:r>
      <w:r w:rsidR="00997A74">
        <w:rPr>
          <w:rFonts w:ascii="Times New Roman" w:eastAsia="Times New Roman" w:hAnsi="Times New Roman" w:cs="Times New Roman"/>
          <w:sz w:val="24"/>
          <w:szCs w:val="24"/>
        </w:rPr>
        <w:t>c</w:t>
      </w:r>
      <w:r w:rsidRPr="00E96B6C">
        <w:rPr>
          <w:rFonts w:ascii="Times New Roman" w:eastAsia="Times New Roman" w:hAnsi="Times New Roman" w:cs="Times New Roman"/>
          <w:sz w:val="24"/>
          <w:szCs w:val="24"/>
        </w:rPr>
        <w:t xml:space="preserve">orporate </w:t>
      </w:r>
      <w:r w:rsidR="00997A74">
        <w:rPr>
          <w:rFonts w:ascii="Times New Roman" w:eastAsia="Times New Roman" w:hAnsi="Times New Roman" w:cs="Times New Roman"/>
          <w:sz w:val="24"/>
          <w:szCs w:val="24"/>
        </w:rPr>
        <w:t>g</w:t>
      </w:r>
      <w:r w:rsidRPr="00E96B6C">
        <w:rPr>
          <w:rFonts w:ascii="Times New Roman" w:eastAsia="Times New Roman" w:hAnsi="Times New Roman" w:cs="Times New Roman"/>
          <w:sz w:val="24"/>
          <w:szCs w:val="24"/>
        </w:rPr>
        <w:t xml:space="preserve">overnance &amp; OECD </w:t>
      </w:r>
      <w:r w:rsidR="00997A74">
        <w:rPr>
          <w:rFonts w:ascii="Times New Roman" w:eastAsia="Times New Roman" w:hAnsi="Times New Roman" w:cs="Times New Roman"/>
          <w:sz w:val="24"/>
          <w:szCs w:val="24"/>
        </w:rPr>
        <w:t>p</w:t>
      </w:r>
      <w:r w:rsidRPr="00E96B6C">
        <w:rPr>
          <w:rFonts w:ascii="Times New Roman" w:eastAsia="Times New Roman" w:hAnsi="Times New Roman" w:cs="Times New Roman"/>
          <w:sz w:val="24"/>
          <w:szCs w:val="24"/>
        </w:rPr>
        <w:t xml:space="preserve">rinciples for </w:t>
      </w:r>
      <w:r w:rsidR="00997A74">
        <w:rPr>
          <w:rFonts w:ascii="Times New Roman" w:eastAsia="Times New Roman" w:hAnsi="Times New Roman" w:cs="Times New Roman"/>
          <w:sz w:val="24"/>
          <w:szCs w:val="24"/>
        </w:rPr>
        <w:t>c</w:t>
      </w:r>
      <w:r w:rsidRPr="00E96B6C">
        <w:rPr>
          <w:rFonts w:ascii="Times New Roman" w:eastAsia="Times New Roman" w:hAnsi="Times New Roman" w:cs="Times New Roman"/>
          <w:sz w:val="24"/>
          <w:szCs w:val="24"/>
        </w:rPr>
        <w:t xml:space="preserve">ompliance with </w:t>
      </w:r>
      <w:r w:rsidR="00106EEA">
        <w:rPr>
          <w:rFonts w:ascii="Times New Roman" w:eastAsia="Times New Roman" w:hAnsi="Times New Roman" w:cs="Times New Roman"/>
          <w:sz w:val="24"/>
          <w:szCs w:val="24"/>
        </w:rPr>
        <w:t>J</w:t>
      </w:r>
      <w:r w:rsidR="00106EEA" w:rsidRPr="00E96B6C">
        <w:rPr>
          <w:rFonts w:ascii="Times New Roman" w:eastAsia="Times New Roman" w:hAnsi="Times New Roman" w:cs="Times New Roman"/>
          <w:sz w:val="24"/>
          <w:szCs w:val="24"/>
        </w:rPr>
        <w:t>ordanian</w:t>
      </w:r>
      <w:r w:rsidRPr="00E96B6C">
        <w:rPr>
          <w:rFonts w:ascii="Times New Roman" w:eastAsia="Times New Roman" w:hAnsi="Times New Roman" w:cs="Times New Roman"/>
          <w:sz w:val="24"/>
          <w:szCs w:val="24"/>
        </w:rPr>
        <w:t xml:space="preserve"> </w:t>
      </w:r>
      <w:r w:rsidR="00997A74">
        <w:rPr>
          <w:rFonts w:ascii="Times New Roman" w:eastAsia="Times New Roman" w:hAnsi="Times New Roman" w:cs="Times New Roman"/>
          <w:sz w:val="24"/>
          <w:szCs w:val="24"/>
        </w:rPr>
        <w:t>c</w:t>
      </w:r>
      <w:r w:rsidRPr="00E96B6C">
        <w:rPr>
          <w:rFonts w:ascii="Times New Roman" w:eastAsia="Times New Roman" w:hAnsi="Times New Roman" w:cs="Times New Roman"/>
          <w:sz w:val="24"/>
          <w:szCs w:val="24"/>
        </w:rPr>
        <w:t>ompanies. </w:t>
      </w:r>
      <w:r w:rsidRPr="00E96B6C">
        <w:rPr>
          <w:rFonts w:ascii="Times New Roman" w:eastAsia="Times New Roman" w:hAnsi="Times New Roman" w:cs="Times New Roman"/>
          <w:i/>
          <w:iCs/>
          <w:sz w:val="24"/>
          <w:szCs w:val="24"/>
        </w:rPr>
        <w:t xml:space="preserve">Journal Studia </w:t>
      </w:r>
      <w:r w:rsidR="004A539C" w:rsidRPr="00E96B6C">
        <w:rPr>
          <w:rFonts w:ascii="Times New Roman" w:eastAsia="Times New Roman" w:hAnsi="Times New Roman" w:cs="Times New Roman"/>
          <w:i/>
          <w:iCs/>
          <w:sz w:val="24"/>
          <w:szCs w:val="24"/>
        </w:rPr>
        <w:t>Universities</w:t>
      </w:r>
      <w:r w:rsidRPr="00E96B6C">
        <w:rPr>
          <w:rFonts w:ascii="Times New Roman" w:eastAsia="Times New Roman" w:hAnsi="Times New Roman" w:cs="Times New Roman"/>
          <w:i/>
          <w:iCs/>
          <w:sz w:val="24"/>
          <w:szCs w:val="24"/>
        </w:rPr>
        <w:t xml:space="preserve"> Babes-Bolyai Negotia</w:t>
      </w:r>
      <w:r w:rsidRPr="00E96B6C">
        <w:rPr>
          <w:rFonts w:ascii="Times New Roman" w:eastAsia="Times New Roman" w:hAnsi="Times New Roman" w:cs="Times New Roman"/>
          <w:sz w:val="24"/>
          <w:szCs w:val="24"/>
        </w:rPr>
        <w:t>.</w:t>
      </w:r>
      <w:r w:rsidR="00AC1BDE" w:rsidRPr="00E96B6C">
        <w:rPr>
          <w:rFonts w:ascii="Times New Roman" w:hAnsi="Times New Roman" w:cs="Times New Roman"/>
          <w:sz w:val="24"/>
          <w:szCs w:val="24"/>
        </w:rPr>
        <w:t xml:space="preserve"> </w:t>
      </w:r>
    </w:p>
    <w:p w:rsidR="001E27E5" w:rsidRPr="00E96B6C" w:rsidRDefault="001E27E5" w:rsidP="00421BD6">
      <w:pPr>
        <w:spacing w:line="480" w:lineRule="auto"/>
        <w:ind w:left="720" w:hanging="720"/>
        <w:contextualSpacing/>
        <w:rPr>
          <w:rFonts w:ascii="Times New Roman" w:hAnsi="Times New Roman" w:cs="Times New Roman"/>
          <w:sz w:val="24"/>
          <w:szCs w:val="24"/>
          <w:shd w:val="clear" w:color="auto" w:fill="FFFFFF"/>
        </w:rPr>
      </w:pPr>
      <w:r w:rsidRPr="00E96B6C">
        <w:rPr>
          <w:rFonts w:ascii="Times New Roman" w:hAnsi="Times New Roman" w:cs="Times New Roman"/>
          <w:sz w:val="24"/>
          <w:szCs w:val="24"/>
          <w:shd w:val="clear" w:color="auto" w:fill="FFFFFF"/>
        </w:rPr>
        <w:t>Sheehy, B &amp; Feaver, D. (2014). </w:t>
      </w:r>
      <w:r w:rsidRPr="00E96B6C">
        <w:rPr>
          <w:rFonts w:ascii="Times New Roman" w:hAnsi="Times New Roman" w:cs="Times New Roman"/>
          <w:color w:val="663366"/>
          <w:sz w:val="24"/>
          <w:szCs w:val="24"/>
        </w:rPr>
        <w:t>"</w:t>
      </w:r>
      <w:r w:rsidRPr="00E96B6C">
        <w:rPr>
          <w:rFonts w:ascii="Times New Roman" w:hAnsi="Times New Roman" w:cs="Times New Roman"/>
          <w:sz w:val="24"/>
          <w:szCs w:val="24"/>
        </w:rPr>
        <w:t>Anglo-American Directors' Legal Duties and CSR: Prohibited, Permitted, or Prescribed?” </w:t>
      </w:r>
      <w:r w:rsidRPr="00E96B6C">
        <w:rPr>
          <w:rFonts w:ascii="Times New Roman" w:hAnsi="Times New Roman" w:cs="Times New Roman"/>
          <w:i/>
          <w:iCs/>
          <w:sz w:val="24"/>
          <w:szCs w:val="24"/>
          <w:shd w:val="clear" w:color="auto" w:fill="FFFFFF"/>
        </w:rPr>
        <w:t>Dalhousie Law Journal</w:t>
      </w:r>
      <w:r w:rsidRPr="00E96B6C">
        <w:rPr>
          <w:rFonts w:ascii="Times New Roman" w:hAnsi="Times New Roman" w:cs="Times New Roman"/>
          <w:sz w:val="24"/>
          <w:szCs w:val="24"/>
          <w:shd w:val="clear" w:color="auto" w:fill="FFFFFF"/>
        </w:rPr>
        <w:t>. </w:t>
      </w:r>
      <w:r w:rsidRPr="00E96B6C">
        <w:rPr>
          <w:rFonts w:ascii="Times New Roman" w:hAnsi="Times New Roman" w:cs="Times New Roman"/>
          <w:b/>
          <w:bCs/>
          <w:sz w:val="24"/>
          <w:szCs w:val="24"/>
          <w:shd w:val="clear" w:color="auto" w:fill="FFFFFF"/>
        </w:rPr>
        <w:t>31</w:t>
      </w:r>
      <w:r w:rsidRPr="00E96B6C">
        <w:rPr>
          <w:rFonts w:ascii="Times New Roman" w:hAnsi="Times New Roman" w:cs="Times New Roman"/>
          <w:sz w:val="24"/>
          <w:szCs w:val="24"/>
          <w:shd w:val="clear" w:color="auto" w:fill="FFFFFF"/>
        </w:rPr>
        <w:t>: 345. Retrieved December 9, 2018 – via Hein Online.</w:t>
      </w:r>
    </w:p>
    <w:p w:rsidR="001E27E5" w:rsidRPr="00E96B6C" w:rsidRDefault="001E27E5" w:rsidP="00421BD6">
      <w:pPr>
        <w:spacing w:line="480" w:lineRule="auto"/>
        <w:ind w:left="720" w:hanging="720"/>
        <w:contextualSpacing/>
        <w:rPr>
          <w:rFonts w:ascii="Times New Roman" w:hAnsi="Times New Roman" w:cs="Times New Roman"/>
          <w:sz w:val="24"/>
          <w:szCs w:val="24"/>
        </w:rPr>
      </w:pPr>
      <w:r w:rsidRPr="00E96B6C">
        <w:rPr>
          <w:rFonts w:ascii="Times New Roman" w:hAnsi="Times New Roman" w:cs="Times New Roman"/>
          <w:sz w:val="24"/>
          <w:szCs w:val="24"/>
          <w:shd w:val="clear" w:color="auto" w:fill="FFFFFF"/>
        </w:rPr>
        <w:t> </w:t>
      </w:r>
      <w:r w:rsidR="009001CF" w:rsidRPr="00E96B6C">
        <w:rPr>
          <w:rFonts w:ascii="Times New Roman" w:hAnsi="Times New Roman" w:cs="Times New Roman"/>
          <w:iCs/>
          <w:sz w:val="24"/>
          <w:szCs w:val="24"/>
          <w:shd w:val="clear" w:color="auto" w:fill="FFFFFF"/>
        </w:rPr>
        <w:t>Steer</w:t>
      </w:r>
      <w:r w:rsidRPr="00E96B6C">
        <w:rPr>
          <w:rFonts w:ascii="Times New Roman" w:hAnsi="Times New Roman" w:cs="Times New Roman"/>
          <w:iCs/>
          <w:sz w:val="24"/>
          <w:szCs w:val="24"/>
          <w:shd w:val="clear" w:color="auto" w:fill="FFFFFF"/>
        </w:rPr>
        <w:t>, C &amp; Jacobi, B. (September 2014). "</w:t>
      </w:r>
      <w:r w:rsidRPr="00E96B6C">
        <w:rPr>
          <w:rFonts w:ascii="Times New Roman" w:hAnsi="Times New Roman" w:cs="Times New Roman"/>
          <w:i/>
          <w:iCs/>
          <w:sz w:val="24"/>
          <w:szCs w:val="24"/>
          <w:shd w:val="clear" w:color="auto" w:fill="FFFFFF"/>
        </w:rPr>
        <w:t>Corporate Social Responsibility th rough Voluntary Commitment in Small and Medium Sized Enterprises – the Case of the 'Heilbronn Declaration'". European Journal of Sustainable Development. </w:t>
      </w:r>
      <w:r w:rsidRPr="00E96B6C">
        <w:rPr>
          <w:rFonts w:ascii="Times New Roman" w:hAnsi="Times New Roman" w:cs="Times New Roman"/>
          <w:b/>
          <w:bCs/>
          <w:i/>
          <w:iCs/>
          <w:sz w:val="24"/>
          <w:szCs w:val="24"/>
          <w:shd w:val="clear" w:color="auto" w:fill="FFFFFF"/>
        </w:rPr>
        <w:t>3</w:t>
      </w:r>
      <w:r w:rsidRPr="00E96B6C">
        <w:rPr>
          <w:rFonts w:ascii="Times New Roman" w:hAnsi="Times New Roman" w:cs="Times New Roman"/>
          <w:i/>
          <w:iCs/>
          <w:sz w:val="24"/>
          <w:szCs w:val="24"/>
          <w:shd w:val="clear" w:color="auto" w:fill="FFFFFF"/>
        </w:rPr>
        <w:t> (4): 135–150. </w:t>
      </w:r>
    </w:p>
    <w:p w:rsidR="007F56BE" w:rsidRDefault="007F56BE" w:rsidP="00017466">
      <w:pPr>
        <w:pStyle w:val="para"/>
        <w:jc w:val="both"/>
      </w:pPr>
    </w:p>
    <w:p w:rsidR="001904B7" w:rsidRDefault="001904B7" w:rsidP="00017466">
      <w:pPr>
        <w:pStyle w:val="para"/>
        <w:jc w:val="both"/>
      </w:pPr>
    </w:p>
    <w:p w:rsidR="003A5A96" w:rsidRDefault="003A5A96" w:rsidP="00017466">
      <w:pPr>
        <w:pStyle w:val="para"/>
        <w:jc w:val="both"/>
        <w:rPr>
          <w:rFonts w:ascii="Georgia" w:hAnsi="Georgia"/>
          <w:color w:val="333333"/>
          <w:sz w:val="21"/>
          <w:szCs w:val="21"/>
        </w:rPr>
      </w:pPr>
    </w:p>
    <w:sectPr w:rsidR="003A5A96" w:rsidSect="004B424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4D3" w:rsidRDefault="00A854D3" w:rsidP="005F6923">
      <w:pPr>
        <w:spacing w:after="0" w:line="240" w:lineRule="auto"/>
      </w:pPr>
      <w:r>
        <w:separator/>
      </w:r>
    </w:p>
  </w:endnote>
  <w:endnote w:type="continuationSeparator" w:id="0">
    <w:p w:rsidR="00A854D3" w:rsidRDefault="00A854D3" w:rsidP="005F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4D3" w:rsidRDefault="00A854D3" w:rsidP="005F6923">
      <w:pPr>
        <w:spacing w:after="0" w:line="240" w:lineRule="auto"/>
      </w:pPr>
      <w:r>
        <w:separator/>
      </w:r>
    </w:p>
  </w:footnote>
  <w:footnote w:type="continuationSeparator" w:id="0">
    <w:p w:rsidR="00A854D3" w:rsidRDefault="00A854D3" w:rsidP="005F6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4845032"/>
      <w:docPartObj>
        <w:docPartGallery w:val="Page Numbers (Top of Page)"/>
        <w:docPartUnique/>
      </w:docPartObj>
    </w:sdtPr>
    <w:sdtEndPr>
      <w:rPr>
        <w:noProof/>
      </w:rPr>
    </w:sdtEndPr>
    <w:sdtContent>
      <w:p w:rsidR="004B4249" w:rsidRPr="00A03FAB" w:rsidRDefault="00A03FAB">
        <w:pPr>
          <w:pStyle w:val="Header"/>
          <w:jc w:val="right"/>
          <w:rPr>
            <w:rFonts w:ascii="Times New Roman" w:hAnsi="Times New Roman" w:cs="Times New Roman"/>
            <w:sz w:val="24"/>
            <w:szCs w:val="24"/>
          </w:rPr>
        </w:pPr>
        <w:r w:rsidRPr="00A03FAB">
          <w:rPr>
            <w:rFonts w:ascii="Times New Roman" w:hAnsi="Times New Roman" w:cs="Times New Roman"/>
            <w:sz w:val="24"/>
            <w:szCs w:val="24"/>
          </w:rPr>
          <w:t>CORPORATE GOVERNANCE IN AMERICA SOCIETY</w:t>
        </w:r>
        <w:r>
          <w:rPr>
            <w:rFonts w:ascii="Times New Roman" w:hAnsi="Times New Roman" w:cs="Times New Roman"/>
            <w:sz w:val="24"/>
            <w:szCs w:val="24"/>
          </w:rPr>
          <w:t xml:space="preserve">                                                         </w:t>
        </w:r>
        <w:r w:rsidRPr="00A03FAB">
          <w:rPr>
            <w:rFonts w:ascii="Times New Roman" w:hAnsi="Times New Roman" w:cs="Times New Roman"/>
            <w:sz w:val="24"/>
            <w:szCs w:val="24"/>
          </w:rPr>
          <w:t xml:space="preserve"> </w:t>
        </w:r>
        <w:r w:rsidR="004B4249" w:rsidRPr="00A03FAB">
          <w:rPr>
            <w:rFonts w:ascii="Times New Roman" w:hAnsi="Times New Roman" w:cs="Times New Roman"/>
            <w:sz w:val="24"/>
            <w:szCs w:val="24"/>
          </w:rPr>
          <w:fldChar w:fldCharType="begin"/>
        </w:r>
        <w:r w:rsidR="004B4249" w:rsidRPr="00A03FAB">
          <w:rPr>
            <w:rFonts w:ascii="Times New Roman" w:hAnsi="Times New Roman" w:cs="Times New Roman"/>
            <w:sz w:val="24"/>
            <w:szCs w:val="24"/>
          </w:rPr>
          <w:instrText xml:space="preserve"> PAGE   \* MERGEFORMAT </w:instrText>
        </w:r>
        <w:r w:rsidR="004B4249" w:rsidRPr="00A03FAB">
          <w:rPr>
            <w:rFonts w:ascii="Times New Roman" w:hAnsi="Times New Roman" w:cs="Times New Roman"/>
            <w:sz w:val="24"/>
            <w:szCs w:val="24"/>
          </w:rPr>
          <w:fldChar w:fldCharType="separate"/>
        </w:r>
        <w:r w:rsidR="001B1760">
          <w:rPr>
            <w:rFonts w:ascii="Times New Roman" w:hAnsi="Times New Roman" w:cs="Times New Roman"/>
            <w:noProof/>
            <w:sz w:val="24"/>
            <w:szCs w:val="24"/>
          </w:rPr>
          <w:t>7</w:t>
        </w:r>
        <w:r w:rsidR="004B4249" w:rsidRPr="00A03FAB">
          <w:rPr>
            <w:rFonts w:ascii="Times New Roman" w:hAnsi="Times New Roman" w:cs="Times New Roman"/>
            <w:noProof/>
            <w:sz w:val="24"/>
            <w:szCs w:val="24"/>
          </w:rPr>
          <w:fldChar w:fldCharType="end"/>
        </w:r>
      </w:p>
    </w:sdtContent>
  </w:sdt>
  <w:p w:rsidR="004B4249" w:rsidRDefault="004B42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1394050"/>
      <w:docPartObj>
        <w:docPartGallery w:val="Page Numbers (Top of Page)"/>
        <w:docPartUnique/>
      </w:docPartObj>
    </w:sdtPr>
    <w:sdtEndPr>
      <w:rPr>
        <w:rFonts w:asciiTheme="minorHAnsi" w:hAnsiTheme="minorHAnsi" w:cstheme="minorBidi"/>
        <w:noProof/>
        <w:sz w:val="22"/>
        <w:szCs w:val="22"/>
      </w:rPr>
    </w:sdtEndPr>
    <w:sdtContent>
      <w:p w:rsidR="004B4249" w:rsidRDefault="004B4249">
        <w:pPr>
          <w:pStyle w:val="Header"/>
          <w:jc w:val="right"/>
        </w:pPr>
        <w:r w:rsidRPr="004B4249">
          <w:rPr>
            <w:rFonts w:ascii="Times New Roman" w:hAnsi="Times New Roman" w:cs="Times New Roman"/>
            <w:sz w:val="24"/>
            <w:szCs w:val="24"/>
          </w:rPr>
          <w:t>Running head: CORPORATE</w:t>
        </w:r>
        <w:r w:rsidR="00B72BB2">
          <w:rPr>
            <w:rFonts w:ascii="Times New Roman" w:hAnsi="Times New Roman" w:cs="Times New Roman"/>
            <w:sz w:val="24"/>
            <w:szCs w:val="24"/>
          </w:rPr>
          <w:t xml:space="preserve"> GOVERNANCE IN </w:t>
        </w:r>
        <w:r w:rsidR="00B72BB2" w:rsidRPr="004B4249">
          <w:rPr>
            <w:rFonts w:ascii="Times New Roman" w:hAnsi="Times New Roman" w:cs="Times New Roman"/>
            <w:sz w:val="24"/>
            <w:szCs w:val="24"/>
          </w:rPr>
          <w:t>AMERICA</w:t>
        </w:r>
        <w:r w:rsidRPr="004B4249">
          <w:rPr>
            <w:rFonts w:ascii="Times New Roman" w:hAnsi="Times New Roman" w:cs="Times New Roman"/>
            <w:sz w:val="24"/>
            <w:szCs w:val="24"/>
          </w:rPr>
          <w:t xml:space="preserve"> SOCIETY</w:t>
        </w:r>
        <w:r>
          <w:rPr>
            <w:rFonts w:ascii="Times New Roman" w:hAnsi="Times New Roman" w:cs="Times New Roman"/>
            <w:sz w:val="24"/>
            <w:szCs w:val="24"/>
          </w:rPr>
          <w:t xml:space="preserve">                                </w:t>
        </w:r>
        <w:r w:rsidRPr="004B4249">
          <w:rPr>
            <w:rFonts w:ascii="Times New Roman" w:hAnsi="Times New Roman" w:cs="Times New Roman"/>
            <w:sz w:val="24"/>
            <w:szCs w:val="24"/>
          </w:rPr>
          <w:t xml:space="preserve"> </w:t>
        </w:r>
        <w:r w:rsidRPr="004B4249">
          <w:rPr>
            <w:rFonts w:ascii="Times New Roman" w:hAnsi="Times New Roman" w:cs="Times New Roman"/>
            <w:sz w:val="24"/>
            <w:szCs w:val="24"/>
          </w:rPr>
          <w:fldChar w:fldCharType="begin"/>
        </w:r>
        <w:r w:rsidRPr="004B4249">
          <w:rPr>
            <w:rFonts w:ascii="Times New Roman" w:hAnsi="Times New Roman" w:cs="Times New Roman"/>
            <w:sz w:val="24"/>
            <w:szCs w:val="24"/>
          </w:rPr>
          <w:instrText xml:space="preserve"> PAGE   \* MERGEFORMAT </w:instrText>
        </w:r>
        <w:r w:rsidRPr="004B4249">
          <w:rPr>
            <w:rFonts w:ascii="Times New Roman" w:hAnsi="Times New Roman" w:cs="Times New Roman"/>
            <w:sz w:val="24"/>
            <w:szCs w:val="24"/>
          </w:rPr>
          <w:fldChar w:fldCharType="separate"/>
        </w:r>
        <w:r w:rsidR="00A854D3">
          <w:rPr>
            <w:rFonts w:ascii="Times New Roman" w:hAnsi="Times New Roman" w:cs="Times New Roman"/>
            <w:noProof/>
            <w:sz w:val="24"/>
            <w:szCs w:val="24"/>
          </w:rPr>
          <w:t>1</w:t>
        </w:r>
        <w:r w:rsidRPr="004B4249">
          <w:rPr>
            <w:rFonts w:ascii="Times New Roman" w:hAnsi="Times New Roman" w:cs="Times New Roman"/>
            <w:noProof/>
            <w:sz w:val="24"/>
            <w:szCs w:val="24"/>
          </w:rPr>
          <w:fldChar w:fldCharType="end"/>
        </w:r>
      </w:p>
    </w:sdtContent>
  </w:sdt>
  <w:p w:rsidR="004B4249" w:rsidRDefault="004B42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264C1"/>
    <w:multiLevelType w:val="multilevel"/>
    <w:tmpl w:val="346C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90B1C"/>
    <w:multiLevelType w:val="multilevel"/>
    <w:tmpl w:val="A10E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487975"/>
    <w:multiLevelType w:val="multilevel"/>
    <w:tmpl w:val="8900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5A7"/>
    <w:rsid w:val="00017466"/>
    <w:rsid w:val="00026727"/>
    <w:rsid w:val="00037728"/>
    <w:rsid w:val="00037902"/>
    <w:rsid w:val="000379E4"/>
    <w:rsid w:val="00044E2A"/>
    <w:rsid w:val="00054454"/>
    <w:rsid w:val="00055256"/>
    <w:rsid w:val="000638AC"/>
    <w:rsid w:val="00070A60"/>
    <w:rsid w:val="000857F4"/>
    <w:rsid w:val="00096D17"/>
    <w:rsid w:val="000A65A7"/>
    <w:rsid w:val="000B4C92"/>
    <w:rsid w:val="000E483F"/>
    <w:rsid w:val="00101663"/>
    <w:rsid w:val="00106EEA"/>
    <w:rsid w:val="00112EDE"/>
    <w:rsid w:val="00117A26"/>
    <w:rsid w:val="00143DCF"/>
    <w:rsid w:val="001533FC"/>
    <w:rsid w:val="001700CB"/>
    <w:rsid w:val="00171173"/>
    <w:rsid w:val="001718C7"/>
    <w:rsid w:val="00186950"/>
    <w:rsid w:val="001904B7"/>
    <w:rsid w:val="00196433"/>
    <w:rsid w:val="001B1760"/>
    <w:rsid w:val="001E27E5"/>
    <w:rsid w:val="001F20AD"/>
    <w:rsid w:val="001F408F"/>
    <w:rsid w:val="00202E91"/>
    <w:rsid w:val="00213260"/>
    <w:rsid w:val="002466BB"/>
    <w:rsid w:val="00250A25"/>
    <w:rsid w:val="00253B93"/>
    <w:rsid w:val="00255AB1"/>
    <w:rsid w:val="00281CBF"/>
    <w:rsid w:val="002A48A2"/>
    <w:rsid w:val="002A56D8"/>
    <w:rsid w:val="002D0A32"/>
    <w:rsid w:val="002D46CF"/>
    <w:rsid w:val="002E09F9"/>
    <w:rsid w:val="002E332F"/>
    <w:rsid w:val="002E5B46"/>
    <w:rsid w:val="002E625F"/>
    <w:rsid w:val="002F1EFB"/>
    <w:rsid w:val="00301FFE"/>
    <w:rsid w:val="0030536C"/>
    <w:rsid w:val="0031301D"/>
    <w:rsid w:val="0032358D"/>
    <w:rsid w:val="00326FB4"/>
    <w:rsid w:val="0033217C"/>
    <w:rsid w:val="003332BA"/>
    <w:rsid w:val="003346E6"/>
    <w:rsid w:val="00335E79"/>
    <w:rsid w:val="00342F05"/>
    <w:rsid w:val="00352E87"/>
    <w:rsid w:val="0036575E"/>
    <w:rsid w:val="00376735"/>
    <w:rsid w:val="00382054"/>
    <w:rsid w:val="003A02D4"/>
    <w:rsid w:val="003A5A96"/>
    <w:rsid w:val="003B3058"/>
    <w:rsid w:val="003C03A8"/>
    <w:rsid w:val="003D34D4"/>
    <w:rsid w:val="003E2125"/>
    <w:rsid w:val="003F3927"/>
    <w:rsid w:val="003F3ADF"/>
    <w:rsid w:val="004007BD"/>
    <w:rsid w:val="00421BD6"/>
    <w:rsid w:val="00464451"/>
    <w:rsid w:val="0047627E"/>
    <w:rsid w:val="004872E3"/>
    <w:rsid w:val="00487380"/>
    <w:rsid w:val="00496D6B"/>
    <w:rsid w:val="004A539C"/>
    <w:rsid w:val="004B0CD2"/>
    <w:rsid w:val="004B15D0"/>
    <w:rsid w:val="004B38FF"/>
    <w:rsid w:val="004B4249"/>
    <w:rsid w:val="004B4AD4"/>
    <w:rsid w:val="004B5499"/>
    <w:rsid w:val="004C403D"/>
    <w:rsid w:val="004E52FF"/>
    <w:rsid w:val="004E6708"/>
    <w:rsid w:val="004F43C6"/>
    <w:rsid w:val="004F4D34"/>
    <w:rsid w:val="00525A7A"/>
    <w:rsid w:val="005308F3"/>
    <w:rsid w:val="00542318"/>
    <w:rsid w:val="00547D07"/>
    <w:rsid w:val="00551157"/>
    <w:rsid w:val="00560589"/>
    <w:rsid w:val="00580934"/>
    <w:rsid w:val="005B6381"/>
    <w:rsid w:val="005C188C"/>
    <w:rsid w:val="005D24B6"/>
    <w:rsid w:val="005D68A3"/>
    <w:rsid w:val="005F2C3F"/>
    <w:rsid w:val="005F6923"/>
    <w:rsid w:val="006014AC"/>
    <w:rsid w:val="00607F14"/>
    <w:rsid w:val="00621BAF"/>
    <w:rsid w:val="00622692"/>
    <w:rsid w:val="0062536F"/>
    <w:rsid w:val="006263C5"/>
    <w:rsid w:val="00634F9E"/>
    <w:rsid w:val="006542C8"/>
    <w:rsid w:val="006600B1"/>
    <w:rsid w:val="0066051C"/>
    <w:rsid w:val="006807BC"/>
    <w:rsid w:val="006857D6"/>
    <w:rsid w:val="00695BDF"/>
    <w:rsid w:val="006A511E"/>
    <w:rsid w:val="006B36DE"/>
    <w:rsid w:val="006B77D8"/>
    <w:rsid w:val="006C166B"/>
    <w:rsid w:val="006C74A1"/>
    <w:rsid w:val="006E561C"/>
    <w:rsid w:val="00722DBE"/>
    <w:rsid w:val="00746847"/>
    <w:rsid w:val="00750DE1"/>
    <w:rsid w:val="007608DE"/>
    <w:rsid w:val="00761B21"/>
    <w:rsid w:val="00763874"/>
    <w:rsid w:val="00764058"/>
    <w:rsid w:val="00764937"/>
    <w:rsid w:val="00777499"/>
    <w:rsid w:val="007803B4"/>
    <w:rsid w:val="007A6BB4"/>
    <w:rsid w:val="007B6050"/>
    <w:rsid w:val="007E5705"/>
    <w:rsid w:val="007F2AF6"/>
    <w:rsid w:val="007F4A5D"/>
    <w:rsid w:val="007F56BE"/>
    <w:rsid w:val="0080463B"/>
    <w:rsid w:val="00816621"/>
    <w:rsid w:val="00816C91"/>
    <w:rsid w:val="00846A3D"/>
    <w:rsid w:val="008733FB"/>
    <w:rsid w:val="008743CD"/>
    <w:rsid w:val="00885910"/>
    <w:rsid w:val="008B01F3"/>
    <w:rsid w:val="008B56E3"/>
    <w:rsid w:val="008C5EC8"/>
    <w:rsid w:val="008C6F26"/>
    <w:rsid w:val="008E01F1"/>
    <w:rsid w:val="008E38D4"/>
    <w:rsid w:val="008E4CC5"/>
    <w:rsid w:val="008E600B"/>
    <w:rsid w:val="008E7285"/>
    <w:rsid w:val="008F77DD"/>
    <w:rsid w:val="009001CF"/>
    <w:rsid w:val="00905C69"/>
    <w:rsid w:val="00911010"/>
    <w:rsid w:val="00916903"/>
    <w:rsid w:val="00922397"/>
    <w:rsid w:val="009243F2"/>
    <w:rsid w:val="009316DC"/>
    <w:rsid w:val="00932D59"/>
    <w:rsid w:val="00937585"/>
    <w:rsid w:val="00953A2B"/>
    <w:rsid w:val="00961CEC"/>
    <w:rsid w:val="00962B0E"/>
    <w:rsid w:val="0096649C"/>
    <w:rsid w:val="00997A74"/>
    <w:rsid w:val="009D5C78"/>
    <w:rsid w:val="009D62D4"/>
    <w:rsid w:val="009F5604"/>
    <w:rsid w:val="009F5C96"/>
    <w:rsid w:val="009F7295"/>
    <w:rsid w:val="00A03FAB"/>
    <w:rsid w:val="00A1589F"/>
    <w:rsid w:val="00A27A55"/>
    <w:rsid w:val="00A56051"/>
    <w:rsid w:val="00A753FF"/>
    <w:rsid w:val="00A77011"/>
    <w:rsid w:val="00A820B7"/>
    <w:rsid w:val="00A845AE"/>
    <w:rsid w:val="00A854D3"/>
    <w:rsid w:val="00A90BD8"/>
    <w:rsid w:val="00A95F66"/>
    <w:rsid w:val="00AA420F"/>
    <w:rsid w:val="00AA7580"/>
    <w:rsid w:val="00AA7B35"/>
    <w:rsid w:val="00AB4673"/>
    <w:rsid w:val="00AC1BDE"/>
    <w:rsid w:val="00AC5048"/>
    <w:rsid w:val="00AD07A4"/>
    <w:rsid w:val="00AD3905"/>
    <w:rsid w:val="00AE12E2"/>
    <w:rsid w:val="00AE12F7"/>
    <w:rsid w:val="00AF2353"/>
    <w:rsid w:val="00AF2A01"/>
    <w:rsid w:val="00B00C96"/>
    <w:rsid w:val="00B04FBB"/>
    <w:rsid w:val="00B07FE9"/>
    <w:rsid w:val="00B14C75"/>
    <w:rsid w:val="00B242B3"/>
    <w:rsid w:val="00B25B39"/>
    <w:rsid w:val="00B27A02"/>
    <w:rsid w:val="00B40FF8"/>
    <w:rsid w:val="00B64F10"/>
    <w:rsid w:val="00B71705"/>
    <w:rsid w:val="00B72BB2"/>
    <w:rsid w:val="00B7796F"/>
    <w:rsid w:val="00BA0C89"/>
    <w:rsid w:val="00BC63C4"/>
    <w:rsid w:val="00BD2F00"/>
    <w:rsid w:val="00BD73C9"/>
    <w:rsid w:val="00BF130D"/>
    <w:rsid w:val="00C06672"/>
    <w:rsid w:val="00C44EE8"/>
    <w:rsid w:val="00C5303A"/>
    <w:rsid w:val="00C87117"/>
    <w:rsid w:val="00C87344"/>
    <w:rsid w:val="00CA5BF8"/>
    <w:rsid w:val="00CB7FD1"/>
    <w:rsid w:val="00CE324B"/>
    <w:rsid w:val="00CF59EB"/>
    <w:rsid w:val="00D0127C"/>
    <w:rsid w:val="00D1231A"/>
    <w:rsid w:val="00D17CB0"/>
    <w:rsid w:val="00D303DA"/>
    <w:rsid w:val="00D34DA7"/>
    <w:rsid w:val="00D34EA2"/>
    <w:rsid w:val="00D568A5"/>
    <w:rsid w:val="00D61165"/>
    <w:rsid w:val="00D840A8"/>
    <w:rsid w:val="00DA08FC"/>
    <w:rsid w:val="00DA6C8D"/>
    <w:rsid w:val="00DA7F7E"/>
    <w:rsid w:val="00DB7BED"/>
    <w:rsid w:val="00DF19E0"/>
    <w:rsid w:val="00DF6E3E"/>
    <w:rsid w:val="00E10E51"/>
    <w:rsid w:val="00E17449"/>
    <w:rsid w:val="00E37BD0"/>
    <w:rsid w:val="00E45FB7"/>
    <w:rsid w:val="00E52577"/>
    <w:rsid w:val="00E54364"/>
    <w:rsid w:val="00E92691"/>
    <w:rsid w:val="00E96B6C"/>
    <w:rsid w:val="00EA03A5"/>
    <w:rsid w:val="00EA399B"/>
    <w:rsid w:val="00EB3550"/>
    <w:rsid w:val="00EC4D59"/>
    <w:rsid w:val="00EE5462"/>
    <w:rsid w:val="00F003F2"/>
    <w:rsid w:val="00F0258A"/>
    <w:rsid w:val="00F03935"/>
    <w:rsid w:val="00F06295"/>
    <w:rsid w:val="00F10543"/>
    <w:rsid w:val="00F1333B"/>
    <w:rsid w:val="00F205FA"/>
    <w:rsid w:val="00F24A67"/>
    <w:rsid w:val="00F31745"/>
    <w:rsid w:val="00F36BE5"/>
    <w:rsid w:val="00F37B6B"/>
    <w:rsid w:val="00F4340D"/>
    <w:rsid w:val="00F447E6"/>
    <w:rsid w:val="00F44ED6"/>
    <w:rsid w:val="00F517F5"/>
    <w:rsid w:val="00F54C2B"/>
    <w:rsid w:val="00F60DB2"/>
    <w:rsid w:val="00F63B5A"/>
    <w:rsid w:val="00F66AD0"/>
    <w:rsid w:val="00F846FD"/>
    <w:rsid w:val="00FB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24F06-653E-4998-A81D-6F809F10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00B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600B1"/>
    <w:rPr>
      <w:color w:val="0000FF"/>
      <w:u w:val="single"/>
    </w:rPr>
  </w:style>
  <w:style w:type="paragraph" w:styleId="FootnoteText">
    <w:name w:val="footnote text"/>
    <w:basedOn w:val="Normal"/>
    <w:link w:val="FootnoteTextChar"/>
    <w:semiHidden/>
    <w:rsid w:val="005F692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F6923"/>
    <w:rPr>
      <w:rFonts w:ascii="Times New Roman" w:eastAsia="Times New Roman" w:hAnsi="Times New Roman" w:cs="Times New Roman"/>
      <w:sz w:val="20"/>
      <w:szCs w:val="20"/>
    </w:rPr>
  </w:style>
  <w:style w:type="character" w:styleId="FootnoteReference">
    <w:name w:val="footnote reference"/>
    <w:basedOn w:val="DefaultParagraphFont"/>
    <w:semiHidden/>
    <w:rsid w:val="005F6923"/>
    <w:rPr>
      <w:vertAlign w:val="superscript"/>
    </w:rPr>
  </w:style>
  <w:style w:type="paragraph" w:styleId="BodyTextIndent">
    <w:name w:val="Body Text Indent"/>
    <w:basedOn w:val="Normal"/>
    <w:link w:val="BodyTextIndentChar"/>
    <w:semiHidden/>
    <w:rsid w:val="005F6923"/>
    <w:pPr>
      <w:spacing w:after="0" w:line="480" w:lineRule="auto"/>
      <w:ind w:firstLine="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5F6923"/>
    <w:rPr>
      <w:rFonts w:ascii="Times New Roman" w:eastAsia="Times New Roman" w:hAnsi="Times New Roman" w:cs="Times New Roman"/>
      <w:sz w:val="24"/>
      <w:szCs w:val="24"/>
    </w:rPr>
  </w:style>
  <w:style w:type="paragraph" w:styleId="EndnoteText">
    <w:name w:val="endnote text"/>
    <w:basedOn w:val="Normal"/>
    <w:link w:val="EndnoteTextChar"/>
    <w:semiHidden/>
    <w:rsid w:val="005F6923"/>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EndnoteTextChar">
    <w:name w:val="Endnote Text Char"/>
    <w:basedOn w:val="DefaultParagraphFont"/>
    <w:link w:val="EndnoteText"/>
    <w:semiHidden/>
    <w:rsid w:val="005F6923"/>
    <w:rPr>
      <w:rFonts w:ascii="Courier New" w:eastAsia="Times New Roman" w:hAnsi="Courier New" w:cs="Times New Roman"/>
      <w:sz w:val="20"/>
      <w:szCs w:val="20"/>
    </w:rPr>
  </w:style>
  <w:style w:type="character" w:customStyle="1" w:styleId="marginterm">
    <w:name w:val="margin_term"/>
    <w:basedOn w:val="DefaultParagraphFont"/>
    <w:rsid w:val="00AE12F7"/>
  </w:style>
  <w:style w:type="character" w:customStyle="1" w:styleId="footnote">
    <w:name w:val="footnote"/>
    <w:basedOn w:val="DefaultParagraphFont"/>
    <w:rsid w:val="00AE12F7"/>
  </w:style>
  <w:style w:type="paragraph" w:customStyle="1" w:styleId="para">
    <w:name w:val="para"/>
    <w:basedOn w:val="Normal"/>
    <w:rsid w:val="006B77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4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249"/>
  </w:style>
  <w:style w:type="paragraph" w:styleId="Footer">
    <w:name w:val="footer"/>
    <w:basedOn w:val="Normal"/>
    <w:link w:val="FooterChar"/>
    <w:uiPriority w:val="99"/>
    <w:unhideWhenUsed/>
    <w:rsid w:val="004B4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306509">
      <w:bodyDiv w:val="1"/>
      <w:marLeft w:val="0"/>
      <w:marRight w:val="0"/>
      <w:marTop w:val="0"/>
      <w:marBottom w:val="0"/>
      <w:divBdr>
        <w:top w:val="none" w:sz="0" w:space="0" w:color="auto"/>
        <w:left w:val="none" w:sz="0" w:space="0" w:color="auto"/>
        <w:bottom w:val="none" w:sz="0" w:space="0" w:color="auto"/>
        <w:right w:val="none" w:sz="0" w:space="0" w:color="auto"/>
      </w:divBdr>
    </w:div>
    <w:div w:id="1044868034">
      <w:bodyDiv w:val="1"/>
      <w:marLeft w:val="0"/>
      <w:marRight w:val="0"/>
      <w:marTop w:val="0"/>
      <w:marBottom w:val="0"/>
      <w:divBdr>
        <w:top w:val="none" w:sz="0" w:space="0" w:color="auto"/>
        <w:left w:val="none" w:sz="0" w:space="0" w:color="auto"/>
        <w:bottom w:val="none" w:sz="0" w:space="0" w:color="auto"/>
        <w:right w:val="none" w:sz="0" w:space="0" w:color="auto"/>
      </w:divBdr>
    </w:div>
    <w:div w:id="1210410736">
      <w:bodyDiv w:val="1"/>
      <w:marLeft w:val="0"/>
      <w:marRight w:val="0"/>
      <w:marTop w:val="0"/>
      <w:marBottom w:val="0"/>
      <w:divBdr>
        <w:top w:val="none" w:sz="0" w:space="0" w:color="auto"/>
        <w:left w:val="none" w:sz="0" w:space="0" w:color="auto"/>
        <w:bottom w:val="none" w:sz="0" w:space="0" w:color="auto"/>
        <w:right w:val="none" w:sz="0" w:space="0" w:color="auto"/>
      </w:divBdr>
      <w:divsChild>
        <w:div w:id="148716756">
          <w:marLeft w:val="0"/>
          <w:marRight w:val="0"/>
          <w:marTop w:val="0"/>
          <w:marBottom w:val="0"/>
          <w:divBdr>
            <w:top w:val="none" w:sz="0" w:space="0" w:color="auto"/>
            <w:left w:val="none" w:sz="0" w:space="0" w:color="auto"/>
            <w:bottom w:val="none" w:sz="0" w:space="0" w:color="auto"/>
            <w:right w:val="none" w:sz="0" w:space="0" w:color="auto"/>
          </w:divBdr>
        </w:div>
      </w:divsChild>
    </w:div>
    <w:div w:id="1579637396">
      <w:bodyDiv w:val="1"/>
      <w:marLeft w:val="0"/>
      <w:marRight w:val="0"/>
      <w:marTop w:val="0"/>
      <w:marBottom w:val="0"/>
      <w:divBdr>
        <w:top w:val="none" w:sz="0" w:space="0" w:color="auto"/>
        <w:left w:val="none" w:sz="0" w:space="0" w:color="auto"/>
        <w:bottom w:val="none" w:sz="0" w:space="0" w:color="auto"/>
        <w:right w:val="none" w:sz="0" w:space="0" w:color="auto"/>
      </w:divBdr>
    </w:div>
    <w:div w:id="1659528857">
      <w:bodyDiv w:val="1"/>
      <w:marLeft w:val="0"/>
      <w:marRight w:val="0"/>
      <w:marTop w:val="0"/>
      <w:marBottom w:val="0"/>
      <w:divBdr>
        <w:top w:val="none" w:sz="0" w:space="0" w:color="auto"/>
        <w:left w:val="none" w:sz="0" w:space="0" w:color="auto"/>
        <w:bottom w:val="none" w:sz="0" w:space="0" w:color="auto"/>
        <w:right w:val="none" w:sz="0" w:space="0" w:color="auto"/>
      </w:divBdr>
    </w:div>
    <w:div w:id="1968968924">
      <w:bodyDiv w:val="1"/>
      <w:marLeft w:val="0"/>
      <w:marRight w:val="0"/>
      <w:marTop w:val="0"/>
      <w:marBottom w:val="0"/>
      <w:divBdr>
        <w:top w:val="none" w:sz="0" w:space="0" w:color="auto"/>
        <w:left w:val="none" w:sz="0" w:space="0" w:color="auto"/>
        <w:bottom w:val="none" w:sz="0" w:space="0" w:color="auto"/>
        <w:right w:val="none" w:sz="0" w:space="0" w:color="auto"/>
      </w:divBdr>
    </w:div>
    <w:div w:id="2047489113">
      <w:bodyDiv w:val="1"/>
      <w:marLeft w:val="0"/>
      <w:marRight w:val="0"/>
      <w:marTop w:val="0"/>
      <w:marBottom w:val="0"/>
      <w:divBdr>
        <w:top w:val="none" w:sz="0" w:space="0" w:color="auto"/>
        <w:left w:val="none" w:sz="0" w:space="0" w:color="auto"/>
        <w:bottom w:val="none" w:sz="0" w:space="0" w:color="auto"/>
        <w:right w:val="none" w:sz="0" w:space="0" w:color="auto"/>
      </w:divBdr>
      <w:divsChild>
        <w:div w:id="32118773">
          <w:marLeft w:val="0"/>
          <w:marRight w:val="0"/>
          <w:marTop w:val="0"/>
          <w:marBottom w:val="0"/>
          <w:divBdr>
            <w:top w:val="none" w:sz="0" w:space="0" w:color="auto"/>
            <w:left w:val="none" w:sz="0" w:space="0" w:color="auto"/>
            <w:bottom w:val="none" w:sz="0" w:space="0" w:color="auto"/>
            <w:right w:val="none" w:sz="0" w:space="0" w:color="auto"/>
          </w:divBdr>
        </w:div>
        <w:div w:id="695547334">
          <w:marLeft w:val="0"/>
          <w:marRight w:val="0"/>
          <w:marTop w:val="0"/>
          <w:marBottom w:val="0"/>
          <w:divBdr>
            <w:top w:val="none" w:sz="0" w:space="0" w:color="auto"/>
            <w:left w:val="none" w:sz="0" w:space="0" w:color="auto"/>
            <w:bottom w:val="none" w:sz="0" w:space="0" w:color="auto"/>
            <w:right w:val="none" w:sz="0" w:space="0" w:color="auto"/>
          </w:divBdr>
          <w:divsChild>
            <w:div w:id="1581022111">
              <w:marLeft w:val="0"/>
              <w:marRight w:val="0"/>
              <w:marTop w:val="0"/>
              <w:marBottom w:val="0"/>
              <w:divBdr>
                <w:top w:val="none" w:sz="0" w:space="0" w:color="auto"/>
                <w:left w:val="none" w:sz="0" w:space="0" w:color="auto"/>
                <w:bottom w:val="none" w:sz="0" w:space="0" w:color="auto"/>
                <w:right w:val="none" w:sz="0" w:space="0" w:color="auto"/>
              </w:divBdr>
              <w:divsChild>
                <w:div w:id="407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bswk.hbs.edu/item/materiality-in-corporate-governance-the-statement-of-significant-audiences-and-material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C4891F3-0547-4F94-89A8-A4BB880D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7</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hp15</cp:lastModifiedBy>
  <cp:revision>409</cp:revision>
  <dcterms:created xsi:type="dcterms:W3CDTF">2018-12-11T17:30:00Z</dcterms:created>
  <dcterms:modified xsi:type="dcterms:W3CDTF">2018-12-13T06:36:00Z</dcterms:modified>
</cp:coreProperties>
</file>