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822AB5" w:rsidRPr="00252075" w:rsidRDefault="009609B3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A</w:t>
      </w:r>
      <w:r w:rsidR="00252075"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cquiring research facilities</w:t>
      </w:r>
    </w:p>
    <w:p w:rsidR="00300F38" w:rsidRPr="00252075" w:rsidRDefault="009609B3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Name</w:t>
      </w:r>
    </w:p>
    <w:p w:rsidR="00300F38" w:rsidRPr="00252075" w:rsidRDefault="009609B3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Institution</w:t>
      </w:r>
    </w:p>
    <w:p w:rsidR="00300F38" w:rsidRPr="00252075" w:rsidRDefault="009609B3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Course</w:t>
      </w:r>
    </w:p>
    <w:p w:rsidR="00300F38" w:rsidRPr="00252075" w:rsidRDefault="009609B3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Date</w:t>
      </w: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300F38" w:rsidRPr="00252075" w:rsidRDefault="00300F38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p w:rsidR="00794E61" w:rsidRPr="00252075" w:rsidRDefault="009609B3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lastRenderedPageBreak/>
        <w:t>A</w:t>
      </w: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cquiring </w:t>
      </w: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R</w:t>
      </w: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esearch </w:t>
      </w: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F</w:t>
      </w:r>
      <w:r w:rsidRPr="002520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acilities</w:t>
      </w:r>
    </w:p>
    <w:p w:rsidR="00C7723C" w:rsidRPr="00252075" w:rsidRDefault="009609B3" w:rsidP="0025207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Two</w:t>
      </w:r>
      <w:r w:rsidR="00CA6F24"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options for acquiring research facilities </w:t>
      </w:r>
      <w:bookmarkStart w:id="0" w:name="_GoBack"/>
      <w:bookmarkEnd w:id="0"/>
    </w:p>
    <w:p w:rsidR="00EB66D4" w:rsidRPr="00252075" w:rsidRDefault="009609B3" w:rsidP="00252075">
      <w:pPr>
        <w:shd w:val="clear" w:color="auto" w:fill="FFFFFF"/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The two options for acquiring research facilities are either leasing or building/renovating. </w:t>
      </w:r>
      <w:r w:rsidR="00C7723C"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Leasing or renovating/building equipment depends on the situation the organization is facing. Leasing equipment may be a good alternative for the firm owners who need equipment which must regularly 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be upgraded or who have limited resource while building or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renovating can be a better alternative for equipment that has a long usable life or established business</w:t>
      </w:r>
      <w:r w:rsidR="00984EC6" w:rsidRPr="00252075">
        <w:rPr>
          <w:rFonts w:ascii="Times New Roman" w:hAnsi="Times New Roman" w:cs="Times New Roman"/>
          <w:sz w:val="24"/>
          <w:szCs w:val="24"/>
        </w:rPr>
        <w:t>(</w:t>
      </w:r>
      <w:r w:rsidR="00984EC6"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Bourreau&amp;Doğan, 2006)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Nevertheless, each business is unique, and the decision to build or lease research facilities should be made based on case-by-case. The organization should try to figure out the estimated net costs of the research facility before deciding whether to rent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or build it. </w:t>
      </w:r>
      <w:r w:rsidR="000A4AF8"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Tax breaks and ownership make a building or renovating the research facilities appealing, but huge initial capital implies this alternative is not for everyone.</w:t>
      </w:r>
    </w:p>
    <w:p w:rsidR="007734B5" w:rsidRPr="00252075" w:rsidRDefault="009609B3" w:rsidP="0025207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Specific benefits of both approaches with regards to sustainability</w:t>
      </w:r>
    </w:p>
    <w:p w:rsidR="007734B5" w:rsidRPr="00252075" w:rsidRDefault="009609B3" w:rsidP="0025207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Advantages of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leasing the research facility</w:t>
      </w:r>
    </w:p>
    <w:p w:rsidR="00DF36C5" w:rsidRPr="00252075" w:rsidRDefault="009609B3" w:rsidP="0025207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Renting the research facility provides flexibility and preserves capital</w:t>
      </w:r>
    </w:p>
    <w:p w:rsidR="00DF36C5" w:rsidRPr="00252075" w:rsidRDefault="009609B3" w:rsidP="0025207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Less initial expenditures: the primary strength of leasing research facilities is that it allows the organization to obtain the facilities within minima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l initial expenses</w:t>
      </w:r>
      <w:r w:rsidR="00984EC6"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(Bourreau&amp;Doğan, 2006)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Since </w:t>
      </w:r>
      <w:r w:rsidR="004A1A7C"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facility lease hardly needs down payment, the business can acquire the facility it needs without significantly affecting cash flows. </w:t>
      </w:r>
    </w:p>
    <w:p w:rsidR="004A1A7C" w:rsidRPr="00252075" w:rsidRDefault="009609B3" w:rsidP="0025207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Tax-deductible: payments of leases may often be deducted as business 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expenditures on tax returns of the company, minimizing the net cost of the lease.</w:t>
      </w:r>
    </w:p>
    <w:p w:rsidR="00F12025" w:rsidRPr="00252075" w:rsidRDefault="009609B3" w:rsidP="0025207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Flexible terms: usually, leases of research facilities have more flexible terms and more comfortable to obtain than loans for building or renovating the research 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facilities</w:t>
      </w:r>
      <w:r w:rsidR="00984EC6"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(Bourreau&amp;Doğan, 2006)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This may be a significant edge if the company needs to negotiate an extended payment plan to lower its costs or have bad credits.</w:t>
      </w:r>
    </w:p>
    <w:p w:rsidR="00EB66D4" w:rsidRPr="00252075" w:rsidRDefault="009609B3" w:rsidP="0025207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Easier to upgrade the research facilities: leasing enables the business to deal with the obsolescence pr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oblems</w:t>
      </w:r>
      <w:r w:rsidR="00984EC6"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(Bourreau&amp;Doğan, 2006)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297F95"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If the company uses its leases to acquire items which can be outdated in a short time period, like high-techs or computer equipment, leases pass the obsolescence burden onto the lessors.</w:t>
      </w:r>
    </w:p>
    <w:p w:rsidR="00EB66D4" w:rsidRPr="00252075" w:rsidRDefault="009609B3" w:rsidP="00252075">
      <w:pPr>
        <w:shd w:val="clear" w:color="auto" w:fill="FFFFFF"/>
        <w:spacing w:before="360" w:after="180" w:line="480" w:lineRule="auto"/>
        <w:jc w:val="center"/>
        <w:outlineLvl w:val="3"/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</w:pPr>
      <w:r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>Benefits</w:t>
      </w:r>
      <w:r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 xml:space="preserve"> of </w:t>
      </w:r>
      <w:r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>Building or renovating research facility</w:t>
      </w:r>
    </w:p>
    <w:p w:rsidR="004D4ABA" w:rsidRPr="00252075" w:rsidRDefault="009609B3" w:rsidP="00252075">
      <w:pPr>
        <w:shd w:val="clear" w:color="auto" w:fill="FFFFFF"/>
        <w:spacing w:before="360" w:after="180" w:line="480" w:lineRule="auto"/>
        <w:jc w:val="both"/>
        <w:outlineLvl w:val="3"/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</w:pPr>
      <w:r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>Ownership: the most obvious advantage of building the research facility is that the business will gain its ownership</w:t>
      </w:r>
      <w:r w:rsidR="00984EC6"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>(Bourreau&amp;Doğan, 2006)</w:t>
      </w:r>
      <w:r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 xml:space="preserve">. </w:t>
      </w:r>
      <w:r w:rsidR="00E52BCB"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>Primarily, this is true because the property, such as the research facilities, has long-lasting life and is likely to be beneficial to the company for an extended period of time.</w:t>
      </w:r>
    </w:p>
    <w:p w:rsidR="00605201" w:rsidRPr="00252075" w:rsidRDefault="009609B3" w:rsidP="00252075">
      <w:pPr>
        <w:shd w:val="clear" w:color="auto" w:fill="FFFFFF"/>
        <w:spacing w:before="360" w:after="180" w:line="480" w:lineRule="auto"/>
        <w:jc w:val="both"/>
        <w:outlineLvl w:val="3"/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</w:pPr>
      <w:r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 xml:space="preserve">Tax incentives: Sections 179 of the Internal Revenue codes allow the firm to completely subtract the costs of some newly constructed research facility </w:t>
      </w:r>
      <w:r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 xml:space="preserve">in the first year. </w:t>
      </w:r>
      <w:r w:rsidR="00E72016"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>The business could subtract up to $ 500,000 of research facilities in 2012 and 2013</w:t>
      </w:r>
      <w:r w:rsidR="00984EC6"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>(Bourreau&amp;Doğan, 2006)</w:t>
      </w:r>
      <w:r w:rsidR="00E72016"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 xml:space="preserve">. If the company placed over $ 2,000,000 of the research facilities in any one year, they are subject to phase-out. </w:t>
      </w:r>
      <w:r w:rsidR="00D57477"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>For instance, if one is in the twenty-five percent tax brackets, and he builds or renovates $ 200,000 research facilities this year, the net costs to the business are only $ 175,000.</w:t>
      </w:r>
    </w:p>
    <w:p w:rsidR="00B61550" w:rsidRPr="00252075" w:rsidRDefault="009609B3" w:rsidP="00252075">
      <w:pPr>
        <w:shd w:val="clear" w:color="auto" w:fill="FFFFFF"/>
        <w:spacing w:before="360" w:after="180" w:line="480" w:lineRule="auto"/>
        <w:jc w:val="both"/>
        <w:outlineLvl w:val="3"/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</w:pPr>
      <w:r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 xml:space="preserve">Possibilities of depreciation deductions: the business can still receive tax-saving even though not all </w:t>
      </w:r>
      <w:r w:rsidR="007734B5" w:rsidRPr="00252075">
        <w:rPr>
          <w:rFonts w:ascii="Times New Roman" w:eastAsia="Times New Roman" w:hAnsi="Times New Roman" w:cs="Times New Roman"/>
          <w:color w:val="272727"/>
          <w:sz w:val="24"/>
          <w:szCs w:val="24"/>
          <w:lang w:val="en-GB" w:eastAsia="en-GB"/>
        </w:rPr>
        <w:t xml:space="preserve">building of houses are eligible for treatment of Section 179 for almost any research facilities via depreciation deduction. </w:t>
      </w:r>
    </w:p>
    <w:p w:rsidR="00CA6F24" w:rsidRPr="00252075" w:rsidRDefault="009609B3" w:rsidP="00252075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Summary of</w:t>
      </w:r>
      <w:r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</w:t>
      </w:r>
      <w:r w:rsidR="00984EC6" w:rsidRPr="0025207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he benefits for both approaches</w:t>
      </w:r>
    </w:p>
    <w:tbl>
      <w:tblPr>
        <w:tblW w:w="9258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8"/>
        <w:gridCol w:w="4098"/>
        <w:gridCol w:w="4252"/>
      </w:tblGrid>
      <w:tr w:rsidR="008F5060" w:rsidRPr="00252075" w:rsidTr="00984EC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F24" w:rsidRPr="00252075" w:rsidRDefault="009609B3" w:rsidP="0025207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Benefits</w:t>
            </w:r>
          </w:p>
        </w:tc>
        <w:tc>
          <w:tcPr>
            <w:tcW w:w="4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F24" w:rsidRPr="00252075" w:rsidRDefault="009609B3" w:rsidP="0025207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Build/Renovate</w:t>
            </w:r>
          </w:p>
        </w:tc>
        <w:tc>
          <w:tcPr>
            <w:tcW w:w="4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F24" w:rsidRPr="00252075" w:rsidRDefault="009609B3" w:rsidP="0025207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2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Lease</w:t>
            </w:r>
          </w:p>
        </w:tc>
      </w:tr>
      <w:tr w:rsidR="008F5060" w:rsidRPr="00252075" w:rsidTr="00984EC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F24" w:rsidRPr="00252075" w:rsidRDefault="009609B3" w:rsidP="0025207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Private</w:t>
            </w:r>
          </w:p>
        </w:tc>
        <w:tc>
          <w:tcPr>
            <w:tcW w:w="4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F24" w:rsidRPr="00252075" w:rsidRDefault="009609B3" w:rsidP="0025207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84EC6"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Ownership: the most obvious advantage of building the research facility is that the business will gain its ownership.</w:t>
            </w:r>
          </w:p>
        </w:tc>
        <w:tc>
          <w:tcPr>
            <w:tcW w:w="4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F24" w:rsidRPr="00252075" w:rsidRDefault="009609B3" w:rsidP="0025207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Leasing the research facility provides flexibility and preserves capital</w:t>
            </w:r>
            <w:r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      </w:t>
            </w:r>
            <w:r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F5060" w:rsidRPr="00252075" w:rsidTr="00984EC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F24" w:rsidRPr="00252075" w:rsidRDefault="009609B3" w:rsidP="0025207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</w:p>
        </w:tc>
        <w:tc>
          <w:tcPr>
            <w:tcW w:w="4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F24" w:rsidRPr="00252075" w:rsidRDefault="009609B3" w:rsidP="0025207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84EC6"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 incentives: Sections 179 of the Internal Revenue codes allow the firm to completely subtract the costs of some newly constructed research facility in the first year.</w:t>
            </w:r>
          </w:p>
        </w:tc>
        <w:tc>
          <w:tcPr>
            <w:tcW w:w="4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F24" w:rsidRPr="00252075" w:rsidRDefault="009609B3" w:rsidP="00252075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84EC6" w:rsidRPr="00252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Tax-deductible: payments of leases may often be deducted as business expenditures on tax returns of the company, minimizing the net cost of the lease.</w:t>
            </w:r>
          </w:p>
        </w:tc>
      </w:tr>
    </w:tbl>
    <w:p w:rsidR="00252075" w:rsidRPr="00252075" w:rsidRDefault="00252075" w:rsidP="0025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2075" w:rsidRPr="00252075" w:rsidRDefault="00252075" w:rsidP="0025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2075" w:rsidRPr="00252075" w:rsidRDefault="00252075" w:rsidP="0025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2075" w:rsidRPr="00252075" w:rsidRDefault="00252075" w:rsidP="0025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2075" w:rsidRDefault="00252075" w:rsidP="00252075">
      <w:pPr>
        <w:tabs>
          <w:tab w:val="left" w:pos="27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52075" w:rsidRDefault="00252075" w:rsidP="00252075">
      <w:pPr>
        <w:tabs>
          <w:tab w:val="left" w:pos="27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2075" w:rsidRDefault="00252075" w:rsidP="00252075">
      <w:pPr>
        <w:tabs>
          <w:tab w:val="left" w:pos="27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2075" w:rsidRDefault="00252075" w:rsidP="00252075">
      <w:pPr>
        <w:tabs>
          <w:tab w:val="left" w:pos="27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2075" w:rsidRPr="00252075" w:rsidRDefault="00252075" w:rsidP="00252075">
      <w:pPr>
        <w:tabs>
          <w:tab w:val="left" w:pos="27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2075" w:rsidRPr="00252075" w:rsidRDefault="00252075" w:rsidP="0025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2075" w:rsidRPr="00252075" w:rsidRDefault="00252075" w:rsidP="0025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42B9" w:rsidRPr="00252075" w:rsidRDefault="009609B3" w:rsidP="00252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207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84EC6" w:rsidRPr="00252075" w:rsidRDefault="009609B3" w:rsidP="002520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075">
        <w:rPr>
          <w:rFonts w:ascii="Times New Roman" w:hAnsi="Times New Roman" w:cs="Times New Roman"/>
          <w:sz w:val="24"/>
          <w:szCs w:val="24"/>
        </w:rPr>
        <w:t>Bourreau, M., &amp;Doğan, P. (2006)." Build-or-buy" strategies in the local loop. American Economic Review, 96(2), 72-76.</w:t>
      </w:r>
    </w:p>
    <w:sectPr w:rsidR="00984EC6" w:rsidRPr="00252075" w:rsidSect="0025207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9B3" w:rsidRDefault="009609B3" w:rsidP="008F5060">
      <w:pPr>
        <w:spacing w:after="0" w:line="240" w:lineRule="auto"/>
      </w:pPr>
      <w:r>
        <w:separator/>
      </w:r>
    </w:p>
  </w:endnote>
  <w:endnote w:type="continuationSeparator" w:id="1">
    <w:p w:rsidR="009609B3" w:rsidRDefault="009609B3" w:rsidP="008F5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9B3" w:rsidRDefault="009609B3" w:rsidP="008F5060">
      <w:pPr>
        <w:spacing w:after="0" w:line="240" w:lineRule="auto"/>
      </w:pPr>
      <w:r>
        <w:separator/>
      </w:r>
    </w:p>
  </w:footnote>
  <w:footnote w:type="continuationSeparator" w:id="1">
    <w:p w:rsidR="009609B3" w:rsidRDefault="009609B3" w:rsidP="008F5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0233110"/>
      <w:docPartObj>
        <w:docPartGallery w:val="Page Numbers (Top of Page)"/>
        <w:docPartUnique/>
      </w:docPartObj>
    </w:sdtPr>
    <w:sdtContent>
      <w:p w:rsidR="00822AB5" w:rsidRPr="00252075" w:rsidRDefault="00252075" w:rsidP="00252075">
        <w:pPr>
          <w:pStyle w:val="Header"/>
          <w:tabs>
            <w:tab w:val="right" w:pos="9360"/>
          </w:tabs>
          <w:rPr>
            <w:rFonts w:ascii="Times New Roman" w:hAnsi="Times New Roman" w:cs="Times New Roman"/>
            <w:sz w:val="24"/>
            <w:szCs w:val="24"/>
          </w:rPr>
        </w:pPr>
        <w:r w:rsidRPr="00252075">
          <w:rPr>
            <w:rFonts w:ascii="Times New Roman" w:hAnsi="Times New Roman" w:cs="Times New Roman"/>
            <w:sz w:val="24"/>
            <w:szCs w:val="24"/>
          </w:rPr>
          <w:t>ACQUIRING RESEARCH FACILITIES</w:t>
        </w:r>
        <w:r w:rsidRPr="00252075">
          <w:rPr>
            <w:rFonts w:ascii="Times New Roman" w:hAnsi="Times New Roman" w:cs="Times New Roman"/>
            <w:sz w:val="24"/>
            <w:szCs w:val="24"/>
          </w:rPr>
          <w:tab/>
        </w:r>
        <w:r w:rsidRPr="00252075">
          <w:rPr>
            <w:rFonts w:ascii="Times New Roman" w:hAnsi="Times New Roman" w:cs="Times New Roman"/>
            <w:sz w:val="24"/>
            <w:szCs w:val="24"/>
          </w:rPr>
          <w:tab/>
        </w:r>
        <w:r w:rsidRPr="00252075">
          <w:rPr>
            <w:rFonts w:ascii="Times New Roman" w:hAnsi="Times New Roman" w:cs="Times New Roman"/>
            <w:sz w:val="24"/>
            <w:szCs w:val="24"/>
          </w:rPr>
          <w:tab/>
        </w:r>
        <w:r w:rsidRPr="002520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20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520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5207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AB5" w:rsidRPr="00252075" w:rsidRDefault="00252075" w:rsidP="0025207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52075">
      <w:rPr>
        <w:rFonts w:ascii="Times New Roman" w:hAnsi="Times New Roman" w:cs="Times New Roman"/>
        <w:sz w:val="24"/>
        <w:szCs w:val="24"/>
      </w:rPr>
      <w:t xml:space="preserve">Running head: ACQUIRING RESEARCH FACILITIES </w:t>
    </w:r>
    <w:r w:rsidRPr="0025207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0233053"/>
        <w:docPartObj>
          <w:docPartGallery w:val="Page Numbers (Top of Page)"/>
          <w:docPartUnique/>
        </w:docPartObj>
      </w:sdtPr>
      <w:sdtContent>
        <w:r w:rsidRPr="002520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20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520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5207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40399"/>
    <w:multiLevelType w:val="multilevel"/>
    <w:tmpl w:val="5CC0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C9951ED"/>
    <w:multiLevelType w:val="multilevel"/>
    <w:tmpl w:val="54849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454CEA"/>
    <w:multiLevelType w:val="hybridMultilevel"/>
    <w:tmpl w:val="DAA468F2"/>
    <w:lvl w:ilvl="0" w:tplc="2A44D9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D0667E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FE348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C9876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CBCFE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CC0B0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D1E322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9E69E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7E64F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6F24"/>
    <w:rsid w:val="000A4AF8"/>
    <w:rsid w:val="00252075"/>
    <w:rsid w:val="002569F4"/>
    <w:rsid w:val="00297F95"/>
    <w:rsid w:val="00300F38"/>
    <w:rsid w:val="004A1A7C"/>
    <w:rsid w:val="004D4ABA"/>
    <w:rsid w:val="00533145"/>
    <w:rsid w:val="0057778E"/>
    <w:rsid w:val="00605201"/>
    <w:rsid w:val="006A758D"/>
    <w:rsid w:val="007734B5"/>
    <w:rsid w:val="00794E61"/>
    <w:rsid w:val="00822AB5"/>
    <w:rsid w:val="008F5060"/>
    <w:rsid w:val="009609B3"/>
    <w:rsid w:val="00984EC6"/>
    <w:rsid w:val="00995264"/>
    <w:rsid w:val="00A057B4"/>
    <w:rsid w:val="00A72352"/>
    <w:rsid w:val="00B61550"/>
    <w:rsid w:val="00BD320D"/>
    <w:rsid w:val="00C242B9"/>
    <w:rsid w:val="00C51DEE"/>
    <w:rsid w:val="00C7723C"/>
    <w:rsid w:val="00CA6F24"/>
    <w:rsid w:val="00D57477"/>
    <w:rsid w:val="00DF36C5"/>
    <w:rsid w:val="00E52BCB"/>
    <w:rsid w:val="00E72016"/>
    <w:rsid w:val="00EB66D4"/>
    <w:rsid w:val="00F029DC"/>
    <w:rsid w:val="00F12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6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A6F24"/>
    <w:rPr>
      <w:b/>
      <w:bCs/>
    </w:rPr>
  </w:style>
  <w:style w:type="character" w:styleId="Emphasis">
    <w:name w:val="Emphasis"/>
    <w:basedOn w:val="DefaultParagraphFont"/>
    <w:uiPriority w:val="20"/>
    <w:qFormat/>
    <w:rsid w:val="00C242B9"/>
    <w:rPr>
      <w:i/>
      <w:iCs/>
    </w:rPr>
  </w:style>
  <w:style w:type="paragraph" w:styleId="ListParagraph">
    <w:name w:val="List Paragraph"/>
    <w:basedOn w:val="Normal"/>
    <w:uiPriority w:val="34"/>
    <w:qFormat/>
    <w:rsid w:val="00C242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6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2A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AB5"/>
  </w:style>
  <w:style w:type="paragraph" w:styleId="Footer">
    <w:name w:val="footer"/>
    <w:basedOn w:val="Normal"/>
    <w:link w:val="FooterChar"/>
    <w:uiPriority w:val="99"/>
    <w:unhideWhenUsed/>
    <w:rsid w:val="00822A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A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Cortney Thuringer</dc:creator>
  <cp:lastModifiedBy>kelvinjacks</cp:lastModifiedBy>
  <cp:revision>2</cp:revision>
  <dcterms:created xsi:type="dcterms:W3CDTF">2019-12-08T00:00:00Z</dcterms:created>
  <dcterms:modified xsi:type="dcterms:W3CDTF">2019-12-08T00:00:00Z</dcterms:modified>
</cp:coreProperties>
</file>