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BF997B" w14:textId="77777777" w:rsidR="00204AEF" w:rsidRDefault="00204AEF" w:rsidP="00204AEF">
      <w:pPr>
        <w:spacing w:after="0" w:line="480" w:lineRule="auto"/>
        <w:jc w:val="center"/>
        <w:rPr>
          <w:rFonts w:ascii="Times New Roman" w:eastAsia="Calibri" w:hAnsi="Times New Roman" w:cs="Times New Roman"/>
          <w:b/>
          <w:color w:val="242E33"/>
          <w:sz w:val="24"/>
          <w:szCs w:val="24"/>
          <w:shd w:val="clear" w:color="auto" w:fill="FFFFFF"/>
          <w:lang w:val="en-US"/>
        </w:rPr>
      </w:pPr>
      <w:r>
        <w:rPr>
          <w:rFonts w:ascii="Times New Roman" w:eastAsia="Calibri" w:hAnsi="Times New Roman" w:cs="Times New Roman"/>
          <w:b/>
          <w:color w:val="242E33"/>
          <w:sz w:val="24"/>
          <w:szCs w:val="24"/>
          <w:shd w:val="clear" w:color="auto" w:fill="FFFFFF"/>
          <w:lang w:val="en-US"/>
        </w:rPr>
        <w:t>Acquisitions</w:t>
      </w:r>
    </w:p>
    <w:p w14:paraId="7D6FC5EB" w14:textId="77777777" w:rsidR="00204AEF" w:rsidRPr="0039661F" w:rsidRDefault="00204AEF" w:rsidP="00204AEF">
      <w:pPr>
        <w:spacing w:after="0" w:line="480" w:lineRule="auto"/>
        <w:jc w:val="center"/>
        <w:rPr>
          <w:rFonts w:ascii="Times New Roman" w:eastAsia="Calibri" w:hAnsi="Times New Roman" w:cs="Times New Roman"/>
          <w:bCs/>
          <w:color w:val="242E33"/>
          <w:sz w:val="24"/>
          <w:szCs w:val="24"/>
          <w:shd w:val="clear" w:color="auto" w:fill="FFFFFF"/>
          <w:lang w:val="en-US"/>
        </w:rPr>
      </w:pPr>
      <w:r w:rsidRPr="0039661F">
        <w:rPr>
          <w:rFonts w:ascii="Times New Roman" w:eastAsia="Calibri" w:hAnsi="Times New Roman" w:cs="Times New Roman"/>
          <w:bCs/>
          <w:color w:val="242E33"/>
          <w:sz w:val="24"/>
          <w:szCs w:val="24"/>
          <w:shd w:val="clear" w:color="auto" w:fill="FFFFFF"/>
          <w:lang w:val="en-US"/>
        </w:rPr>
        <w:t>Student ID (digits)</w:t>
      </w:r>
    </w:p>
    <w:p w14:paraId="4408B817" w14:textId="77777777" w:rsidR="00204AEF" w:rsidRPr="0039661F" w:rsidRDefault="00204AEF" w:rsidP="00204AEF">
      <w:pPr>
        <w:spacing w:after="0" w:line="480" w:lineRule="auto"/>
        <w:jc w:val="center"/>
        <w:rPr>
          <w:rFonts w:ascii="Times New Roman" w:eastAsia="Calibri" w:hAnsi="Times New Roman" w:cs="Times New Roman"/>
          <w:bCs/>
          <w:color w:val="242E33"/>
          <w:sz w:val="24"/>
          <w:szCs w:val="24"/>
          <w:shd w:val="clear" w:color="auto" w:fill="FFFFFF"/>
          <w:lang w:val="en-US"/>
        </w:rPr>
      </w:pPr>
    </w:p>
    <w:p w14:paraId="1D8B1D9A" w14:textId="77777777" w:rsidR="00204AEF" w:rsidRPr="0039661F" w:rsidRDefault="00204AEF" w:rsidP="00204AEF">
      <w:pPr>
        <w:spacing w:after="0" w:line="480" w:lineRule="auto"/>
        <w:jc w:val="center"/>
        <w:rPr>
          <w:rFonts w:ascii="Times New Roman" w:eastAsia="Calibri" w:hAnsi="Times New Roman" w:cs="Times New Roman"/>
          <w:bCs/>
          <w:color w:val="242E33"/>
          <w:sz w:val="24"/>
          <w:szCs w:val="24"/>
          <w:shd w:val="clear" w:color="auto" w:fill="FFFFFF"/>
          <w:lang w:val="en-US"/>
        </w:rPr>
      </w:pPr>
      <w:r w:rsidRPr="0039661F">
        <w:rPr>
          <w:rFonts w:ascii="Times New Roman" w:eastAsia="Calibri" w:hAnsi="Times New Roman" w:cs="Times New Roman"/>
          <w:bCs/>
          <w:color w:val="242E33"/>
          <w:sz w:val="24"/>
          <w:szCs w:val="24"/>
          <w:shd w:val="clear" w:color="auto" w:fill="FFFFFF"/>
          <w:lang w:val="en-US"/>
        </w:rPr>
        <w:t>Unit code</w:t>
      </w:r>
    </w:p>
    <w:p w14:paraId="7CFB6F37" w14:textId="77777777" w:rsidR="00204AEF" w:rsidRPr="0039661F" w:rsidRDefault="00204AEF" w:rsidP="00204AEF">
      <w:pPr>
        <w:spacing w:after="0" w:line="480" w:lineRule="auto"/>
        <w:jc w:val="center"/>
        <w:rPr>
          <w:rFonts w:ascii="Times New Roman" w:eastAsia="Calibri" w:hAnsi="Times New Roman" w:cs="Times New Roman"/>
          <w:bCs/>
          <w:color w:val="242E33"/>
          <w:sz w:val="24"/>
          <w:szCs w:val="24"/>
          <w:shd w:val="clear" w:color="auto" w:fill="FFFFFF"/>
          <w:lang w:val="en-US"/>
        </w:rPr>
      </w:pPr>
    </w:p>
    <w:p w14:paraId="54E67BC1" w14:textId="77777777" w:rsidR="00204AEF" w:rsidRPr="0039661F" w:rsidRDefault="00204AEF" w:rsidP="00204AEF">
      <w:pPr>
        <w:spacing w:after="0" w:line="480" w:lineRule="auto"/>
        <w:jc w:val="center"/>
        <w:rPr>
          <w:rFonts w:ascii="Times New Roman" w:eastAsia="Calibri" w:hAnsi="Times New Roman" w:cs="Times New Roman"/>
          <w:bCs/>
          <w:color w:val="242E33"/>
          <w:sz w:val="24"/>
          <w:szCs w:val="24"/>
          <w:shd w:val="clear" w:color="auto" w:fill="FFFFFF"/>
          <w:lang w:val="en-US"/>
        </w:rPr>
      </w:pPr>
      <w:r w:rsidRPr="0039661F">
        <w:rPr>
          <w:rFonts w:ascii="Times New Roman" w:eastAsia="Calibri" w:hAnsi="Times New Roman" w:cs="Times New Roman"/>
          <w:bCs/>
          <w:color w:val="242E33"/>
          <w:sz w:val="24"/>
          <w:szCs w:val="24"/>
          <w:shd w:val="clear" w:color="auto" w:fill="FFFFFF"/>
          <w:lang w:val="en-US"/>
        </w:rPr>
        <w:t>Department, Institution</w:t>
      </w:r>
    </w:p>
    <w:p w14:paraId="29266ECF" w14:textId="77777777" w:rsidR="00204AEF" w:rsidRPr="0039661F" w:rsidRDefault="00204AEF" w:rsidP="00204AEF">
      <w:pPr>
        <w:spacing w:after="0" w:line="480" w:lineRule="auto"/>
        <w:jc w:val="center"/>
        <w:rPr>
          <w:rFonts w:ascii="Times New Roman" w:eastAsia="Calibri" w:hAnsi="Times New Roman" w:cs="Times New Roman"/>
          <w:bCs/>
          <w:color w:val="242E33"/>
          <w:sz w:val="24"/>
          <w:szCs w:val="24"/>
          <w:shd w:val="clear" w:color="auto" w:fill="FFFFFF"/>
          <w:lang w:val="en-US"/>
        </w:rPr>
      </w:pPr>
    </w:p>
    <w:p w14:paraId="4275D0EB" w14:textId="77777777" w:rsidR="00204AEF" w:rsidRPr="0039661F" w:rsidRDefault="00204AEF" w:rsidP="00204AEF">
      <w:pPr>
        <w:spacing w:after="0" w:line="480" w:lineRule="auto"/>
        <w:jc w:val="center"/>
        <w:rPr>
          <w:rFonts w:ascii="Times New Roman" w:eastAsia="Calibri" w:hAnsi="Times New Roman" w:cs="Times New Roman"/>
          <w:bCs/>
          <w:color w:val="242E33"/>
          <w:sz w:val="24"/>
          <w:szCs w:val="24"/>
          <w:shd w:val="clear" w:color="auto" w:fill="FFFFFF"/>
          <w:lang w:val="en-US"/>
        </w:rPr>
      </w:pPr>
      <w:r w:rsidRPr="0039661F">
        <w:rPr>
          <w:rFonts w:ascii="Times New Roman" w:eastAsia="Calibri" w:hAnsi="Times New Roman" w:cs="Times New Roman"/>
          <w:bCs/>
          <w:color w:val="242E33"/>
          <w:sz w:val="24"/>
          <w:szCs w:val="24"/>
          <w:shd w:val="clear" w:color="auto" w:fill="FFFFFF"/>
          <w:lang w:val="en-US"/>
        </w:rPr>
        <w:t>Course</w:t>
      </w:r>
    </w:p>
    <w:p w14:paraId="3CDC996B" w14:textId="77777777" w:rsidR="00204AEF" w:rsidRPr="0039661F" w:rsidRDefault="00204AEF" w:rsidP="00204AEF">
      <w:pPr>
        <w:spacing w:after="0" w:line="480" w:lineRule="auto"/>
        <w:jc w:val="center"/>
        <w:rPr>
          <w:rFonts w:ascii="Times New Roman" w:eastAsia="Calibri" w:hAnsi="Times New Roman" w:cs="Times New Roman"/>
          <w:bCs/>
          <w:color w:val="242E33"/>
          <w:sz w:val="24"/>
          <w:szCs w:val="24"/>
          <w:shd w:val="clear" w:color="auto" w:fill="FFFFFF"/>
          <w:lang w:val="en-US"/>
        </w:rPr>
      </w:pPr>
    </w:p>
    <w:p w14:paraId="75F673BC" w14:textId="77777777" w:rsidR="00204AEF" w:rsidRPr="0039661F" w:rsidRDefault="00204AEF" w:rsidP="00204AEF">
      <w:pPr>
        <w:spacing w:after="0" w:line="480" w:lineRule="auto"/>
        <w:jc w:val="center"/>
        <w:rPr>
          <w:rFonts w:ascii="Times New Roman" w:eastAsia="Calibri" w:hAnsi="Times New Roman" w:cs="Times New Roman"/>
          <w:bCs/>
          <w:color w:val="242E33"/>
          <w:sz w:val="24"/>
          <w:szCs w:val="24"/>
          <w:shd w:val="clear" w:color="auto" w:fill="FFFFFF"/>
          <w:lang w:val="en-US"/>
        </w:rPr>
      </w:pPr>
      <w:r w:rsidRPr="0039661F">
        <w:rPr>
          <w:rFonts w:ascii="Times New Roman" w:eastAsia="Calibri" w:hAnsi="Times New Roman" w:cs="Times New Roman"/>
          <w:bCs/>
          <w:color w:val="242E33"/>
          <w:sz w:val="24"/>
          <w:szCs w:val="24"/>
          <w:shd w:val="clear" w:color="auto" w:fill="FFFFFF"/>
          <w:lang w:val="en-US"/>
        </w:rPr>
        <w:t>Professor</w:t>
      </w:r>
    </w:p>
    <w:p w14:paraId="0AC2F9A6" w14:textId="77777777" w:rsidR="00204AEF" w:rsidRPr="0039661F" w:rsidRDefault="00204AEF" w:rsidP="00204AEF">
      <w:pPr>
        <w:spacing w:after="0" w:line="480" w:lineRule="auto"/>
        <w:jc w:val="center"/>
        <w:rPr>
          <w:rFonts w:ascii="Times New Roman" w:eastAsia="Calibri" w:hAnsi="Times New Roman" w:cs="Times New Roman"/>
          <w:bCs/>
          <w:color w:val="242E33"/>
          <w:sz w:val="24"/>
          <w:szCs w:val="24"/>
          <w:shd w:val="clear" w:color="auto" w:fill="FFFFFF"/>
          <w:lang w:val="en-US"/>
        </w:rPr>
      </w:pPr>
    </w:p>
    <w:p w14:paraId="74EFFCA4" w14:textId="77777777" w:rsidR="00204AEF" w:rsidRDefault="00204AEF" w:rsidP="00204AEF">
      <w:pPr>
        <w:spacing w:after="0" w:line="480" w:lineRule="auto"/>
        <w:jc w:val="center"/>
        <w:rPr>
          <w:rFonts w:ascii="Times New Roman" w:eastAsia="Calibri" w:hAnsi="Times New Roman" w:cs="Times New Roman"/>
          <w:bCs/>
          <w:color w:val="242E33"/>
          <w:sz w:val="24"/>
          <w:szCs w:val="24"/>
          <w:shd w:val="clear" w:color="auto" w:fill="FFFFFF"/>
          <w:lang w:val="en-US"/>
        </w:rPr>
      </w:pPr>
      <w:r w:rsidRPr="0039661F">
        <w:rPr>
          <w:rFonts w:ascii="Times New Roman" w:eastAsia="Calibri" w:hAnsi="Times New Roman" w:cs="Times New Roman"/>
          <w:bCs/>
          <w:color w:val="242E33"/>
          <w:sz w:val="24"/>
          <w:szCs w:val="24"/>
          <w:shd w:val="clear" w:color="auto" w:fill="FFFFFF"/>
          <w:lang w:val="en-US"/>
        </w:rPr>
        <w:t>Date</w:t>
      </w:r>
    </w:p>
    <w:p w14:paraId="35BC0748" w14:textId="77777777" w:rsidR="00204AEF" w:rsidRDefault="00204AEF" w:rsidP="00204AEF">
      <w:pPr>
        <w:spacing w:after="0" w:line="480" w:lineRule="auto"/>
        <w:jc w:val="center"/>
        <w:rPr>
          <w:rFonts w:ascii="Times New Roman" w:eastAsia="Calibri" w:hAnsi="Times New Roman" w:cs="Times New Roman"/>
          <w:bCs/>
          <w:color w:val="242E33"/>
          <w:sz w:val="24"/>
          <w:szCs w:val="24"/>
          <w:shd w:val="clear" w:color="auto" w:fill="FFFFFF"/>
          <w:lang w:val="en-US"/>
        </w:rPr>
      </w:pPr>
    </w:p>
    <w:p w14:paraId="0970179F" w14:textId="77777777" w:rsidR="00204AEF" w:rsidRDefault="00204AEF" w:rsidP="00204AEF">
      <w:pPr>
        <w:spacing w:after="0" w:line="480" w:lineRule="auto"/>
        <w:jc w:val="center"/>
        <w:rPr>
          <w:rFonts w:ascii="Times New Roman" w:eastAsia="Calibri" w:hAnsi="Times New Roman" w:cs="Times New Roman"/>
          <w:bCs/>
          <w:color w:val="242E33"/>
          <w:sz w:val="24"/>
          <w:szCs w:val="24"/>
          <w:shd w:val="clear" w:color="auto" w:fill="FFFFFF"/>
          <w:lang w:val="en-US"/>
        </w:rPr>
      </w:pPr>
    </w:p>
    <w:p w14:paraId="2C46E6A9" w14:textId="77777777" w:rsidR="00204AEF" w:rsidRDefault="00204AEF" w:rsidP="00204AEF">
      <w:pPr>
        <w:spacing w:after="0" w:line="480" w:lineRule="auto"/>
        <w:jc w:val="center"/>
        <w:rPr>
          <w:rFonts w:ascii="Times New Roman" w:eastAsia="Calibri" w:hAnsi="Times New Roman" w:cs="Times New Roman"/>
          <w:bCs/>
          <w:color w:val="242E33"/>
          <w:sz w:val="24"/>
          <w:szCs w:val="24"/>
          <w:shd w:val="clear" w:color="auto" w:fill="FFFFFF"/>
          <w:lang w:val="en-US"/>
        </w:rPr>
      </w:pPr>
    </w:p>
    <w:p w14:paraId="370BA834" w14:textId="77777777" w:rsidR="00204AEF" w:rsidRDefault="00204AEF" w:rsidP="00204AEF">
      <w:pPr>
        <w:spacing w:after="0" w:line="480" w:lineRule="auto"/>
        <w:jc w:val="center"/>
        <w:rPr>
          <w:rFonts w:ascii="Times New Roman" w:eastAsia="Calibri" w:hAnsi="Times New Roman" w:cs="Times New Roman"/>
          <w:bCs/>
          <w:color w:val="242E33"/>
          <w:sz w:val="24"/>
          <w:szCs w:val="24"/>
          <w:shd w:val="clear" w:color="auto" w:fill="FFFFFF"/>
          <w:lang w:val="en-US"/>
        </w:rPr>
      </w:pPr>
    </w:p>
    <w:p w14:paraId="55409F51" w14:textId="77777777" w:rsidR="00204AEF" w:rsidRDefault="00204AEF" w:rsidP="00204AEF">
      <w:pPr>
        <w:spacing w:after="0" w:line="480" w:lineRule="auto"/>
        <w:jc w:val="center"/>
        <w:rPr>
          <w:rFonts w:ascii="Times New Roman" w:eastAsia="Calibri" w:hAnsi="Times New Roman" w:cs="Times New Roman"/>
          <w:bCs/>
          <w:color w:val="242E33"/>
          <w:sz w:val="24"/>
          <w:szCs w:val="24"/>
          <w:shd w:val="clear" w:color="auto" w:fill="FFFFFF"/>
          <w:lang w:val="en-US"/>
        </w:rPr>
      </w:pPr>
    </w:p>
    <w:p w14:paraId="2B2CCAC2" w14:textId="77777777" w:rsidR="00204AEF" w:rsidRDefault="00204AEF" w:rsidP="00204AEF">
      <w:pPr>
        <w:spacing w:after="0" w:line="480" w:lineRule="auto"/>
        <w:jc w:val="center"/>
        <w:rPr>
          <w:rFonts w:ascii="Times New Roman" w:eastAsia="Calibri" w:hAnsi="Times New Roman" w:cs="Times New Roman"/>
          <w:bCs/>
          <w:color w:val="242E33"/>
          <w:sz w:val="24"/>
          <w:szCs w:val="24"/>
          <w:shd w:val="clear" w:color="auto" w:fill="FFFFFF"/>
          <w:lang w:val="en-US"/>
        </w:rPr>
      </w:pPr>
    </w:p>
    <w:p w14:paraId="706B3044" w14:textId="77777777" w:rsidR="00204AEF" w:rsidRDefault="00204AEF" w:rsidP="00204AEF">
      <w:pPr>
        <w:spacing w:after="0" w:line="480" w:lineRule="auto"/>
        <w:jc w:val="center"/>
        <w:rPr>
          <w:rFonts w:ascii="Times New Roman" w:eastAsia="Calibri" w:hAnsi="Times New Roman" w:cs="Times New Roman"/>
          <w:bCs/>
          <w:color w:val="242E33"/>
          <w:sz w:val="24"/>
          <w:szCs w:val="24"/>
          <w:shd w:val="clear" w:color="auto" w:fill="FFFFFF"/>
          <w:lang w:val="en-US"/>
        </w:rPr>
      </w:pPr>
    </w:p>
    <w:p w14:paraId="5B279EF5" w14:textId="77777777" w:rsidR="00204AEF" w:rsidRDefault="00204AEF" w:rsidP="00204AEF">
      <w:pPr>
        <w:spacing w:after="0" w:line="480" w:lineRule="auto"/>
        <w:jc w:val="center"/>
        <w:rPr>
          <w:rFonts w:ascii="Times New Roman" w:eastAsia="Calibri" w:hAnsi="Times New Roman" w:cs="Times New Roman"/>
          <w:bCs/>
          <w:color w:val="242E33"/>
          <w:sz w:val="24"/>
          <w:szCs w:val="24"/>
          <w:shd w:val="clear" w:color="auto" w:fill="FFFFFF"/>
          <w:lang w:val="en-US"/>
        </w:rPr>
      </w:pPr>
    </w:p>
    <w:p w14:paraId="1A09F965" w14:textId="77777777" w:rsidR="00204AEF" w:rsidRDefault="00204AEF" w:rsidP="00204AEF">
      <w:pPr>
        <w:spacing w:after="0" w:line="480" w:lineRule="auto"/>
        <w:jc w:val="center"/>
        <w:rPr>
          <w:rFonts w:ascii="Times New Roman" w:eastAsia="Calibri" w:hAnsi="Times New Roman" w:cs="Times New Roman"/>
          <w:bCs/>
          <w:color w:val="242E33"/>
          <w:sz w:val="24"/>
          <w:szCs w:val="24"/>
          <w:shd w:val="clear" w:color="auto" w:fill="FFFFFF"/>
          <w:lang w:val="en-US"/>
        </w:rPr>
      </w:pPr>
    </w:p>
    <w:p w14:paraId="0BB149BF" w14:textId="77777777" w:rsidR="00204AEF" w:rsidRDefault="00204AEF" w:rsidP="00204AEF">
      <w:pPr>
        <w:spacing w:after="0" w:line="480" w:lineRule="auto"/>
        <w:jc w:val="center"/>
        <w:rPr>
          <w:rFonts w:ascii="Times New Roman" w:eastAsia="Calibri" w:hAnsi="Times New Roman" w:cs="Times New Roman"/>
          <w:bCs/>
          <w:color w:val="242E33"/>
          <w:sz w:val="24"/>
          <w:szCs w:val="24"/>
          <w:shd w:val="clear" w:color="auto" w:fill="FFFFFF"/>
          <w:lang w:val="en-US"/>
        </w:rPr>
      </w:pPr>
    </w:p>
    <w:p w14:paraId="2B66E4C0" w14:textId="77777777" w:rsidR="00204AEF" w:rsidRDefault="00204AEF" w:rsidP="00204AEF">
      <w:pPr>
        <w:spacing w:after="0" w:line="480" w:lineRule="auto"/>
        <w:jc w:val="center"/>
        <w:rPr>
          <w:rFonts w:ascii="Times New Roman" w:eastAsia="Calibri" w:hAnsi="Times New Roman" w:cs="Times New Roman"/>
          <w:bCs/>
          <w:color w:val="242E33"/>
          <w:sz w:val="24"/>
          <w:szCs w:val="24"/>
          <w:shd w:val="clear" w:color="auto" w:fill="FFFFFF"/>
          <w:lang w:val="en-US"/>
        </w:rPr>
      </w:pPr>
    </w:p>
    <w:p w14:paraId="256274B7" w14:textId="77777777" w:rsidR="00204AEF" w:rsidRDefault="00204AEF" w:rsidP="00204AEF">
      <w:pPr>
        <w:spacing w:after="0" w:line="480" w:lineRule="auto"/>
        <w:jc w:val="center"/>
        <w:rPr>
          <w:rFonts w:ascii="Times New Roman" w:eastAsia="Calibri" w:hAnsi="Times New Roman" w:cs="Times New Roman"/>
          <w:bCs/>
          <w:color w:val="242E33"/>
          <w:sz w:val="24"/>
          <w:szCs w:val="24"/>
          <w:shd w:val="clear" w:color="auto" w:fill="FFFFFF"/>
          <w:lang w:val="en-US"/>
        </w:rPr>
      </w:pPr>
    </w:p>
    <w:p w14:paraId="4D245796" w14:textId="77777777" w:rsidR="00204AEF" w:rsidRDefault="00204AEF" w:rsidP="00204AEF">
      <w:pPr>
        <w:rPr>
          <w:rFonts w:ascii="Times New Roman" w:eastAsia="Calibri" w:hAnsi="Times New Roman" w:cs="Times New Roman"/>
          <w:bCs/>
          <w:color w:val="242E33"/>
          <w:sz w:val="24"/>
          <w:szCs w:val="24"/>
          <w:shd w:val="clear" w:color="auto" w:fill="FFFFFF"/>
          <w:lang w:val="en-US"/>
        </w:rPr>
      </w:pPr>
    </w:p>
    <w:p w14:paraId="0640FDCC" w14:textId="77777777" w:rsidR="00204AEF" w:rsidRPr="001766D6" w:rsidRDefault="00204AEF" w:rsidP="00204AEF">
      <w:pPr>
        <w:spacing w:line="480" w:lineRule="auto"/>
        <w:jc w:val="center"/>
        <w:rPr>
          <w:rFonts w:ascii="Times New Roman" w:hAnsi="Times New Roman" w:cs="Times New Roman"/>
          <w:b/>
          <w:bCs/>
          <w:sz w:val="24"/>
          <w:szCs w:val="24"/>
          <w:lang w:val="en-US"/>
        </w:rPr>
      </w:pPr>
      <w:r w:rsidRPr="001766D6">
        <w:rPr>
          <w:rFonts w:ascii="Times New Roman" w:hAnsi="Times New Roman" w:cs="Times New Roman"/>
          <w:b/>
          <w:bCs/>
          <w:sz w:val="24"/>
          <w:szCs w:val="24"/>
          <w:lang w:val="en-US"/>
        </w:rPr>
        <w:lastRenderedPageBreak/>
        <w:t>Identify the form of payment, form of acquisition, acquisition vehicle, and post-closing organization speculate why each may have been used.</w:t>
      </w:r>
    </w:p>
    <w:p w14:paraId="06552898" w14:textId="77777777" w:rsidR="00204AEF" w:rsidRPr="00827B02" w:rsidRDefault="00204AEF" w:rsidP="00204AEF">
      <w:pPr>
        <w:spacing w:line="480" w:lineRule="auto"/>
        <w:ind w:firstLine="720"/>
        <w:jc w:val="both"/>
        <w:rPr>
          <w:rFonts w:ascii="Times New Roman" w:hAnsi="Times New Roman" w:cs="Times New Roman"/>
          <w:sz w:val="24"/>
          <w:szCs w:val="24"/>
        </w:rPr>
      </w:pPr>
      <w:r w:rsidRPr="00827B02">
        <w:rPr>
          <w:rFonts w:ascii="Times New Roman" w:hAnsi="Times New Roman" w:cs="Times New Roman"/>
          <w:sz w:val="24"/>
          <w:szCs w:val="24"/>
        </w:rPr>
        <w:t>The form of payment that was used in transacting the ownership transfer of Heinz was cash payment for the part of the company shares. The acquisition form used was stock acquisition. Berkshire wanted to perpetuate Heinz brands which were well known in the market so they found out that the best form of acquisition that was too strategic was stock acquisition. The stock involved acquiring half of the total shares owned by the stockholders. For the acquisition vehicle, the legal procedures were used which included the signing of transfer deed between the two companies. This would serve as evidence that the acquired company wished to transfer part of their shares to the acquiring company on a fairground. The acquiring company becomes the post-closing organization and takes charge of the company operations and management.</w:t>
      </w:r>
    </w:p>
    <w:p w14:paraId="0C030C83" w14:textId="77777777" w:rsidR="00204AEF" w:rsidRPr="00827B02" w:rsidRDefault="00204AEF" w:rsidP="00204AEF">
      <w:pPr>
        <w:spacing w:line="480" w:lineRule="auto"/>
        <w:ind w:firstLine="720"/>
        <w:rPr>
          <w:rFonts w:ascii="Times New Roman" w:hAnsi="Times New Roman" w:cs="Times New Roman"/>
          <w:sz w:val="24"/>
          <w:szCs w:val="24"/>
        </w:rPr>
      </w:pPr>
      <w:r w:rsidRPr="00827B02">
        <w:rPr>
          <w:rFonts w:ascii="Times New Roman" w:hAnsi="Times New Roman" w:cs="Times New Roman"/>
          <w:b/>
          <w:bCs/>
          <w:sz w:val="24"/>
          <w:szCs w:val="24"/>
        </w:rPr>
        <w:t>How was ownership transferred in this deal? Speculate as to why this structure may have been used?</w:t>
      </w:r>
    </w:p>
    <w:p w14:paraId="6C03C764" w14:textId="77777777" w:rsidR="00204AEF" w:rsidRPr="00827B02" w:rsidRDefault="00204AEF" w:rsidP="00204AEF">
      <w:pPr>
        <w:spacing w:line="480" w:lineRule="auto"/>
        <w:jc w:val="both"/>
        <w:rPr>
          <w:rFonts w:ascii="Times New Roman" w:hAnsi="Times New Roman" w:cs="Times New Roman"/>
          <w:sz w:val="24"/>
          <w:szCs w:val="24"/>
        </w:rPr>
      </w:pPr>
      <w:r w:rsidRPr="00827B02">
        <w:rPr>
          <w:rFonts w:ascii="Times New Roman" w:hAnsi="Times New Roman" w:cs="Times New Roman"/>
          <w:sz w:val="24"/>
          <w:szCs w:val="24"/>
        </w:rPr>
        <w:t>Since the acquisition done involved was stock acquisition it implies that the acquiring company (Berkshire) only signed a share transfer legal agreement with Heinz. This further means that the acquisition didn’t involve the transfer of other company’s fixed assets. That’s why the acquiring company used cash payment to pay for the stock acquisition which is a current asset.</w:t>
      </w:r>
    </w:p>
    <w:p w14:paraId="6805444E" w14:textId="77777777" w:rsidR="00204AEF" w:rsidRPr="00827B02" w:rsidRDefault="00204AEF" w:rsidP="00204AEF">
      <w:pPr>
        <w:spacing w:line="480" w:lineRule="auto"/>
        <w:ind w:firstLine="720"/>
        <w:rPr>
          <w:rFonts w:ascii="Times New Roman" w:hAnsi="Times New Roman" w:cs="Times New Roman"/>
          <w:sz w:val="24"/>
          <w:szCs w:val="24"/>
        </w:rPr>
      </w:pPr>
      <w:r w:rsidRPr="00827B02">
        <w:rPr>
          <w:rFonts w:ascii="Times New Roman" w:hAnsi="Times New Roman" w:cs="Times New Roman"/>
          <w:b/>
          <w:bCs/>
          <w:sz w:val="24"/>
          <w:szCs w:val="24"/>
        </w:rPr>
        <w:t>Describe the motivation for Berkshire and 3G to acquire Heinz.</w:t>
      </w:r>
    </w:p>
    <w:p w14:paraId="2D1A63A4" w14:textId="77777777" w:rsidR="00204AEF" w:rsidRPr="00827B02" w:rsidRDefault="00204AEF" w:rsidP="00204AEF">
      <w:pPr>
        <w:spacing w:line="480" w:lineRule="auto"/>
        <w:jc w:val="center"/>
        <w:rPr>
          <w:rFonts w:ascii="Times New Roman" w:hAnsi="Times New Roman" w:cs="Times New Roman"/>
          <w:sz w:val="24"/>
          <w:szCs w:val="24"/>
        </w:rPr>
      </w:pPr>
      <w:r w:rsidRPr="00827B02">
        <w:rPr>
          <w:rFonts w:ascii="Times New Roman" w:hAnsi="Times New Roman" w:cs="Times New Roman"/>
          <w:sz w:val="24"/>
          <w:szCs w:val="24"/>
        </w:rPr>
        <w:t xml:space="preserve">First, Heinz was an already known company that had established itself. The two companies wanted to use that chance of “known brand” as an opportunity or platform for making other global acquisitions in the food industry. Additionally, it seemed that the action of acquiring Heinz by Berkshire would seem like Berkshire was introducing another brand in its market portfolio which already contained dairy queen and its fruit of the loom. The motivation here </w:t>
      </w:r>
      <w:r w:rsidRPr="00827B02">
        <w:rPr>
          <w:rFonts w:ascii="Times New Roman" w:hAnsi="Times New Roman" w:cs="Times New Roman"/>
          <w:sz w:val="24"/>
          <w:szCs w:val="24"/>
        </w:rPr>
        <w:lastRenderedPageBreak/>
        <w:t>was that what Heinz was offering in the market complemented what Berkshire was offering. By this virtue, Berkshire viewed this acquisition as a milestone of penetrating deeper into the market.</w:t>
      </w:r>
    </w:p>
    <w:p w14:paraId="686D555B" w14:textId="77777777" w:rsidR="00204AEF" w:rsidRPr="00827B02" w:rsidRDefault="00204AEF" w:rsidP="00204AEF">
      <w:pPr>
        <w:spacing w:line="480" w:lineRule="auto"/>
        <w:ind w:firstLine="720"/>
        <w:rPr>
          <w:rFonts w:ascii="Times New Roman" w:hAnsi="Times New Roman" w:cs="Times New Roman"/>
          <w:sz w:val="24"/>
          <w:szCs w:val="24"/>
        </w:rPr>
      </w:pPr>
      <w:r w:rsidRPr="00827B02">
        <w:rPr>
          <w:rFonts w:ascii="Times New Roman" w:hAnsi="Times New Roman" w:cs="Times New Roman"/>
          <w:b/>
          <w:bCs/>
          <w:sz w:val="24"/>
          <w:szCs w:val="24"/>
        </w:rPr>
        <w:t>How will the investor be able to acquire the 20% purchase price premium?</w:t>
      </w:r>
    </w:p>
    <w:p w14:paraId="4570688A" w14:textId="77777777" w:rsidR="00204AEF" w:rsidRPr="00827B02" w:rsidRDefault="00204AEF" w:rsidP="00204AEF">
      <w:pPr>
        <w:spacing w:line="480" w:lineRule="auto"/>
        <w:jc w:val="both"/>
        <w:rPr>
          <w:rFonts w:ascii="Times New Roman" w:hAnsi="Times New Roman" w:cs="Times New Roman"/>
          <w:sz w:val="24"/>
          <w:szCs w:val="24"/>
        </w:rPr>
      </w:pPr>
      <w:r w:rsidRPr="00827B02">
        <w:rPr>
          <w:rFonts w:ascii="Times New Roman" w:hAnsi="Times New Roman" w:cs="Times New Roman"/>
          <w:sz w:val="24"/>
          <w:szCs w:val="24"/>
        </w:rPr>
        <w:t>When Berkshire announced that they were intending to acquire the whole firm with all of its established brands, the stock portfolio for Heinz critically became volatile. This meant that the investors could easily purchase the preference or the premium shares during that time at the 20% purchase price.</w:t>
      </w:r>
    </w:p>
    <w:p w14:paraId="04673FDE" w14:textId="77777777" w:rsidR="00204AEF" w:rsidRPr="00827B02" w:rsidRDefault="00204AEF" w:rsidP="00204AEF">
      <w:pPr>
        <w:spacing w:line="480" w:lineRule="auto"/>
        <w:ind w:firstLine="720"/>
        <w:rPr>
          <w:rFonts w:ascii="Times New Roman" w:hAnsi="Times New Roman" w:cs="Times New Roman"/>
          <w:sz w:val="24"/>
          <w:szCs w:val="24"/>
        </w:rPr>
      </w:pPr>
      <w:r w:rsidRPr="00827B02">
        <w:rPr>
          <w:rFonts w:ascii="Times New Roman" w:hAnsi="Times New Roman" w:cs="Times New Roman"/>
          <w:b/>
          <w:bCs/>
          <w:sz w:val="24"/>
          <w:szCs w:val="24"/>
        </w:rPr>
        <w:t>Do you believe that Heinz is a good candidate for an LBO?</w:t>
      </w:r>
    </w:p>
    <w:p w14:paraId="0809D0F0" w14:textId="77777777" w:rsidR="00204AEF" w:rsidRPr="00827B02" w:rsidRDefault="00204AEF" w:rsidP="00204AEF">
      <w:pPr>
        <w:spacing w:line="480" w:lineRule="auto"/>
        <w:rPr>
          <w:rFonts w:ascii="Times New Roman" w:hAnsi="Times New Roman" w:cs="Times New Roman"/>
          <w:sz w:val="24"/>
          <w:szCs w:val="24"/>
        </w:rPr>
      </w:pPr>
      <w:r w:rsidRPr="00827B02">
        <w:rPr>
          <w:rFonts w:ascii="Times New Roman" w:hAnsi="Times New Roman" w:cs="Times New Roman"/>
          <w:sz w:val="24"/>
          <w:szCs w:val="24"/>
        </w:rPr>
        <w:t>Yes, I do believe that Heinz was viable to be given the leveraged buyout because their stock and shares could be used as collateral security for the loan to be issued.</w:t>
      </w:r>
    </w:p>
    <w:p w14:paraId="7BA13DE2" w14:textId="77777777" w:rsidR="00204AEF" w:rsidRPr="00827B02" w:rsidRDefault="00204AEF" w:rsidP="00204AEF">
      <w:pPr>
        <w:spacing w:line="480" w:lineRule="auto"/>
        <w:ind w:firstLine="720"/>
        <w:rPr>
          <w:rFonts w:ascii="Times New Roman" w:hAnsi="Times New Roman" w:cs="Times New Roman"/>
          <w:sz w:val="24"/>
          <w:szCs w:val="24"/>
        </w:rPr>
      </w:pPr>
      <w:r w:rsidRPr="00827B02">
        <w:rPr>
          <w:rFonts w:ascii="Times New Roman" w:hAnsi="Times New Roman" w:cs="Times New Roman"/>
          <w:b/>
          <w:bCs/>
          <w:sz w:val="24"/>
          <w:szCs w:val="24"/>
        </w:rPr>
        <w:t>What do you believe was the purpose of the 1.5 billion senior secured revolving loan facility and the $2.1 billion second-lien bridge loan facility as part of the financing deal package?</w:t>
      </w:r>
    </w:p>
    <w:p w14:paraId="73CFF7DE" w14:textId="77777777" w:rsidR="00204AEF" w:rsidRPr="00827B02" w:rsidRDefault="00204AEF" w:rsidP="00204AEF">
      <w:pPr>
        <w:spacing w:line="480" w:lineRule="auto"/>
        <w:jc w:val="both"/>
        <w:rPr>
          <w:rFonts w:ascii="Times New Roman" w:hAnsi="Times New Roman" w:cs="Times New Roman"/>
          <w:sz w:val="24"/>
          <w:szCs w:val="24"/>
        </w:rPr>
      </w:pPr>
      <w:r w:rsidRPr="00827B02">
        <w:rPr>
          <w:rFonts w:ascii="Times New Roman" w:hAnsi="Times New Roman" w:cs="Times New Roman"/>
          <w:sz w:val="24"/>
          <w:szCs w:val="24"/>
        </w:rPr>
        <w:t>First, it’s important to understand that secured loans always tend to have lower interest rates as compared to unsecured loans which in the long run makes secured loans the preferred choice for any borrower with quite a tight budget. Alluding to our scenario acquiring Heinz was a little bit expensive since Heinz shares market price was increased. For the acquiring company to get enough funds to complete the acquisition that’s why did they have to take a secured loan which had a low interest and the supplementing 2.1 billion loan for the leverage.</w:t>
      </w:r>
    </w:p>
    <w:p w14:paraId="0C64E7BA" w14:textId="77777777" w:rsidR="00204AEF" w:rsidRPr="00827B02" w:rsidRDefault="00204AEF" w:rsidP="00204AEF">
      <w:pPr>
        <w:spacing w:line="480" w:lineRule="auto"/>
        <w:ind w:firstLine="720"/>
        <w:rPr>
          <w:rFonts w:ascii="Times New Roman" w:hAnsi="Times New Roman" w:cs="Times New Roman"/>
          <w:sz w:val="24"/>
          <w:szCs w:val="24"/>
        </w:rPr>
      </w:pPr>
      <w:r w:rsidRPr="00827B02">
        <w:rPr>
          <w:rFonts w:ascii="Times New Roman" w:hAnsi="Times New Roman" w:cs="Times New Roman"/>
          <w:b/>
          <w:bCs/>
          <w:sz w:val="24"/>
          <w:szCs w:val="24"/>
        </w:rPr>
        <w:t>Why do you believe Berkshire Hathaway’s wanted to receive preferred rather than common stock in exchange for its investing its 8 billion?</w:t>
      </w:r>
    </w:p>
    <w:p w14:paraId="161A8997" w14:textId="77777777" w:rsidR="00204AEF" w:rsidRPr="00827B02" w:rsidRDefault="00204AEF" w:rsidP="00204AEF">
      <w:pPr>
        <w:spacing w:line="480" w:lineRule="auto"/>
        <w:rPr>
          <w:rFonts w:ascii="Times New Roman" w:hAnsi="Times New Roman" w:cs="Times New Roman"/>
          <w:sz w:val="24"/>
          <w:szCs w:val="24"/>
        </w:rPr>
      </w:pPr>
      <w:r w:rsidRPr="00827B02">
        <w:rPr>
          <w:rFonts w:ascii="Times New Roman" w:hAnsi="Times New Roman" w:cs="Times New Roman"/>
          <w:sz w:val="24"/>
          <w:szCs w:val="24"/>
        </w:rPr>
        <w:lastRenderedPageBreak/>
        <w:t>Preferred stock can easily be sold out to available investors who reasonably prefer safety for their capital. Equally, preferred stock is characterized by regular and fixed returns. </w:t>
      </w:r>
    </w:p>
    <w:p w14:paraId="131D101E" w14:textId="77777777" w:rsidR="00204AEF" w:rsidRPr="00827B02" w:rsidRDefault="00204AEF" w:rsidP="00204AEF">
      <w:pPr>
        <w:spacing w:line="480" w:lineRule="auto"/>
        <w:ind w:firstLine="720"/>
        <w:rPr>
          <w:rFonts w:ascii="Times New Roman" w:hAnsi="Times New Roman" w:cs="Times New Roman"/>
          <w:sz w:val="24"/>
          <w:szCs w:val="24"/>
        </w:rPr>
      </w:pPr>
      <w:r w:rsidRPr="00827B02">
        <w:rPr>
          <w:rFonts w:ascii="Times New Roman" w:hAnsi="Times New Roman" w:cs="Times New Roman"/>
          <w:b/>
          <w:bCs/>
          <w:sz w:val="24"/>
          <w:szCs w:val="24"/>
        </w:rPr>
        <w:t>Thermo Fisher and Life technologies</w:t>
      </w:r>
    </w:p>
    <w:p w14:paraId="5D001375" w14:textId="77777777" w:rsidR="00204AEF" w:rsidRPr="00827B02" w:rsidRDefault="00204AEF" w:rsidP="00204AEF">
      <w:pPr>
        <w:spacing w:line="480" w:lineRule="auto"/>
        <w:ind w:firstLine="720"/>
        <w:rPr>
          <w:rFonts w:ascii="Times New Roman" w:hAnsi="Times New Roman" w:cs="Times New Roman"/>
          <w:sz w:val="24"/>
          <w:szCs w:val="24"/>
        </w:rPr>
      </w:pPr>
      <w:r w:rsidRPr="00827B02">
        <w:rPr>
          <w:rFonts w:ascii="Times New Roman" w:hAnsi="Times New Roman" w:cs="Times New Roman"/>
          <w:b/>
          <w:bCs/>
          <w:sz w:val="24"/>
          <w:szCs w:val="24"/>
        </w:rPr>
        <w:t>The maximum price Thermo Fisher could have made without ceding all the synergy value to Life Tech shareholders and why the offer price at NPV turned negative </w:t>
      </w:r>
    </w:p>
    <w:p w14:paraId="66F7510F" w14:textId="77777777" w:rsidR="00204AEF" w:rsidRPr="00827B02" w:rsidRDefault="00204AEF" w:rsidP="00204AEF">
      <w:pPr>
        <w:spacing w:line="480" w:lineRule="auto"/>
        <w:jc w:val="both"/>
        <w:rPr>
          <w:rFonts w:ascii="Times New Roman" w:hAnsi="Times New Roman" w:cs="Times New Roman"/>
          <w:sz w:val="24"/>
          <w:szCs w:val="24"/>
        </w:rPr>
      </w:pPr>
      <w:r w:rsidRPr="00827B02">
        <w:rPr>
          <w:rFonts w:ascii="Times New Roman" w:hAnsi="Times New Roman" w:cs="Times New Roman"/>
          <w:sz w:val="24"/>
          <w:szCs w:val="24"/>
        </w:rPr>
        <w:t>The maximum price would be 70 dollars per share. Further, the NPV maximum price on Life Tech turned negative because economically negative pricing occurs when the demand of a commodity drops significantly or supply increases significantly forcing the owners to pay others to accept the price. This is the same case that happened after the acquisition </w:t>
      </w:r>
    </w:p>
    <w:p w14:paraId="38ED9952" w14:textId="77777777" w:rsidR="00204AEF" w:rsidRPr="00827B02" w:rsidRDefault="00204AEF" w:rsidP="00204AEF">
      <w:pPr>
        <w:spacing w:line="480" w:lineRule="auto"/>
        <w:ind w:firstLine="720"/>
        <w:rPr>
          <w:rFonts w:ascii="Times New Roman" w:hAnsi="Times New Roman" w:cs="Times New Roman"/>
          <w:sz w:val="24"/>
          <w:szCs w:val="24"/>
        </w:rPr>
      </w:pPr>
      <w:r w:rsidRPr="00827B02">
        <w:rPr>
          <w:rFonts w:ascii="Times New Roman" w:hAnsi="Times New Roman" w:cs="Times New Roman"/>
          <w:b/>
          <w:bCs/>
          <w:sz w:val="24"/>
          <w:szCs w:val="24"/>
        </w:rPr>
        <w:t>Potential impact on Thermo fisher's ability to retain an investment-grade if it had financed the takeover using 100% senior debt.</w:t>
      </w:r>
    </w:p>
    <w:p w14:paraId="0E1FB5B6" w14:textId="77777777" w:rsidR="00204AEF" w:rsidRPr="00827B02" w:rsidRDefault="00204AEF" w:rsidP="00204AEF">
      <w:pPr>
        <w:spacing w:line="480" w:lineRule="auto"/>
        <w:jc w:val="both"/>
        <w:rPr>
          <w:rFonts w:ascii="Times New Roman" w:hAnsi="Times New Roman" w:cs="Times New Roman"/>
          <w:sz w:val="24"/>
          <w:szCs w:val="24"/>
        </w:rPr>
      </w:pPr>
      <w:r w:rsidRPr="00827B02">
        <w:rPr>
          <w:rFonts w:ascii="Times New Roman" w:hAnsi="Times New Roman" w:cs="Times New Roman"/>
          <w:sz w:val="24"/>
          <w:szCs w:val="24"/>
        </w:rPr>
        <w:t>The firm would have been in a position to maintain the ownership of all the shares. This is because as opposed to equity financing debt financing typically gives a company control over the ownership. The company would not be answerable to investors.</w:t>
      </w:r>
    </w:p>
    <w:p w14:paraId="718AAF33" w14:textId="77777777" w:rsidR="00204AEF" w:rsidRPr="00827B02" w:rsidRDefault="00204AEF" w:rsidP="00204AEF">
      <w:pPr>
        <w:spacing w:line="480" w:lineRule="auto"/>
        <w:ind w:firstLine="720"/>
        <w:rPr>
          <w:rFonts w:ascii="Times New Roman" w:hAnsi="Times New Roman" w:cs="Times New Roman"/>
          <w:sz w:val="24"/>
          <w:szCs w:val="24"/>
        </w:rPr>
      </w:pPr>
      <w:r w:rsidRPr="00827B02">
        <w:rPr>
          <w:rFonts w:ascii="Times New Roman" w:hAnsi="Times New Roman" w:cs="Times New Roman"/>
          <w:b/>
          <w:bCs/>
          <w:sz w:val="24"/>
          <w:szCs w:val="24"/>
        </w:rPr>
        <w:t>What would have happened to EPS in the first year if Thermo Fisher was able to purchase the firm in a share for share exchange </w:t>
      </w:r>
    </w:p>
    <w:p w14:paraId="70703E8C" w14:textId="77777777" w:rsidR="00204AEF" w:rsidRPr="00827B02" w:rsidRDefault="00204AEF" w:rsidP="00204AEF">
      <w:pPr>
        <w:spacing w:line="480" w:lineRule="auto"/>
        <w:rPr>
          <w:rFonts w:ascii="Times New Roman" w:hAnsi="Times New Roman" w:cs="Times New Roman"/>
          <w:sz w:val="24"/>
          <w:szCs w:val="24"/>
        </w:rPr>
      </w:pPr>
      <w:r w:rsidRPr="00827B02">
        <w:rPr>
          <w:rFonts w:ascii="Times New Roman" w:hAnsi="Times New Roman" w:cs="Times New Roman"/>
          <w:sz w:val="24"/>
          <w:szCs w:val="24"/>
        </w:rPr>
        <w:t>The company’s stock would be less volatile therefore giving room to many investors to invest in the company.</w:t>
      </w:r>
    </w:p>
    <w:p w14:paraId="1D1C66FD" w14:textId="77777777" w:rsidR="00204AEF" w:rsidRPr="00827B02" w:rsidRDefault="00204AEF" w:rsidP="00204AEF">
      <w:pPr>
        <w:spacing w:line="480" w:lineRule="auto"/>
        <w:ind w:firstLine="720"/>
        <w:rPr>
          <w:rFonts w:ascii="Times New Roman" w:hAnsi="Times New Roman" w:cs="Times New Roman"/>
          <w:sz w:val="24"/>
          <w:szCs w:val="24"/>
        </w:rPr>
      </w:pPr>
    </w:p>
    <w:p w14:paraId="65A7C190" w14:textId="77777777" w:rsidR="00204AEF" w:rsidRPr="00827B02" w:rsidRDefault="00204AEF" w:rsidP="00204AEF">
      <w:pPr>
        <w:spacing w:line="480" w:lineRule="auto"/>
        <w:ind w:firstLine="720"/>
        <w:rPr>
          <w:rFonts w:ascii="Times New Roman" w:hAnsi="Times New Roman" w:cs="Times New Roman"/>
          <w:sz w:val="24"/>
          <w:szCs w:val="24"/>
        </w:rPr>
      </w:pPr>
      <w:r w:rsidRPr="00827B02">
        <w:rPr>
          <w:rFonts w:ascii="Times New Roman" w:hAnsi="Times New Roman" w:cs="Times New Roman"/>
          <w:b/>
          <w:bCs/>
          <w:sz w:val="24"/>
          <w:szCs w:val="24"/>
        </w:rPr>
        <w:t>How patient would the shareholders be if the projected impact on earnings per share was not realized?</w:t>
      </w:r>
    </w:p>
    <w:p w14:paraId="6FB9A05B" w14:textId="77777777" w:rsidR="00204AEF" w:rsidRPr="00827B02" w:rsidRDefault="00204AEF" w:rsidP="00204AEF">
      <w:pPr>
        <w:spacing w:line="480" w:lineRule="auto"/>
        <w:jc w:val="both"/>
        <w:rPr>
          <w:rFonts w:ascii="Times New Roman" w:hAnsi="Times New Roman" w:cs="Times New Roman"/>
          <w:sz w:val="24"/>
          <w:szCs w:val="24"/>
        </w:rPr>
      </w:pPr>
      <w:r w:rsidRPr="00827B02">
        <w:rPr>
          <w:rFonts w:ascii="Times New Roman" w:hAnsi="Times New Roman" w:cs="Times New Roman"/>
          <w:sz w:val="24"/>
          <w:szCs w:val="24"/>
        </w:rPr>
        <w:lastRenderedPageBreak/>
        <w:t>If the projected or targeted earnings on a share is not realized shareholders will start losing faith in company and in the long run, they might opt to sell off their shares which might affect the company ratings as well as lead the company to a receiver</w:t>
      </w:r>
      <w:r>
        <w:rPr>
          <w:rFonts w:ascii="Times New Roman" w:hAnsi="Times New Roman" w:cs="Times New Roman"/>
          <w:sz w:val="24"/>
          <w:szCs w:val="24"/>
        </w:rPr>
        <w:t>ship</w:t>
      </w:r>
    </w:p>
    <w:p w14:paraId="3F49A43E" w14:textId="77777777" w:rsidR="00204AEF" w:rsidRPr="00C3543F" w:rsidRDefault="00204AEF" w:rsidP="00204AEF">
      <w:pPr>
        <w:spacing w:line="480" w:lineRule="auto"/>
        <w:ind w:firstLine="720"/>
        <w:rPr>
          <w:rFonts w:ascii="Times New Roman" w:hAnsi="Times New Roman" w:cs="Times New Roman"/>
          <w:sz w:val="24"/>
          <w:szCs w:val="24"/>
          <w:lang w:val="en-US"/>
        </w:rPr>
      </w:pPr>
    </w:p>
    <w:p w14:paraId="53C1911D" w14:textId="77777777" w:rsidR="00CF114B" w:rsidRDefault="00CF114B"/>
    <w:sectPr w:rsidR="00CF11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AEF"/>
    <w:rsid w:val="00204AEF"/>
    <w:rsid w:val="00CF114B"/>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C4A48"/>
  <w15:chartTrackingRefBased/>
  <w15:docId w15:val="{C3040A1A-0DE8-40F4-896A-3885E3E88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AEF"/>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814</Words>
  <Characters>4641</Characters>
  <Application>Microsoft Office Word</Application>
  <DocSecurity>0</DocSecurity>
  <Lines>38</Lines>
  <Paragraphs>10</Paragraphs>
  <ScaleCrop>false</ScaleCrop>
  <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matheka</dc:creator>
  <cp:keywords/>
  <dc:description/>
  <cp:lastModifiedBy>john matheka</cp:lastModifiedBy>
  <cp:revision>1</cp:revision>
  <dcterms:created xsi:type="dcterms:W3CDTF">2021-11-01T19:36:00Z</dcterms:created>
  <dcterms:modified xsi:type="dcterms:W3CDTF">2021-11-01T19:37:00Z</dcterms:modified>
</cp:coreProperties>
</file>