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969AB" w14:textId="70C1BA80" w:rsidR="002F739F" w:rsidRDefault="00552D75" w:rsidP="00BD1E8F">
      <w:pPr>
        <w:jc w:val="center"/>
      </w:pPr>
      <w:r>
        <w:tab/>
      </w:r>
    </w:p>
    <w:p w14:paraId="7F17A673" w14:textId="77777777" w:rsidR="00BD1E8F" w:rsidRDefault="00BD1E8F" w:rsidP="00BD1E8F">
      <w:pPr>
        <w:jc w:val="center"/>
      </w:pPr>
    </w:p>
    <w:p w14:paraId="4959881B" w14:textId="77777777" w:rsidR="00BD1E8F" w:rsidRDefault="00BD1E8F" w:rsidP="00BD1E8F">
      <w:pPr>
        <w:jc w:val="center"/>
      </w:pPr>
    </w:p>
    <w:p w14:paraId="0AC7573E" w14:textId="77777777" w:rsidR="00BD1E8F" w:rsidRDefault="00BD1E8F" w:rsidP="00BD1E8F">
      <w:pPr>
        <w:jc w:val="center"/>
      </w:pPr>
    </w:p>
    <w:p w14:paraId="1C6A9A6D" w14:textId="77777777" w:rsidR="00BD1E8F" w:rsidRDefault="00BD1E8F" w:rsidP="00BD1E8F">
      <w:pPr>
        <w:jc w:val="center"/>
      </w:pPr>
    </w:p>
    <w:p w14:paraId="40B30437" w14:textId="77777777" w:rsidR="00BD1E8F" w:rsidRDefault="00BD1E8F" w:rsidP="00BD1E8F">
      <w:pPr>
        <w:jc w:val="center"/>
      </w:pPr>
    </w:p>
    <w:p w14:paraId="2EB589CC" w14:textId="77777777" w:rsidR="00BD1E8F" w:rsidRDefault="00BD1E8F" w:rsidP="00BD1E8F">
      <w:pPr>
        <w:jc w:val="center"/>
      </w:pPr>
    </w:p>
    <w:p w14:paraId="05742C75" w14:textId="77777777" w:rsidR="00BD1E8F" w:rsidRDefault="00BD1E8F" w:rsidP="00BD1E8F">
      <w:pPr>
        <w:jc w:val="center"/>
      </w:pPr>
    </w:p>
    <w:p w14:paraId="54DA33B5" w14:textId="77777777" w:rsidR="00BD1E8F" w:rsidRDefault="00BD1E8F" w:rsidP="00BD1E8F">
      <w:pPr>
        <w:jc w:val="center"/>
      </w:pPr>
    </w:p>
    <w:p w14:paraId="51FE913A" w14:textId="77777777" w:rsidR="00BD1E8F" w:rsidRDefault="00BD1E8F" w:rsidP="00BD1E8F">
      <w:pPr>
        <w:jc w:val="center"/>
      </w:pPr>
    </w:p>
    <w:p w14:paraId="2E163C2F" w14:textId="77777777" w:rsidR="00BD1E8F" w:rsidRDefault="00FB73C6" w:rsidP="00BD1E8F">
      <w:pPr>
        <w:jc w:val="center"/>
      </w:pPr>
      <w:r>
        <w:t>Advocacy, Ethics and Legal Aspects</w:t>
      </w:r>
    </w:p>
    <w:p w14:paraId="260F8FF2" w14:textId="77777777" w:rsidR="00BD1E8F" w:rsidRDefault="00FB73C6" w:rsidP="00BD1E8F">
      <w:pPr>
        <w:jc w:val="center"/>
      </w:pPr>
      <w:r>
        <w:t>Student’s Name</w:t>
      </w:r>
    </w:p>
    <w:p w14:paraId="3E120B95" w14:textId="77777777" w:rsidR="00BD1E8F" w:rsidRDefault="00FB73C6" w:rsidP="00BD1E8F">
      <w:pPr>
        <w:jc w:val="center"/>
      </w:pPr>
      <w:r>
        <w:t>Institutional Affiliation</w:t>
      </w:r>
    </w:p>
    <w:p w14:paraId="555336B5" w14:textId="77777777" w:rsidR="00BD1E8F" w:rsidRDefault="00FB73C6" w:rsidP="00BD1E8F">
      <w:pPr>
        <w:jc w:val="center"/>
      </w:pPr>
      <w:r>
        <w:t>Date</w:t>
      </w:r>
    </w:p>
    <w:p w14:paraId="7466A6F3" w14:textId="77777777" w:rsidR="00BD1E8F" w:rsidRDefault="00BD1E8F" w:rsidP="00BD1E8F">
      <w:pPr>
        <w:jc w:val="center"/>
      </w:pPr>
    </w:p>
    <w:p w14:paraId="211FB962" w14:textId="77777777" w:rsidR="00BD1E8F" w:rsidRDefault="00BD1E8F" w:rsidP="00BD1E8F">
      <w:pPr>
        <w:jc w:val="center"/>
      </w:pPr>
    </w:p>
    <w:p w14:paraId="591796E1" w14:textId="77777777" w:rsidR="00BD1E8F" w:rsidRDefault="00BD1E8F" w:rsidP="00BD1E8F">
      <w:pPr>
        <w:jc w:val="center"/>
      </w:pPr>
    </w:p>
    <w:p w14:paraId="79040B01" w14:textId="77777777" w:rsidR="00BD1E8F" w:rsidRDefault="00BD1E8F" w:rsidP="00BD1E8F">
      <w:pPr>
        <w:jc w:val="center"/>
      </w:pPr>
    </w:p>
    <w:p w14:paraId="2B271A54" w14:textId="77777777" w:rsidR="00BD1E8F" w:rsidRDefault="00BD1E8F" w:rsidP="00BD1E8F">
      <w:pPr>
        <w:jc w:val="center"/>
      </w:pPr>
    </w:p>
    <w:p w14:paraId="1629D0D3" w14:textId="77777777" w:rsidR="00BD1E8F" w:rsidRDefault="00BD1E8F" w:rsidP="00BD1E8F">
      <w:pPr>
        <w:jc w:val="center"/>
      </w:pPr>
    </w:p>
    <w:p w14:paraId="5D3CECFE" w14:textId="77777777" w:rsidR="00BD1E8F" w:rsidRDefault="00BD1E8F" w:rsidP="00BD1E8F">
      <w:pPr>
        <w:jc w:val="center"/>
      </w:pPr>
    </w:p>
    <w:p w14:paraId="055CAAE9" w14:textId="77777777" w:rsidR="00BD1E8F" w:rsidRDefault="00BD1E8F" w:rsidP="00BD1E8F">
      <w:pPr>
        <w:jc w:val="center"/>
      </w:pPr>
    </w:p>
    <w:p w14:paraId="4F156FEE" w14:textId="77777777" w:rsidR="00BD1E8F" w:rsidRDefault="00BD1E8F" w:rsidP="00BD1E8F">
      <w:pPr>
        <w:jc w:val="center"/>
      </w:pPr>
    </w:p>
    <w:p w14:paraId="0473DBA6" w14:textId="6432929C" w:rsidR="00BB196C" w:rsidRDefault="00FB73C6" w:rsidP="00552D75">
      <w:pPr>
        <w:ind w:firstLine="720"/>
      </w:pPr>
      <w:r>
        <w:lastRenderedPageBreak/>
        <w:t xml:space="preserve">Over the past few decades, patient advocacy has been a matter of concern in the nursing profession. However, the extent of patient advocacy is usually limited to the practice. In a correctional scenario, the patient is at the </w:t>
      </w:r>
      <w:r w:rsidR="00AE4588">
        <w:t xml:space="preserve">core </w:t>
      </w:r>
      <w:r>
        <w:t xml:space="preserve">of professional nursing practice. </w:t>
      </w:r>
      <w:r w:rsidR="00E03FE5">
        <w:t>T</w:t>
      </w:r>
      <w:r>
        <w:t xml:space="preserve">he reality that the patient </w:t>
      </w:r>
      <w:r w:rsidR="00E03FE5">
        <w:t xml:space="preserve">is </w:t>
      </w:r>
      <w:r>
        <w:t xml:space="preserve">confined is a </w:t>
      </w:r>
      <w:r w:rsidR="00E03FE5">
        <w:t>status quo and this does not and should not change a nurse perception towards the patient</w:t>
      </w:r>
      <w:r w:rsidR="00585BED">
        <w:t xml:space="preserve"> </w:t>
      </w:r>
      <w:sdt>
        <w:sdtPr>
          <w:id w:val="-1761134756"/>
          <w:citation/>
        </w:sdtPr>
        <w:sdtEndPr/>
        <w:sdtContent>
          <w:r w:rsidR="00585BED">
            <w:fldChar w:fldCharType="begin"/>
          </w:r>
          <w:r w:rsidR="00585BED">
            <w:instrText xml:space="preserve"> CITATION BuX75 \l 1033 </w:instrText>
          </w:r>
          <w:r w:rsidR="00585BED">
            <w:fldChar w:fldCharType="separate"/>
          </w:r>
          <w:r w:rsidR="00585BED">
            <w:rPr>
              <w:noProof/>
            </w:rPr>
            <w:t>(Bu &amp; Wu, 2008)</w:t>
          </w:r>
          <w:r w:rsidR="00585BED">
            <w:fldChar w:fldCharType="end"/>
          </w:r>
        </w:sdtContent>
      </w:sdt>
      <w:r w:rsidR="00E03FE5">
        <w:t xml:space="preserve">. </w:t>
      </w:r>
      <w:r w:rsidR="0012314A">
        <w:t xml:space="preserve">Accomplishing and remaining true to the professional nursing </w:t>
      </w:r>
      <w:r>
        <w:t>values at the same time practicing in a correctional institution can create a special set of the legal, ethical and professional issue for the nurse.</w:t>
      </w:r>
    </w:p>
    <w:p w14:paraId="478145A0" w14:textId="6DF89942" w:rsidR="00BB196C" w:rsidRDefault="00FB73C6" w:rsidP="00552D75">
      <w:pPr>
        <w:ind w:firstLine="720"/>
      </w:pPr>
      <w:r>
        <w:t>Among the most common ethical issue that comes up for the correctional nurses is associated with displaying affection, care, and compassion to inmates</w:t>
      </w:r>
      <w:r w:rsidR="00585BED">
        <w:t xml:space="preserve"> </w:t>
      </w:r>
      <w:sdt>
        <w:sdtPr>
          <w:id w:val="1222406365"/>
          <w:citation/>
        </w:sdtPr>
        <w:sdtEndPr/>
        <w:sdtContent>
          <w:r w:rsidR="00585BED">
            <w:fldChar w:fldCharType="begin"/>
          </w:r>
          <w:r w:rsidR="00585BED">
            <w:instrText xml:space="preserve"> CITATION Mah10 \l 1033 </w:instrText>
          </w:r>
          <w:r w:rsidR="00585BED">
            <w:fldChar w:fldCharType="separate"/>
          </w:r>
          <w:r w:rsidR="00585BED">
            <w:rPr>
              <w:noProof/>
            </w:rPr>
            <w:t>(Mahlin, 2010)</w:t>
          </w:r>
          <w:r w:rsidR="00585BED">
            <w:fldChar w:fldCharType="end"/>
          </w:r>
        </w:sdtContent>
      </w:sdt>
      <w:r>
        <w:t xml:space="preserve">. Therefore, it is important the </w:t>
      </w:r>
      <w:r w:rsidR="00DE2607">
        <w:t>nurses</w:t>
      </w:r>
      <w:r>
        <w:t xml:space="preserve"> practicing in a correction facility find</w:t>
      </w:r>
      <w:r w:rsidR="00DE2607">
        <w:t xml:space="preserve"> a balance between displaying an attitude of care and compassion while identifying and keeping safe distances. </w:t>
      </w:r>
    </w:p>
    <w:p w14:paraId="7DDBEED5" w14:textId="17477F07" w:rsidR="00966579" w:rsidRDefault="00FB73C6" w:rsidP="00BD1E8F">
      <w:r>
        <w:t>Nursing practices legal implication are bounded to state and federal laws as well as licensure, the range of practice and the public expectation that practicing nurses should ha</w:t>
      </w:r>
      <w:r w:rsidR="00C63D2E">
        <w:t>ve high professional standards. The set of standards in which nurses are expected to operate are stated in the license, nursing standards, and the nurses' education, falling off the set standards can cause litigation</w:t>
      </w:r>
      <w:r w:rsidR="00585BED">
        <w:t xml:space="preserve"> </w:t>
      </w:r>
      <w:sdt>
        <w:sdtPr>
          <w:id w:val="1789234978"/>
          <w:citation/>
        </w:sdtPr>
        <w:sdtEndPr/>
        <w:sdtContent>
          <w:r w:rsidR="00585BED">
            <w:fldChar w:fldCharType="begin"/>
          </w:r>
          <w:r w:rsidR="00585BED">
            <w:instrText xml:space="preserve"> CITATION Che08 \l 1033 </w:instrText>
          </w:r>
          <w:r w:rsidR="00585BED">
            <w:fldChar w:fldCharType="separate"/>
          </w:r>
          <w:r w:rsidR="00585BED">
            <w:rPr>
              <w:noProof/>
            </w:rPr>
            <w:t>(Cheathem, Barksdale, &amp; Rodgers, 2008)</w:t>
          </w:r>
          <w:r w:rsidR="00585BED">
            <w:fldChar w:fldCharType="end"/>
          </w:r>
        </w:sdtContent>
      </w:sdt>
      <w:r w:rsidR="00C63D2E">
        <w:t xml:space="preserve">. Inmate patients have the right to quality healthcare correctional nurses may fail to provide services required </w:t>
      </w:r>
      <w:r w:rsidR="00082975">
        <w:t xml:space="preserve">making them liable for litigation. </w:t>
      </w:r>
    </w:p>
    <w:p w14:paraId="2E0627CD" w14:textId="2177A90B" w:rsidR="00547BF6" w:rsidRDefault="00FB73C6" w:rsidP="00552D75">
      <w:pPr>
        <w:ind w:firstLine="720"/>
      </w:pPr>
      <w:r>
        <w:t>The key barrier to advocacy is powerlessness this is explained as</w:t>
      </w:r>
      <w:r w:rsidR="00FC61A3">
        <w:t>;</w:t>
      </w:r>
      <w:r>
        <w:t xml:space="preserve"> when a team is working on something and finds a hitch no one is willing to talk about it. </w:t>
      </w:r>
      <w:r w:rsidR="00FC61A3">
        <w:t xml:space="preserve">This can be managed by having open communication without shying off for the team members. </w:t>
      </w:r>
      <w:r>
        <w:t xml:space="preserve">Another barrier is lack of law and code of </w:t>
      </w:r>
      <w:r w:rsidR="00FC61A3">
        <w:t>conduct;</w:t>
      </w:r>
      <w:r>
        <w:t xml:space="preserve"> this is </w:t>
      </w:r>
      <w:r w:rsidR="00FC61A3">
        <w:t>explained as</w:t>
      </w:r>
      <w:r>
        <w:t xml:space="preserve"> if there are some rules the nurses are unaware of them or the rules were not mentioned to the nurses</w:t>
      </w:r>
      <w:r w:rsidR="00585BED">
        <w:t xml:space="preserve"> </w:t>
      </w:r>
      <w:sdt>
        <w:sdtPr>
          <w:id w:val="325170689"/>
          <w:citation/>
        </w:sdtPr>
        <w:sdtEndPr/>
        <w:sdtContent>
          <w:r w:rsidR="00585BED">
            <w:fldChar w:fldCharType="begin"/>
          </w:r>
          <w:r w:rsidR="00585BED">
            <w:instrText xml:space="preserve"> CITATION Mah10 \l 1033 </w:instrText>
          </w:r>
          <w:r w:rsidR="00585BED">
            <w:fldChar w:fldCharType="separate"/>
          </w:r>
          <w:r w:rsidR="00585BED">
            <w:rPr>
              <w:noProof/>
            </w:rPr>
            <w:t>(Mahlin, 2010)</w:t>
          </w:r>
          <w:r w:rsidR="00585BED">
            <w:fldChar w:fldCharType="end"/>
          </w:r>
        </w:sdtContent>
      </w:sdt>
      <w:r>
        <w:t>.</w:t>
      </w:r>
      <w:r w:rsidR="00C63D2E">
        <w:t xml:space="preserve"> </w:t>
      </w:r>
      <w:r w:rsidR="00FC61A3">
        <w:t xml:space="preserve">Manageable through </w:t>
      </w:r>
      <w:proofErr w:type="gramStart"/>
      <w:r w:rsidR="00FC61A3">
        <w:t>laying</w:t>
      </w:r>
      <w:proofErr w:type="gramEnd"/>
      <w:r w:rsidR="00FC61A3">
        <w:t xml:space="preserve"> out of the code of conduct to each and every individual in the nursing unit.</w:t>
      </w:r>
      <w:r>
        <w:br w:type="page"/>
      </w:r>
    </w:p>
    <w:sdt>
      <w:sdtPr>
        <w:rPr>
          <w:rFonts w:ascii="Times New Roman" w:eastAsiaTheme="minorHAnsi" w:hAnsi="Times New Roman" w:cs="Times New Roman"/>
          <w:color w:val="auto"/>
          <w:sz w:val="24"/>
          <w:szCs w:val="24"/>
        </w:rPr>
        <w:id w:val="2111389330"/>
        <w:docPartObj>
          <w:docPartGallery w:val="Bibliographies"/>
          <w:docPartUnique/>
        </w:docPartObj>
      </w:sdtPr>
      <w:sdtEndPr>
        <w:rPr>
          <w:rFonts w:cstheme="minorBidi"/>
          <w:szCs w:val="22"/>
        </w:rPr>
      </w:sdtEndPr>
      <w:sdtContent>
        <w:p w14:paraId="3D31A15D" w14:textId="77777777" w:rsidR="00FC0ECE" w:rsidRPr="00FC0ECE" w:rsidRDefault="00FB73C6" w:rsidP="00552D75">
          <w:pPr>
            <w:pStyle w:val="Heading1"/>
            <w:spacing w:line="480" w:lineRule="auto"/>
            <w:jc w:val="center"/>
            <w:rPr>
              <w:rFonts w:ascii="Times New Roman" w:hAnsi="Times New Roman" w:cs="Times New Roman"/>
              <w:color w:val="auto"/>
              <w:sz w:val="24"/>
              <w:szCs w:val="24"/>
            </w:rPr>
          </w:pPr>
          <w:r w:rsidRPr="00FC0ECE">
            <w:rPr>
              <w:rFonts w:ascii="Times New Roman" w:hAnsi="Times New Roman" w:cs="Times New Roman"/>
              <w:color w:val="auto"/>
              <w:sz w:val="24"/>
              <w:szCs w:val="24"/>
            </w:rPr>
            <w:t>References</w:t>
          </w:r>
        </w:p>
        <w:sdt>
          <w:sdtPr>
            <w:id w:val="-573587230"/>
            <w:bibliography/>
          </w:sdtPr>
          <w:sdtEndPr/>
          <w:sdtContent>
            <w:p w14:paraId="340847F9" w14:textId="77777777" w:rsidR="00FC0ECE" w:rsidRDefault="00FB73C6" w:rsidP="00FC0ECE">
              <w:pPr>
                <w:pStyle w:val="Bibliography"/>
                <w:ind w:left="720" w:hanging="720"/>
                <w:rPr>
                  <w:noProof/>
                  <w:szCs w:val="24"/>
                </w:rPr>
              </w:pPr>
              <w:r>
                <w:fldChar w:fldCharType="begin"/>
              </w:r>
              <w:r>
                <w:instrText xml:space="preserve"> BIBLIOGRAPHY </w:instrText>
              </w:r>
              <w:r>
                <w:fldChar w:fldCharType="separate"/>
              </w:r>
              <w:r>
                <w:rPr>
                  <w:noProof/>
                </w:rPr>
                <w:t xml:space="preserve">Bu, X., &amp; Wu, Y. (2008). Development and psychometric evaluation of the instrument: attitude toward patient advocacy. </w:t>
              </w:r>
              <w:r>
                <w:rPr>
                  <w:i/>
                  <w:iCs/>
                  <w:noProof/>
                </w:rPr>
                <w:t>Research in Nursing &amp; Health</w:t>
              </w:r>
              <w:r>
                <w:rPr>
                  <w:noProof/>
                </w:rPr>
                <w:t>, 63-75.</w:t>
              </w:r>
            </w:p>
            <w:p w14:paraId="3CBDF778" w14:textId="77777777" w:rsidR="00FC0ECE" w:rsidRDefault="00FB73C6" w:rsidP="00FC0ECE">
              <w:pPr>
                <w:pStyle w:val="Bibliography"/>
                <w:ind w:left="720" w:hanging="720"/>
                <w:rPr>
                  <w:noProof/>
                </w:rPr>
              </w:pPr>
              <w:r>
                <w:rPr>
                  <w:noProof/>
                </w:rPr>
                <w:t>Cheathem, C. T., Barksdale, D. J., &amp; Rodge</w:t>
              </w:r>
              <w:bookmarkStart w:id="0" w:name="_GoBack"/>
              <w:bookmarkEnd w:id="0"/>
              <w:r>
                <w:rPr>
                  <w:noProof/>
                </w:rPr>
                <w:t xml:space="preserve">rs, S. G. (2008). Barriers to health care and health‐seeking behaviors faced by Black men. </w:t>
              </w:r>
              <w:r>
                <w:rPr>
                  <w:i/>
                  <w:iCs/>
                  <w:noProof/>
                </w:rPr>
                <w:t>Journal of the American Academy of Nurse Practitioners</w:t>
              </w:r>
              <w:r>
                <w:rPr>
                  <w:noProof/>
                </w:rPr>
                <w:t>, 555-562.</w:t>
              </w:r>
            </w:p>
            <w:p w14:paraId="5ECB9287" w14:textId="77777777" w:rsidR="00FC0ECE" w:rsidRDefault="00FB73C6" w:rsidP="00FC0ECE">
              <w:pPr>
                <w:pStyle w:val="Bibliography"/>
                <w:ind w:left="720" w:hanging="720"/>
                <w:rPr>
                  <w:noProof/>
                </w:rPr>
              </w:pPr>
              <w:r>
                <w:rPr>
                  <w:noProof/>
                </w:rPr>
                <w:t xml:space="preserve">Mahlin, M. (2010). Individual patient advocacy, collective responsibility, and activism within professional nursing associations. </w:t>
              </w:r>
              <w:r>
                <w:rPr>
                  <w:i/>
                  <w:iCs/>
                  <w:noProof/>
                </w:rPr>
                <w:t>Nursing Ethics</w:t>
              </w:r>
              <w:r>
                <w:rPr>
                  <w:noProof/>
                </w:rPr>
                <w:t>, 247-254.</w:t>
              </w:r>
            </w:p>
            <w:p w14:paraId="0ACF7BF8" w14:textId="77777777" w:rsidR="00FC0ECE" w:rsidRDefault="00FB73C6" w:rsidP="00FC0ECE">
              <w:r>
                <w:rPr>
                  <w:b/>
                  <w:bCs/>
                  <w:noProof/>
                </w:rPr>
                <w:fldChar w:fldCharType="end"/>
              </w:r>
            </w:p>
          </w:sdtContent>
        </w:sdt>
      </w:sdtContent>
    </w:sdt>
    <w:p w14:paraId="54D38B72" w14:textId="77777777" w:rsidR="00DE2607" w:rsidRPr="00BB196C" w:rsidRDefault="00DE2607" w:rsidP="00BD1E8F"/>
    <w:sectPr w:rsidR="00DE2607" w:rsidRPr="00BB196C" w:rsidSect="00BD1E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2259B" w14:textId="77777777" w:rsidR="00170717" w:rsidRDefault="00170717">
      <w:pPr>
        <w:spacing w:line="240" w:lineRule="auto"/>
      </w:pPr>
      <w:r>
        <w:separator/>
      </w:r>
    </w:p>
  </w:endnote>
  <w:endnote w:type="continuationSeparator" w:id="0">
    <w:p w14:paraId="2EF3F19E" w14:textId="77777777" w:rsidR="00170717" w:rsidRDefault="00170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116BA" w14:textId="77777777" w:rsidR="00170717" w:rsidRDefault="00170717">
      <w:pPr>
        <w:spacing w:line="240" w:lineRule="auto"/>
      </w:pPr>
      <w:r>
        <w:separator/>
      </w:r>
    </w:p>
  </w:footnote>
  <w:footnote w:type="continuationSeparator" w:id="0">
    <w:p w14:paraId="72AAEAC1" w14:textId="77777777" w:rsidR="00170717" w:rsidRDefault="001707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4F1F2" w14:textId="433DCB4D" w:rsidR="00BD1E8F" w:rsidRDefault="00FB73C6">
    <w:pPr>
      <w:pStyle w:val="Header"/>
      <w:jc w:val="right"/>
    </w:pPr>
    <w:r>
      <w:t>ADVOCACY, ETHICS AND LEGAL ASPECTS</w:t>
    </w:r>
    <w:r>
      <w:tab/>
    </w:r>
    <w:sdt>
      <w:sdtPr>
        <w:id w:val="-16411870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2D75">
          <w:rPr>
            <w:noProof/>
          </w:rPr>
          <w:t>2</w:t>
        </w:r>
        <w:r>
          <w:rPr>
            <w:noProof/>
          </w:rPr>
          <w:fldChar w:fldCharType="end"/>
        </w:r>
      </w:sdtContent>
    </w:sdt>
  </w:p>
  <w:p w14:paraId="1782AD4E" w14:textId="77777777" w:rsidR="00BD1E8F" w:rsidRDefault="00BD1E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62BB2" w14:textId="535E6CAE" w:rsidR="00BD1E8F" w:rsidRDefault="00FB73C6">
    <w:pPr>
      <w:pStyle w:val="Header"/>
      <w:jc w:val="right"/>
    </w:pPr>
    <w:r>
      <w:t>Running head: ADVOCACY, ETHICS AND LEGAL ASPECTS</w:t>
    </w:r>
    <w:r>
      <w:tab/>
    </w:r>
    <w:sdt>
      <w:sdtPr>
        <w:id w:val="4987050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2D75">
          <w:rPr>
            <w:noProof/>
          </w:rPr>
          <w:t>1</w:t>
        </w:r>
        <w:r>
          <w:rPr>
            <w:noProof/>
          </w:rPr>
          <w:fldChar w:fldCharType="end"/>
        </w:r>
      </w:sdtContent>
    </w:sdt>
  </w:p>
  <w:p w14:paraId="1A570044" w14:textId="77777777" w:rsidR="00BD1E8F" w:rsidRDefault="00BD1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E8F"/>
    <w:rsid w:val="00082975"/>
    <w:rsid w:val="0012314A"/>
    <w:rsid w:val="00170717"/>
    <w:rsid w:val="002F739F"/>
    <w:rsid w:val="00547BF6"/>
    <w:rsid w:val="00552D75"/>
    <w:rsid w:val="00585BED"/>
    <w:rsid w:val="00761A8E"/>
    <w:rsid w:val="008A066A"/>
    <w:rsid w:val="00966579"/>
    <w:rsid w:val="00AB1585"/>
    <w:rsid w:val="00AE4588"/>
    <w:rsid w:val="00B1447C"/>
    <w:rsid w:val="00BB196C"/>
    <w:rsid w:val="00BD1E8F"/>
    <w:rsid w:val="00C63D2E"/>
    <w:rsid w:val="00DE2607"/>
    <w:rsid w:val="00DF47C6"/>
    <w:rsid w:val="00E03FE5"/>
    <w:rsid w:val="00F26217"/>
    <w:rsid w:val="00FB73C6"/>
    <w:rsid w:val="00FC0ECE"/>
    <w:rsid w:val="00FC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0ECE"/>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E8F"/>
    <w:pPr>
      <w:tabs>
        <w:tab w:val="center" w:pos="4680"/>
        <w:tab w:val="right" w:pos="9360"/>
      </w:tabs>
      <w:spacing w:line="240" w:lineRule="auto"/>
    </w:pPr>
  </w:style>
  <w:style w:type="character" w:customStyle="1" w:styleId="HeaderChar">
    <w:name w:val="Header Char"/>
    <w:basedOn w:val="DefaultParagraphFont"/>
    <w:link w:val="Header"/>
    <w:uiPriority w:val="99"/>
    <w:rsid w:val="00BD1E8F"/>
  </w:style>
  <w:style w:type="paragraph" w:styleId="Footer">
    <w:name w:val="footer"/>
    <w:basedOn w:val="Normal"/>
    <w:link w:val="FooterChar"/>
    <w:uiPriority w:val="99"/>
    <w:unhideWhenUsed/>
    <w:rsid w:val="00BD1E8F"/>
    <w:pPr>
      <w:tabs>
        <w:tab w:val="center" w:pos="4680"/>
        <w:tab w:val="right" w:pos="9360"/>
      </w:tabs>
      <w:spacing w:line="240" w:lineRule="auto"/>
    </w:pPr>
  </w:style>
  <w:style w:type="character" w:customStyle="1" w:styleId="FooterChar">
    <w:name w:val="Footer Char"/>
    <w:basedOn w:val="DefaultParagraphFont"/>
    <w:link w:val="Footer"/>
    <w:uiPriority w:val="99"/>
    <w:rsid w:val="00BD1E8F"/>
  </w:style>
  <w:style w:type="character" w:customStyle="1" w:styleId="Heading1Char">
    <w:name w:val="Heading 1 Char"/>
    <w:basedOn w:val="DefaultParagraphFont"/>
    <w:link w:val="Heading1"/>
    <w:uiPriority w:val="9"/>
    <w:rsid w:val="00FC0EC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C0EC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5B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BE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0ECE"/>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E8F"/>
    <w:pPr>
      <w:tabs>
        <w:tab w:val="center" w:pos="4680"/>
        <w:tab w:val="right" w:pos="9360"/>
      </w:tabs>
      <w:spacing w:line="240" w:lineRule="auto"/>
    </w:pPr>
  </w:style>
  <w:style w:type="character" w:customStyle="1" w:styleId="HeaderChar">
    <w:name w:val="Header Char"/>
    <w:basedOn w:val="DefaultParagraphFont"/>
    <w:link w:val="Header"/>
    <w:uiPriority w:val="99"/>
    <w:rsid w:val="00BD1E8F"/>
  </w:style>
  <w:style w:type="paragraph" w:styleId="Footer">
    <w:name w:val="footer"/>
    <w:basedOn w:val="Normal"/>
    <w:link w:val="FooterChar"/>
    <w:uiPriority w:val="99"/>
    <w:unhideWhenUsed/>
    <w:rsid w:val="00BD1E8F"/>
    <w:pPr>
      <w:tabs>
        <w:tab w:val="center" w:pos="4680"/>
        <w:tab w:val="right" w:pos="9360"/>
      </w:tabs>
      <w:spacing w:line="240" w:lineRule="auto"/>
    </w:pPr>
  </w:style>
  <w:style w:type="character" w:customStyle="1" w:styleId="FooterChar">
    <w:name w:val="Footer Char"/>
    <w:basedOn w:val="DefaultParagraphFont"/>
    <w:link w:val="Footer"/>
    <w:uiPriority w:val="99"/>
    <w:rsid w:val="00BD1E8F"/>
  </w:style>
  <w:style w:type="character" w:customStyle="1" w:styleId="Heading1Char">
    <w:name w:val="Heading 1 Char"/>
    <w:basedOn w:val="DefaultParagraphFont"/>
    <w:link w:val="Heading1"/>
    <w:uiPriority w:val="9"/>
    <w:rsid w:val="00FC0EC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C0EC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5B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B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8374">
      <w:bodyDiv w:val="1"/>
      <w:marLeft w:val="0"/>
      <w:marRight w:val="0"/>
      <w:marTop w:val="0"/>
      <w:marBottom w:val="0"/>
      <w:divBdr>
        <w:top w:val="none" w:sz="0" w:space="0" w:color="auto"/>
        <w:left w:val="none" w:sz="0" w:space="0" w:color="auto"/>
        <w:bottom w:val="none" w:sz="0" w:space="0" w:color="auto"/>
        <w:right w:val="none" w:sz="0" w:space="0" w:color="auto"/>
      </w:divBdr>
    </w:div>
    <w:div w:id="200561075">
      <w:bodyDiv w:val="1"/>
      <w:marLeft w:val="0"/>
      <w:marRight w:val="0"/>
      <w:marTop w:val="0"/>
      <w:marBottom w:val="0"/>
      <w:divBdr>
        <w:top w:val="none" w:sz="0" w:space="0" w:color="auto"/>
        <w:left w:val="none" w:sz="0" w:space="0" w:color="auto"/>
        <w:bottom w:val="none" w:sz="0" w:space="0" w:color="auto"/>
        <w:right w:val="none" w:sz="0" w:space="0" w:color="auto"/>
      </w:divBdr>
    </w:div>
    <w:div w:id="380981408">
      <w:bodyDiv w:val="1"/>
      <w:marLeft w:val="0"/>
      <w:marRight w:val="0"/>
      <w:marTop w:val="0"/>
      <w:marBottom w:val="0"/>
      <w:divBdr>
        <w:top w:val="none" w:sz="0" w:space="0" w:color="auto"/>
        <w:left w:val="none" w:sz="0" w:space="0" w:color="auto"/>
        <w:bottom w:val="none" w:sz="0" w:space="0" w:color="auto"/>
        <w:right w:val="none" w:sz="0" w:space="0" w:color="auto"/>
      </w:divBdr>
    </w:div>
    <w:div w:id="203445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Mah10</b:Tag>
    <b:SourceType>JournalArticle</b:SourceType>
    <b:Guid>{D2432902-1CCE-49F2-B45F-B2367546932E}</b:Guid>
    <b:Title>Individual patient advocacy, collective responsibility and activism within professional nursing associations</b:Title>
    <b:JournalName>Nursing Ethics</b:JournalName>
    <b:Year>2010</b:Year>
    <b:Pages>247-254</b:Pages>
    <b:Author>
      <b:Author>
        <b:NameList>
          <b:Person>
            <b:Last>Mahlin</b:Last>
            <b:First>M</b:First>
          </b:Person>
        </b:NameList>
      </b:Author>
    </b:Author>
    <b:RefOrder>2</b:RefOrder>
  </b:Source>
  <b:Source>
    <b:Tag>BuX75</b:Tag>
    <b:SourceType>JournalArticle</b:SourceType>
    <b:Guid>{77357A84-D41A-4CE7-A247-EA3F039911A0}</b:Guid>
    <b:Title>Development and psychometric evaluation of the instrument: attitude toward patient advocacy</b:Title>
    <b:JournalName>Research in Nursing &amp; Health</b:JournalName>
    <b:Year>2008</b:Year>
    <b:Author>
      <b:Author>
        <b:NameList>
          <b:Person>
            <b:Last>Bu</b:Last>
            <b:First>X</b:First>
          </b:Person>
          <b:Person>
            <b:Last>Wu</b:Last>
            <b:First>Y</b:First>
          </b:Person>
        </b:NameList>
      </b:Author>
    </b:Author>
    <b:Pages>63-75</b:Pages>
    <b:RefOrder>1</b:RefOrder>
  </b:Source>
  <b:Source>
    <b:Tag>Che08</b:Tag>
    <b:SourceType>JournalArticle</b:SourceType>
    <b:Guid>{EADDF094-0728-4AF1-8F74-4AE8D1D98D9A}</b:Guid>
    <b:Title>Barriers to health care and health‐seeking behaviors faced by Black men</b:Title>
    <b:JournalName>Journal of the American Academy of Nurse Practitioners</b:JournalName>
    <b:Year>2008</b:Year>
    <b:Pages>555-562</b:Pages>
    <b:Author>
      <b:Author>
        <b:NameList>
          <b:Person>
            <b:Last>Cheathem</b:Last>
            <b:Middle>T</b:Middle>
            <b:First>C</b:First>
          </b:Person>
          <b:Person>
            <b:Last>Barksdale</b:Last>
            <b:Middle>J</b:Middle>
            <b:First>D</b:First>
          </b:Person>
          <b:Person>
            <b:Last>Rodgers</b:Last>
            <b:Middle>G</b:Middle>
            <b:First>S</b:First>
          </b:Person>
        </b:NameList>
      </b:Author>
    </b:Author>
    <b:RefOrder>3</b:RefOrder>
  </b:Source>
</b:Sources>
</file>

<file path=customXml/itemProps1.xml><?xml version="1.0" encoding="utf-8"?>
<ds:datastoreItem xmlns:ds="http://schemas.openxmlformats.org/officeDocument/2006/customXml" ds:itemID="{9709A035-F300-498B-8DE1-333C38555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JaminBenjamins</dc:creator>
  <cp:lastModifiedBy>d</cp:lastModifiedBy>
  <cp:revision>2</cp:revision>
  <dcterms:created xsi:type="dcterms:W3CDTF">2018-09-27T14:38:00Z</dcterms:created>
  <dcterms:modified xsi:type="dcterms:W3CDTF">2018-09-27T14:38:00Z</dcterms:modified>
</cp:coreProperties>
</file>