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7ABE" w:rsidRDefault="00EC7ABE" w:rsidP="00EC7ABE">
      <w:pPr>
        <w:spacing w:before="100" w:beforeAutospacing="1" w:after="100" w:afterAutospacing="1" w:line="480" w:lineRule="auto"/>
        <w:ind w:firstLine="720"/>
        <w:contextualSpacing/>
      </w:pPr>
    </w:p>
    <w:p w:rsidR="00EC7ABE" w:rsidRPr="00EC7ABE" w:rsidRDefault="00EC7ABE" w:rsidP="00EC7ABE">
      <w:pPr>
        <w:spacing w:before="100" w:beforeAutospacing="1" w:after="100" w:afterAutospacing="1" w:line="480" w:lineRule="auto"/>
        <w:ind w:firstLine="720"/>
        <w:contextualSpacing/>
      </w:pPr>
    </w:p>
    <w:p w:rsidR="00EC7ABE" w:rsidRPr="00EC7ABE" w:rsidRDefault="00EC7ABE" w:rsidP="00EC7ABE">
      <w:pPr>
        <w:spacing w:before="100" w:beforeAutospacing="1" w:after="100" w:afterAutospacing="1" w:line="480" w:lineRule="auto"/>
        <w:ind w:firstLine="720"/>
        <w:contextualSpacing/>
      </w:pPr>
    </w:p>
    <w:p w:rsidR="00EC7ABE" w:rsidRDefault="00EC7ABE" w:rsidP="00EC7ABE">
      <w:pPr>
        <w:spacing w:before="100" w:beforeAutospacing="1" w:after="100" w:afterAutospacing="1" w:line="480" w:lineRule="auto"/>
        <w:ind w:firstLine="720"/>
        <w:contextualSpacing/>
      </w:pPr>
    </w:p>
    <w:p w:rsidR="00EC7ABE" w:rsidRDefault="00EC7ABE" w:rsidP="00EC7ABE">
      <w:pPr>
        <w:pStyle w:val="NormalWeb"/>
        <w:spacing w:line="480" w:lineRule="auto"/>
        <w:ind w:firstLine="720"/>
        <w:contextualSpacing/>
        <w:rPr>
          <w:color w:val="0E101A"/>
        </w:rPr>
      </w:pPr>
      <w:r>
        <w:tab/>
      </w:r>
      <w:r>
        <w:rPr>
          <w:color w:val="0E101A"/>
        </w:rPr>
        <w:t> </w:t>
      </w:r>
    </w:p>
    <w:p w:rsidR="00EC7ABE" w:rsidRDefault="00EC7ABE" w:rsidP="00EC7ABE">
      <w:pPr>
        <w:pStyle w:val="NormalWeb"/>
        <w:spacing w:line="480" w:lineRule="auto"/>
        <w:ind w:firstLine="720"/>
        <w:contextualSpacing/>
        <w:rPr>
          <w:color w:val="0E101A"/>
        </w:rPr>
      </w:pPr>
      <w:r>
        <w:rPr>
          <w:color w:val="0E101A"/>
        </w:rPr>
        <w:t> </w:t>
      </w:r>
    </w:p>
    <w:p w:rsidR="00EC7ABE" w:rsidRDefault="00EC7ABE" w:rsidP="00EC7ABE">
      <w:pPr>
        <w:pStyle w:val="NormalWeb"/>
        <w:spacing w:line="480" w:lineRule="auto"/>
        <w:ind w:firstLine="720"/>
        <w:contextualSpacing/>
        <w:rPr>
          <w:color w:val="0E101A"/>
        </w:rPr>
      </w:pPr>
      <w:r>
        <w:rPr>
          <w:color w:val="0E101A"/>
        </w:rPr>
        <w:t> </w:t>
      </w:r>
    </w:p>
    <w:p w:rsidR="00EC7ABE" w:rsidRDefault="00EC7ABE" w:rsidP="00EC7ABE">
      <w:pPr>
        <w:pStyle w:val="NormalWeb"/>
        <w:spacing w:line="480" w:lineRule="auto"/>
        <w:ind w:firstLine="720"/>
        <w:contextualSpacing/>
        <w:rPr>
          <w:color w:val="0E101A"/>
        </w:rPr>
      </w:pPr>
      <w:r>
        <w:rPr>
          <w:color w:val="0E101A"/>
        </w:rPr>
        <w:t> </w:t>
      </w:r>
    </w:p>
    <w:p w:rsidR="00EC7ABE" w:rsidRDefault="00EC7ABE" w:rsidP="00EC7ABE">
      <w:pPr>
        <w:pStyle w:val="NormalWeb"/>
        <w:spacing w:line="480" w:lineRule="auto"/>
        <w:ind w:firstLine="720"/>
        <w:contextualSpacing/>
        <w:rPr>
          <w:color w:val="0E101A"/>
        </w:rPr>
      </w:pPr>
      <w:r>
        <w:rPr>
          <w:color w:val="0E101A"/>
        </w:rPr>
        <w:t> </w:t>
      </w:r>
    </w:p>
    <w:p w:rsidR="00EC7ABE" w:rsidRDefault="00EC7ABE" w:rsidP="00EC7ABE">
      <w:pPr>
        <w:pStyle w:val="NormalWeb"/>
        <w:spacing w:line="480" w:lineRule="auto"/>
        <w:ind w:firstLine="720"/>
        <w:contextualSpacing/>
        <w:rPr>
          <w:color w:val="0E101A"/>
        </w:rPr>
      </w:pPr>
      <w:r>
        <w:rPr>
          <w:color w:val="0E101A"/>
        </w:rPr>
        <w:t> </w:t>
      </w:r>
    </w:p>
    <w:p w:rsidR="00EC7ABE" w:rsidRDefault="00EC7ABE" w:rsidP="00EC7ABE">
      <w:pPr>
        <w:pStyle w:val="NormalWeb"/>
        <w:spacing w:line="480" w:lineRule="auto"/>
        <w:ind w:firstLine="720"/>
        <w:contextualSpacing/>
        <w:rPr>
          <w:color w:val="0E101A"/>
        </w:rPr>
      </w:pPr>
      <w:r>
        <w:rPr>
          <w:color w:val="0E101A"/>
        </w:rPr>
        <w:t> </w:t>
      </w:r>
    </w:p>
    <w:p w:rsidR="00EC7ABE" w:rsidRDefault="00EC7ABE" w:rsidP="00EC7ABE">
      <w:pPr>
        <w:pStyle w:val="NormalWeb"/>
        <w:spacing w:line="480" w:lineRule="auto"/>
        <w:ind w:firstLine="720"/>
        <w:contextualSpacing/>
        <w:rPr>
          <w:color w:val="0E101A"/>
        </w:rPr>
      </w:pPr>
      <w:r>
        <w:rPr>
          <w:color w:val="0E101A"/>
        </w:rPr>
        <w:t> </w:t>
      </w:r>
    </w:p>
    <w:p w:rsidR="00EC7ABE" w:rsidRDefault="00EC7ABE" w:rsidP="00EC7ABE">
      <w:pPr>
        <w:pStyle w:val="NormalWeb"/>
        <w:spacing w:line="480" w:lineRule="auto"/>
        <w:ind w:firstLine="720"/>
        <w:contextualSpacing/>
        <w:jc w:val="center"/>
        <w:rPr>
          <w:color w:val="0E101A"/>
        </w:rPr>
      </w:pPr>
      <w:proofErr w:type="spellStart"/>
      <w:r>
        <w:rPr>
          <w:color w:val="0E101A"/>
        </w:rPr>
        <w:t>Afterpay</w:t>
      </w:r>
      <w:proofErr w:type="spellEnd"/>
    </w:p>
    <w:p w:rsidR="00EC7ABE" w:rsidRDefault="00EC7ABE" w:rsidP="00EC7ABE">
      <w:pPr>
        <w:pStyle w:val="NormalWeb"/>
        <w:spacing w:line="480" w:lineRule="auto"/>
        <w:ind w:firstLine="720"/>
        <w:contextualSpacing/>
        <w:jc w:val="center"/>
        <w:rPr>
          <w:color w:val="0E101A"/>
        </w:rPr>
      </w:pPr>
      <w:r>
        <w:rPr>
          <w:color w:val="0E101A"/>
        </w:rPr>
        <w:t>Institution</w:t>
      </w:r>
    </w:p>
    <w:p w:rsidR="00EC7ABE" w:rsidRDefault="00EC7ABE" w:rsidP="00EC7ABE">
      <w:pPr>
        <w:pStyle w:val="NormalWeb"/>
        <w:spacing w:line="480" w:lineRule="auto"/>
        <w:ind w:firstLine="720"/>
        <w:contextualSpacing/>
        <w:jc w:val="center"/>
        <w:rPr>
          <w:color w:val="0E101A"/>
        </w:rPr>
      </w:pPr>
      <w:r>
        <w:rPr>
          <w:color w:val="0E101A"/>
        </w:rPr>
        <w:t>Professor</w:t>
      </w:r>
    </w:p>
    <w:p w:rsidR="00EC7ABE" w:rsidRDefault="00EC7ABE" w:rsidP="00EC7ABE">
      <w:pPr>
        <w:pStyle w:val="NormalWeb"/>
        <w:spacing w:line="480" w:lineRule="auto"/>
        <w:ind w:firstLine="720"/>
        <w:contextualSpacing/>
        <w:jc w:val="center"/>
        <w:rPr>
          <w:color w:val="0E101A"/>
        </w:rPr>
      </w:pPr>
      <w:r>
        <w:rPr>
          <w:color w:val="0E101A"/>
        </w:rPr>
        <w:t>Student</w:t>
      </w:r>
    </w:p>
    <w:p w:rsidR="00EC7ABE" w:rsidRDefault="00EC7ABE" w:rsidP="00EC7ABE">
      <w:pPr>
        <w:pStyle w:val="NormalWeb"/>
        <w:spacing w:line="480" w:lineRule="auto"/>
        <w:ind w:firstLine="720"/>
        <w:contextualSpacing/>
        <w:jc w:val="center"/>
        <w:rPr>
          <w:color w:val="0E101A"/>
        </w:rPr>
      </w:pPr>
      <w:r>
        <w:rPr>
          <w:color w:val="0E101A"/>
        </w:rPr>
        <w:t>Date</w:t>
      </w:r>
    </w:p>
    <w:p w:rsidR="00EC7ABE" w:rsidRDefault="00EC7ABE" w:rsidP="00EC7ABE">
      <w:pPr>
        <w:pStyle w:val="NormalWeb"/>
        <w:spacing w:line="480" w:lineRule="auto"/>
        <w:ind w:firstLine="720"/>
        <w:contextualSpacing/>
        <w:rPr>
          <w:color w:val="0E101A"/>
        </w:rPr>
      </w:pPr>
      <w:r>
        <w:rPr>
          <w:color w:val="0E101A"/>
        </w:rPr>
        <w:t> </w:t>
      </w:r>
    </w:p>
    <w:p w:rsidR="00EC7ABE" w:rsidRDefault="00EC7ABE" w:rsidP="00EC7ABE">
      <w:pPr>
        <w:pStyle w:val="NormalWeb"/>
        <w:spacing w:line="480" w:lineRule="auto"/>
        <w:ind w:firstLine="720"/>
        <w:contextualSpacing/>
        <w:rPr>
          <w:color w:val="0E101A"/>
        </w:rPr>
      </w:pPr>
      <w:r>
        <w:rPr>
          <w:color w:val="0E101A"/>
        </w:rPr>
        <w:t> </w:t>
      </w:r>
    </w:p>
    <w:p w:rsidR="00EC7ABE" w:rsidRDefault="00EC7ABE" w:rsidP="00EC7ABE">
      <w:pPr>
        <w:pStyle w:val="NormalWeb"/>
        <w:spacing w:line="480" w:lineRule="auto"/>
        <w:ind w:firstLine="720"/>
        <w:contextualSpacing/>
        <w:rPr>
          <w:color w:val="0E101A"/>
        </w:rPr>
      </w:pPr>
      <w:r>
        <w:rPr>
          <w:color w:val="0E101A"/>
        </w:rPr>
        <w:t> </w:t>
      </w:r>
    </w:p>
    <w:p w:rsidR="00EC7ABE" w:rsidRDefault="00EC7ABE" w:rsidP="00EC7ABE">
      <w:pPr>
        <w:pStyle w:val="NormalWeb"/>
        <w:spacing w:line="480" w:lineRule="auto"/>
        <w:ind w:firstLine="720"/>
        <w:contextualSpacing/>
        <w:rPr>
          <w:color w:val="0E101A"/>
        </w:rPr>
      </w:pPr>
      <w:r>
        <w:rPr>
          <w:color w:val="0E101A"/>
        </w:rPr>
        <w:t> </w:t>
      </w:r>
    </w:p>
    <w:p w:rsidR="00EC7ABE" w:rsidRDefault="00EC7ABE" w:rsidP="00EC7ABE">
      <w:pPr>
        <w:pStyle w:val="NormalWeb"/>
        <w:spacing w:line="480" w:lineRule="auto"/>
        <w:ind w:firstLine="720"/>
        <w:contextualSpacing/>
        <w:rPr>
          <w:color w:val="0E101A"/>
        </w:rPr>
      </w:pPr>
      <w:r>
        <w:rPr>
          <w:color w:val="0E101A"/>
        </w:rPr>
        <w:t> </w:t>
      </w:r>
    </w:p>
    <w:p w:rsidR="00EC7ABE" w:rsidRDefault="00EC7ABE" w:rsidP="00EC7ABE">
      <w:pPr>
        <w:pStyle w:val="NormalWeb"/>
        <w:spacing w:line="480" w:lineRule="auto"/>
        <w:ind w:firstLine="720"/>
        <w:contextualSpacing/>
        <w:rPr>
          <w:color w:val="0E101A"/>
        </w:rPr>
      </w:pPr>
      <w:r>
        <w:rPr>
          <w:color w:val="0E101A"/>
        </w:rPr>
        <w:t> </w:t>
      </w:r>
    </w:p>
    <w:p w:rsidR="00EC7ABE" w:rsidRDefault="00EC7ABE" w:rsidP="00EC7ABE">
      <w:pPr>
        <w:pStyle w:val="NormalWeb"/>
        <w:spacing w:line="480" w:lineRule="auto"/>
        <w:ind w:firstLine="720"/>
        <w:contextualSpacing/>
        <w:rPr>
          <w:color w:val="0E101A"/>
        </w:rPr>
      </w:pPr>
      <w:r>
        <w:rPr>
          <w:color w:val="0E101A"/>
        </w:rPr>
        <w:lastRenderedPageBreak/>
        <w:t xml:space="preserve">                                        </w:t>
      </w:r>
      <w:r w:rsidR="004B22A3">
        <w:rPr>
          <w:color w:val="0E101A"/>
        </w:rPr>
        <w:t>              </w:t>
      </w:r>
      <w:proofErr w:type="spellStart"/>
      <w:r w:rsidR="004B22A3">
        <w:rPr>
          <w:color w:val="0E101A"/>
        </w:rPr>
        <w:t>Afterpay</w:t>
      </w:r>
      <w:proofErr w:type="spellEnd"/>
    </w:p>
    <w:p w:rsidR="00EC7ABE" w:rsidRDefault="00EC7ABE" w:rsidP="00EC7ABE">
      <w:pPr>
        <w:pStyle w:val="NormalWeb"/>
        <w:spacing w:line="480" w:lineRule="auto"/>
        <w:ind w:firstLine="720"/>
        <w:contextualSpacing/>
        <w:rPr>
          <w:color w:val="0E101A"/>
        </w:rPr>
      </w:pPr>
      <w:r>
        <w:rPr>
          <w:rStyle w:val="Strong"/>
          <w:color w:val="0E101A"/>
        </w:rPr>
        <w:t>Hong Kong Overview</w:t>
      </w:r>
    </w:p>
    <w:p w:rsidR="00EC7ABE" w:rsidRDefault="00EC7ABE" w:rsidP="00EC7ABE">
      <w:pPr>
        <w:pStyle w:val="NormalWeb"/>
        <w:spacing w:line="480" w:lineRule="auto"/>
        <w:ind w:firstLine="720"/>
        <w:contextualSpacing/>
        <w:rPr>
          <w:color w:val="0E101A"/>
        </w:rPr>
      </w:pPr>
      <w:r>
        <w:rPr>
          <w:color w:val="0E101A"/>
        </w:rPr>
        <w:t>Hong Kong has grown over the years to become a commercially vibrant metropolis for both Western people and Chinese society. It is a highly developed economy due to its well established financial market, almost free port trade, and low taxation. In 2018, the GDP for Hong Kong was 362 billion U.S. dollars with a GDP growth of 2.9%. Over the years, Hong Kong has provided investors from all parts of the world with a large and highly productive market. The country has a population of 7.5 million people with an annual growth rate of 0.8% (</w:t>
      </w:r>
      <w:proofErr w:type="spellStart"/>
      <w:r>
        <w:rPr>
          <w:color w:val="0E101A"/>
        </w:rPr>
        <w:t>Kadukar</w:t>
      </w:r>
      <w:proofErr w:type="spellEnd"/>
      <w:r>
        <w:rPr>
          <w:color w:val="0E101A"/>
        </w:rPr>
        <w:t xml:space="preserve"> &amp; </w:t>
      </w:r>
      <w:proofErr w:type="spellStart"/>
      <w:r>
        <w:rPr>
          <w:color w:val="0E101A"/>
        </w:rPr>
        <w:t>Fernandes</w:t>
      </w:r>
      <w:proofErr w:type="spellEnd"/>
      <w:r>
        <w:rPr>
          <w:color w:val="0E101A"/>
        </w:rPr>
        <w:t>, 2018). An increase in foreign investments has contributed to rapid economic growth and a high minimum wage rate for employees.</w:t>
      </w:r>
    </w:p>
    <w:p w:rsidR="00EC7ABE" w:rsidRDefault="00EC7ABE" w:rsidP="00EC7ABE">
      <w:pPr>
        <w:pStyle w:val="NormalWeb"/>
        <w:spacing w:line="480" w:lineRule="auto"/>
        <w:ind w:firstLine="720"/>
        <w:contextualSpacing/>
        <w:rPr>
          <w:color w:val="0E101A"/>
        </w:rPr>
      </w:pPr>
      <w:r>
        <w:rPr>
          <w:rStyle w:val="Strong"/>
          <w:color w:val="0E101A"/>
        </w:rPr>
        <w:t>The political and legal environment</w:t>
      </w:r>
    </w:p>
    <w:p w:rsidR="00EC7ABE" w:rsidRDefault="00EC7ABE" w:rsidP="00EC7ABE">
      <w:pPr>
        <w:pStyle w:val="NormalWeb"/>
        <w:spacing w:line="480" w:lineRule="auto"/>
        <w:ind w:firstLine="720"/>
        <w:contextualSpacing/>
        <w:rPr>
          <w:color w:val="0E101A"/>
        </w:rPr>
      </w:pPr>
      <w:r>
        <w:rPr>
          <w:color w:val="0E101A"/>
        </w:rPr>
        <w:t>Politics in Hong Kong is dominated by the political system is dominated by the Hong Kong basic law and the quasi-constitutional document. The Hong Kong Government is led by the Chief Executive for the People’s Republic of China. Also, the government allows foreign investments and multinational companies to invest and are protected by international law that ensures the legal stability of the investments. As a result, many foreign investors and MNCs are attracted to the country contributing to the high revenue generation in the city. </w:t>
      </w:r>
    </w:p>
    <w:p w:rsidR="00EC7ABE" w:rsidRDefault="00EC7ABE" w:rsidP="00EC7ABE">
      <w:pPr>
        <w:pStyle w:val="NormalWeb"/>
        <w:spacing w:line="480" w:lineRule="auto"/>
        <w:ind w:firstLine="720"/>
        <w:contextualSpacing/>
        <w:rPr>
          <w:color w:val="0E101A"/>
        </w:rPr>
      </w:pPr>
      <w:r>
        <w:rPr>
          <w:rStyle w:val="Strong"/>
          <w:color w:val="0E101A"/>
        </w:rPr>
        <w:t>The economic and financial environment</w:t>
      </w:r>
    </w:p>
    <w:p w:rsidR="00EC7ABE" w:rsidRDefault="00EC7ABE" w:rsidP="00EC7ABE">
      <w:pPr>
        <w:pStyle w:val="NormalWeb"/>
        <w:spacing w:line="480" w:lineRule="auto"/>
        <w:ind w:firstLine="720"/>
        <w:contextualSpacing/>
        <w:rPr>
          <w:color w:val="0E101A"/>
        </w:rPr>
      </w:pPr>
      <w:r>
        <w:rPr>
          <w:color w:val="0E101A"/>
        </w:rPr>
        <w:t xml:space="preserve">The economic freedom score for Hong Kong is 89.1, making it the 2nd freest economy in 2020. Hong Kong is the main contributor to the Asian economy with a 2.7% GDP of China’s economy. Market forces and competition remains strong and well supported. Other than being one of the wealthiest cities in the world, it is also known as one of the healthiest. Over the years, the city’s economy has changed from manufacturing to service provision. Also, it contains a </w:t>
      </w:r>
      <w:r>
        <w:rPr>
          <w:color w:val="0E101A"/>
        </w:rPr>
        <w:lastRenderedPageBreak/>
        <w:t>deep water port which one of the busiest in the world, promoting economic growth in the city. The city has a considerably medium unemployment rate of 6.9% as compared to other cities in China (</w:t>
      </w:r>
      <w:proofErr w:type="spellStart"/>
      <w:r>
        <w:rPr>
          <w:color w:val="0E101A"/>
        </w:rPr>
        <w:t>Aveline</w:t>
      </w:r>
      <w:proofErr w:type="spellEnd"/>
      <w:r>
        <w:rPr>
          <w:color w:val="0E101A"/>
        </w:rPr>
        <w:t xml:space="preserve">-Dubach &amp; </w:t>
      </w:r>
      <w:proofErr w:type="spellStart"/>
      <w:r>
        <w:rPr>
          <w:color w:val="0E101A"/>
        </w:rPr>
        <w:t>Blandeau</w:t>
      </w:r>
      <w:proofErr w:type="spellEnd"/>
      <w:r>
        <w:rPr>
          <w:color w:val="0E101A"/>
        </w:rPr>
        <w:t>, 2019).</w:t>
      </w:r>
    </w:p>
    <w:p w:rsidR="00EC7ABE" w:rsidRDefault="00EC7ABE" w:rsidP="00EC7ABE">
      <w:pPr>
        <w:pStyle w:val="NormalWeb"/>
        <w:spacing w:line="480" w:lineRule="auto"/>
        <w:ind w:firstLine="720"/>
        <w:contextualSpacing/>
        <w:rPr>
          <w:color w:val="0E101A"/>
        </w:rPr>
      </w:pPr>
      <w:r>
        <w:rPr>
          <w:color w:val="0E101A"/>
        </w:rPr>
        <w:t>Hong Kong is the third-largest financial center and has the largest trading power in the world. The city mainly relies on the production of electronics, financial services, and tourism. The manufacturing sector presents a large economic share in the country’s GDP. The Hong Kong and Shanghai Banking Corporation, commonly known as the HSBC is the main bank in the city and has branches worldwide. The financial institutions in Hong Kong are responsible for managing the monetary system and maintaining price stability. In addition, they also ensure the purchasing power of the Hong Kong dollar is maintained across all other countries. </w:t>
      </w:r>
    </w:p>
    <w:p w:rsidR="00EC7ABE" w:rsidRDefault="00EC7ABE" w:rsidP="00EC7ABE">
      <w:pPr>
        <w:pStyle w:val="NormalWeb"/>
        <w:spacing w:line="480" w:lineRule="auto"/>
        <w:ind w:firstLine="720"/>
        <w:contextualSpacing/>
        <w:rPr>
          <w:color w:val="0E101A"/>
        </w:rPr>
      </w:pPr>
      <w:r>
        <w:rPr>
          <w:rStyle w:val="Strong"/>
          <w:color w:val="0E101A"/>
        </w:rPr>
        <w:t>Cultural Environment</w:t>
      </w:r>
    </w:p>
    <w:p w:rsidR="00EC7ABE" w:rsidRDefault="00EC7ABE" w:rsidP="00EC7ABE">
      <w:pPr>
        <w:pStyle w:val="NormalWeb"/>
        <w:spacing w:line="480" w:lineRule="auto"/>
        <w:ind w:firstLine="720"/>
        <w:contextualSpacing/>
        <w:rPr>
          <w:color w:val="0E101A"/>
        </w:rPr>
      </w:pPr>
      <w:r>
        <w:rPr>
          <w:color w:val="0E101A"/>
        </w:rPr>
        <w:t>Business culture in Hong Kong involves hierarchical structures and the people are career-oriented and hardworking. Business relationships are significant in the city but they play a less vital role than they do in Taiwan and China. Organizations practice vertical integration of power and decisions are often pragmatic. Business relationships take time to grow as people tend to take time in the process of building trust and loyalty. Besides, Hong Kong provides a safe cultural environment with no bias, thus foreign investors find it very attractive. </w:t>
      </w:r>
    </w:p>
    <w:p w:rsidR="00EC7ABE" w:rsidRDefault="00EC7ABE" w:rsidP="00EC7ABE">
      <w:pPr>
        <w:pStyle w:val="NormalWeb"/>
        <w:spacing w:line="480" w:lineRule="auto"/>
        <w:ind w:firstLine="720"/>
        <w:contextualSpacing/>
        <w:rPr>
          <w:color w:val="0E101A"/>
        </w:rPr>
      </w:pPr>
      <w:r>
        <w:rPr>
          <w:rStyle w:val="Strong"/>
          <w:color w:val="0E101A"/>
        </w:rPr>
        <w:t>Market opportunities for MNCs</w:t>
      </w:r>
    </w:p>
    <w:p w:rsidR="00EC7ABE" w:rsidRDefault="00EC7ABE" w:rsidP="00EC7ABE">
      <w:pPr>
        <w:pStyle w:val="NormalWeb"/>
        <w:spacing w:line="480" w:lineRule="auto"/>
        <w:ind w:firstLine="720"/>
        <w:contextualSpacing/>
        <w:rPr>
          <w:color w:val="0E101A"/>
        </w:rPr>
      </w:pPr>
      <w:r>
        <w:rPr>
          <w:color w:val="0E101A"/>
        </w:rPr>
        <w:t>Hong Kong is among the wealthiest economies in the world, therefore, companies looking to invest in the city can count on high technology, a skilled labor force, and good infrastructure (</w:t>
      </w:r>
      <w:proofErr w:type="spellStart"/>
      <w:r>
        <w:rPr>
          <w:color w:val="0E101A"/>
        </w:rPr>
        <w:t>Kottier</w:t>
      </w:r>
      <w:proofErr w:type="spellEnd"/>
      <w:r>
        <w:rPr>
          <w:color w:val="0E101A"/>
        </w:rPr>
        <w:t xml:space="preserve">, 2017). Hong Kong has a strong manufacturing industry and improved technology which is essential for a company looking to start its investments. Incentives are </w:t>
      </w:r>
      <w:r>
        <w:rPr>
          <w:color w:val="0E101A"/>
        </w:rPr>
        <w:lastRenderedPageBreak/>
        <w:t>provided by the Chinese government for profit maximization among foreign investors. The city has a stable legal environment and the MNCs are attracted by the low taxation. </w:t>
      </w:r>
    </w:p>
    <w:p w:rsidR="00EC7ABE" w:rsidRDefault="00EC7ABE" w:rsidP="00EC7ABE">
      <w:pPr>
        <w:pStyle w:val="NormalWeb"/>
        <w:spacing w:line="480" w:lineRule="auto"/>
        <w:ind w:firstLine="720"/>
        <w:contextualSpacing/>
        <w:rPr>
          <w:color w:val="0E101A"/>
        </w:rPr>
      </w:pPr>
      <w:r>
        <w:rPr>
          <w:rStyle w:val="Strong"/>
          <w:color w:val="0E101A"/>
        </w:rPr>
        <w:t>Human resources</w:t>
      </w:r>
    </w:p>
    <w:p w:rsidR="00EC7ABE" w:rsidRDefault="00EC7ABE" w:rsidP="00EC7ABE">
      <w:pPr>
        <w:pStyle w:val="NormalWeb"/>
        <w:spacing w:line="480" w:lineRule="auto"/>
        <w:ind w:firstLine="720"/>
        <w:contextualSpacing/>
        <w:rPr>
          <w:color w:val="0E101A"/>
        </w:rPr>
      </w:pPr>
      <w:r>
        <w:rPr>
          <w:color w:val="0E101A"/>
        </w:rPr>
        <w:t>Companies based in Hong Kong are assured of a skilled labor force from neighboring Chinese provinces which provides millions of workers. The employment of workers is based on their educational credentials and experience. Chinese law on employment provides a good environment for employees and businesses. MNCs in Hong Kong benefit from the low taxes thus they can employ as many workers as possible. However, the Chinese Government allows the MNCs to employ workers according to the stipulated terms of the company in terms of the minimum age and wages and stick to the terms (</w:t>
      </w:r>
      <w:proofErr w:type="spellStart"/>
      <w:r>
        <w:rPr>
          <w:color w:val="0E101A"/>
        </w:rPr>
        <w:t>Elstner</w:t>
      </w:r>
      <w:proofErr w:type="spellEnd"/>
      <w:r>
        <w:rPr>
          <w:color w:val="0E101A"/>
        </w:rPr>
        <w:t xml:space="preserve"> et al., 2018). The rise of MNCs in Hong Kong has contributed to the improved rate of employment and career development in the city.</w:t>
      </w:r>
    </w:p>
    <w:p w:rsidR="00EC7ABE" w:rsidRDefault="00EC7ABE" w:rsidP="00EC7ABE">
      <w:pPr>
        <w:pStyle w:val="NormalWeb"/>
        <w:spacing w:line="480" w:lineRule="auto"/>
        <w:ind w:firstLine="720"/>
        <w:contextualSpacing/>
        <w:rPr>
          <w:color w:val="0E101A"/>
        </w:rPr>
      </w:pPr>
      <w:r>
        <w:rPr>
          <w:rStyle w:val="Strong"/>
          <w:color w:val="0E101A"/>
        </w:rPr>
        <w:t>Company Overview</w:t>
      </w:r>
    </w:p>
    <w:p w:rsidR="00EC7ABE" w:rsidRDefault="00EC7ABE" w:rsidP="00EC7ABE">
      <w:pPr>
        <w:pStyle w:val="NormalWeb"/>
        <w:spacing w:line="480" w:lineRule="auto"/>
        <w:ind w:firstLine="720"/>
        <w:contextualSpacing/>
        <w:rPr>
          <w:color w:val="0E101A"/>
        </w:rPr>
      </w:pPr>
      <w:proofErr w:type="spellStart"/>
      <w:r>
        <w:rPr>
          <w:color w:val="0E101A"/>
        </w:rPr>
        <w:t>Afterpay</w:t>
      </w:r>
      <w:proofErr w:type="spellEnd"/>
      <w:r>
        <w:rPr>
          <w:color w:val="0E101A"/>
        </w:rPr>
        <w:t xml:space="preserve"> is a platform that allows customers to buy products, receive them, and pay later in installments. The company has gained popularity in several countries such as Canada and Australia, and it is focusing on entering new international markets. </w:t>
      </w:r>
      <w:proofErr w:type="spellStart"/>
      <w:r>
        <w:rPr>
          <w:color w:val="0E101A"/>
        </w:rPr>
        <w:t>Afterpay</w:t>
      </w:r>
      <w:proofErr w:type="spellEnd"/>
      <w:r>
        <w:rPr>
          <w:color w:val="0E101A"/>
        </w:rPr>
        <w:t xml:space="preserve"> has more than 8 million users all over the world and annual sales of more than 7 billion U.S. dollars. Many consumers prefer to use </w:t>
      </w:r>
      <w:proofErr w:type="spellStart"/>
      <w:r>
        <w:rPr>
          <w:color w:val="0E101A"/>
        </w:rPr>
        <w:t>Afterpay</w:t>
      </w:r>
      <w:proofErr w:type="spellEnd"/>
      <w:r>
        <w:rPr>
          <w:color w:val="0E101A"/>
        </w:rPr>
        <w:t xml:space="preserve"> because of its fast and charges low interest. </w:t>
      </w:r>
    </w:p>
    <w:p w:rsidR="00EC7ABE" w:rsidRDefault="00EC7ABE" w:rsidP="00EC7ABE">
      <w:pPr>
        <w:pStyle w:val="NormalWeb"/>
        <w:spacing w:line="480" w:lineRule="auto"/>
        <w:ind w:firstLine="720"/>
        <w:contextualSpacing/>
        <w:rPr>
          <w:color w:val="0E101A"/>
        </w:rPr>
      </w:pPr>
      <w:r>
        <w:rPr>
          <w:rStyle w:val="Strong"/>
          <w:color w:val="0E101A"/>
        </w:rPr>
        <w:t xml:space="preserve">Global Strategy for </w:t>
      </w:r>
      <w:proofErr w:type="spellStart"/>
      <w:r>
        <w:rPr>
          <w:rStyle w:val="Strong"/>
          <w:color w:val="0E101A"/>
        </w:rPr>
        <w:t>Afterpay</w:t>
      </w:r>
      <w:proofErr w:type="spellEnd"/>
      <w:r>
        <w:rPr>
          <w:rStyle w:val="Strong"/>
          <w:color w:val="0E101A"/>
        </w:rPr>
        <w:t xml:space="preserve"> in Germany</w:t>
      </w:r>
    </w:p>
    <w:p w:rsidR="00EC7ABE" w:rsidRDefault="00EC7ABE" w:rsidP="00EC7ABE">
      <w:pPr>
        <w:pStyle w:val="NormalWeb"/>
        <w:spacing w:line="480" w:lineRule="auto"/>
        <w:ind w:firstLine="720"/>
        <w:contextualSpacing/>
        <w:rPr>
          <w:color w:val="0E101A"/>
        </w:rPr>
      </w:pPr>
      <w:r>
        <w:rPr>
          <w:color w:val="0E101A"/>
        </w:rPr>
        <w:t xml:space="preserve">When it comes to economic freedom, Germany has the strongest economy in Europe. Market forces and competition remains strong and well supported. The country enjoys the reputation of having the best business location in Europe with the fourth largest nominal GDD in the world. Therefore, </w:t>
      </w:r>
      <w:proofErr w:type="spellStart"/>
      <w:r>
        <w:rPr>
          <w:color w:val="0E101A"/>
        </w:rPr>
        <w:t>Afterpay</w:t>
      </w:r>
      <w:proofErr w:type="spellEnd"/>
      <w:r>
        <w:rPr>
          <w:color w:val="0E101A"/>
        </w:rPr>
        <w:t xml:space="preserve"> needs to take advantage of the opportunities in Germany to be successful in its investment.</w:t>
      </w:r>
    </w:p>
    <w:p w:rsidR="00EC7ABE" w:rsidRDefault="00EC7ABE" w:rsidP="00EC7ABE">
      <w:pPr>
        <w:pStyle w:val="NormalWeb"/>
        <w:spacing w:line="480" w:lineRule="auto"/>
        <w:ind w:firstLine="720"/>
        <w:contextualSpacing/>
        <w:rPr>
          <w:color w:val="0E101A"/>
        </w:rPr>
      </w:pPr>
      <w:r>
        <w:rPr>
          <w:rStyle w:val="Strong"/>
          <w:color w:val="0E101A"/>
        </w:rPr>
        <w:lastRenderedPageBreak/>
        <w:t>Entry Modes</w:t>
      </w:r>
    </w:p>
    <w:p w:rsidR="00EC7ABE" w:rsidRDefault="00EC7ABE" w:rsidP="00EC7ABE">
      <w:pPr>
        <w:pStyle w:val="NormalWeb"/>
        <w:spacing w:line="480" w:lineRule="auto"/>
        <w:ind w:firstLine="720"/>
        <w:contextualSpacing/>
        <w:rPr>
          <w:color w:val="0E101A"/>
        </w:rPr>
      </w:pPr>
      <w:r>
        <w:rPr>
          <w:rStyle w:val="Strong"/>
          <w:color w:val="0E101A"/>
        </w:rPr>
        <w:t>Partnership and strategic alliances</w:t>
      </w:r>
    </w:p>
    <w:p w:rsidR="00EC7ABE" w:rsidRDefault="00EC7ABE" w:rsidP="00EC7ABE">
      <w:pPr>
        <w:pStyle w:val="NormalWeb"/>
        <w:spacing w:line="480" w:lineRule="auto"/>
        <w:ind w:firstLine="720"/>
        <w:contextualSpacing/>
        <w:rPr>
          <w:color w:val="0E101A"/>
        </w:rPr>
      </w:pPr>
      <w:r>
        <w:rPr>
          <w:color w:val="0E101A"/>
        </w:rPr>
        <w:t xml:space="preserve">A strategic alliance involves two or more companies that make a contractual agreement to cooperate in various ways of doing business to achieve the set objectives. In this case, </w:t>
      </w:r>
      <w:proofErr w:type="spellStart"/>
      <w:r>
        <w:rPr>
          <w:color w:val="0E101A"/>
        </w:rPr>
        <w:t>Afterpay</w:t>
      </w:r>
      <w:proofErr w:type="spellEnd"/>
      <w:r>
        <w:rPr>
          <w:color w:val="0E101A"/>
        </w:rPr>
        <w:t xml:space="preserve"> needs to identify local firms in Germany and form a partnership with them. </w:t>
      </w:r>
      <w:proofErr w:type="spellStart"/>
      <w:r>
        <w:rPr>
          <w:color w:val="0E101A"/>
        </w:rPr>
        <w:t>Afterpay</w:t>
      </w:r>
      <w:proofErr w:type="spellEnd"/>
      <w:r>
        <w:rPr>
          <w:color w:val="0E101A"/>
        </w:rPr>
        <w:t xml:space="preserve"> should evaluate the value that the partner could add to the company in its efforts to enter the German market. The advantage of a partnership is that the local firm knows the market, culture, and business opportunities in Germany (</w:t>
      </w:r>
      <w:proofErr w:type="spellStart"/>
      <w:r>
        <w:rPr>
          <w:color w:val="0E101A"/>
        </w:rPr>
        <w:t>Zekiri</w:t>
      </w:r>
      <w:proofErr w:type="spellEnd"/>
      <w:r>
        <w:rPr>
          <w:color w:val="0E101A"/>
        </w:rPr>
        <w:t xml:space="preserve">, 2016). By choosing a reputable and recognized local firm in the country, </w:t>
      </w:r>
      <w:proofErr w:type="spellStart"/>
      <w:r>
        <w:rPr>
          <w:color w:val="0E101A"/>
        </w:rPr>
        <w:t>Afterpay</w:t>
      </w:r>
      <w:proofErr w:type="spellEnd"/>
      <w:r>
        <w:rPr>
          <w:color w:val="0E101A"/>
        </w:rPr>
        <w:t xml:space="preserve"> increases its opportunities for success in the German market. </w:t>
      </w:r>
    </w:p>
    <w:p w:rsidR="00EC7ABE" w:rsidRDefault="00EC7ABE" w:rsidP="00EC7ABE">
      <w:pPr>
        <w:pStyle w:val="NormalWeb"/>
        <w:spacing w:line="480" w:lineRule="auto"/>
        <w:ind w:firstLine="720"/>
        <w:contextualSpacing/>
        <w:rPr>
          <w:color w:val="0E101A"/>
        </w:rPr>
      </w:pPr>
      <w:r>
        <w:rPr>
          <w:rStyle w:val="Strong"/>
          <w:color w:val="0E101A"/>
        </w:rPr>
        <w:t>Franchising</w:t>
      </w:r>
    </w:p>
    <w:p w:rsidR="00EC7ABE" w:rsidRDefault="00EC7ABE" w:rsidP="00EC7ABE">
      <w:pPr>
        <w:pStyle w:val="NormalWeb"/>
        <w:spacing w:line="480" w:lineRule="auto"/>
        <w:ind w:firstLine="720"/>
        <w:contextualSpacing/>
        <w:rPr>
          <w:color w:val="0E101A"/>
        </w:rPr>
      </w:pPr>
      <w:r>
        <w:rPr>
          <w:color w:val="0E101A"/>
        </w:rPr>
        <w:t>This is the process of giving an independent business the rights to run a franchise using the company’s technology, business format, and strategies. The chosen firm is usually well established and its reputation in the market is recommendable. This method contributes to the increased popularity of the company’s services in the new international market.</w:t>
      </w:r>
    </w:p>
    <w:p w:rsidR="00EC7ABE" w:rsidRDefault="00EC7ABE" w:rsidP="00EC7ABE">
      <w:pPr>
        <w:pStyle w:val="NormalWeb"/>
        <w:spacing w:line="480" w:lineRule="auto"/>
        <w:ind w:firstLine="720"/>
        <w:contextualSpacing/>
        <w:rPr>
          <w:color w:val="0E101A"/>
        </w:rPr>
      </w:pPr>
      <w:r>
        <w:rPr>
          <w:rStyle w:val="Strong"/>
          <w:color w:val="0E101A"/>
        </w:rPr>
        <w:t>Acquisition</w:t>
      </w:r>
    </w:p>
    <w:p w:rsidR="00EC7ABE" w:rsidRDefault="00EC7ABE" w:rsidP="00EC7ABE">
      <w:pPr>
        <w:pStyle w:val="NormalWeb"/>
        <w:spacing w:line="480" w:lineRule="auto"/>
        <w:ind w:firstLine="720"/>
        <w:contextualSpacing/>
        <w:rPr>
          <w:color w:val="0E101A"/>
        </w:rPr>
      </w:pPr>
      <w:r>
        <w:rPr>
          <w:color w:val="0E101A"/>
        </w:rPr>
        <w:t xml:space="preserve">This entry mode involves purchasing a local firm in a new country and merging it with the main company as a subsidiary. An ideal way to introduce </w:t>
      </w:r>
      <w:proofErr w:type="spellStart"/>
      <w:r>
        <w:rPr>
          <w:color w:val="0E101A"/>
        </w:rPr>
        <w:t>Afterpay</w:t>
      </w:r>
      <w:proofErr w:type="spellEnd"/>
      <w:r>
        <w:rPr>
          <w:color w:val="0E101A"/>
        </w:rPr>
        <w:t xml:space="preserve"> in Germany would be through the acquisition of a supplier, competitor, or a related company that is well established in the country. This entry mode is highly preferred since it is the fastest to enter a new international market. The advantage of the acquisition lies in the local firm’s knowledge of the new country’s market structure and opportunities to expand the company’s portfolios (</w:t>
      </w:r>
      <w:proofErr w:type="spellStart"/>
      <w:r>
        <w:rPr>
          <w:color w:val="0E101A"/>
        </w:rPr>
        <w:t>Zekiri</w:t>
      </w:r>
      <w:proofErr w:type="spellEnd"/>
      <w:r>
        <w:rPr>
          <w:color w:val="0E101A"/>
        </w:rPr>
        <w:t xml:space="preserve">, 2016). Therefore, the acquisition is the most suitable mode of entry that </w:t>
      </w:r>
      <w:proofErr w:type="spellStart"/>
      <w:r>
        <w:rPr>
          <w:color w:val="0E101A"/>
        </w:rPr>
        <w:t>Afterpay</w:t>
      </w:r>
      <w:proofErr w:type="spellEnd"/>
      <w:r>
        <w:rPr>
          <w:color w:val="0E101A"/>
        </w:rPr>
        <w:t xml:space="preserve"> can use to enter into the German market. </w:t>
      </w:r>
    </w:p>
    <w:p w:rsidR="00EC7ABE" w:rsidRDefault="00EC7ABE" w:rsidP="00EC7ABE">
      <w:pPr>
        <w:pStyle w:val="NormalWeb"/>
        <w:spacing w:line="480" w:lineRule="auto"/>
        <w:ind w:firstLine="720"/>
        <w:contextualSpacing/>
        <w:rPr>
          <w:color w:val="0E101A"/>
        </w:rPr>
      </w:pPr>
      <w:r>
        <w:rPr>
          <w:rStyle w:val="Strong"/>
          <w:color w:val="0E101A"/>
        </w:rPr>
        <w:lastRenderedPageBreak/>
        <w:t>SWOT Analysis </w:t>
      </w:r>
    </w:p>
    <w:p w:rsidR="00EC7ABE" w:rsidRDefault="00EC7ABE" w:rsidP="00EC7ABE">
      <w:pPr>
        <w:pStyle w:val="NormalWeb"/>
        <w:spacing w:line="480" w:lineRule="auto"/>
        <w:ind w:firstLine="720"/>
        <w:contextualSpacing/>
        <w:rPr>
          <w:color w:val="0E101A"/>
        </w:rPr>
      </w:pPr>
      <w:r>
        <w:rPr>
          <w:rStyle w:val="Strong"/>
          <w:color w:val="0E101A"/>
        </w:rPr>
        <w:t>Strengths</w:t>
      </w:r>
    </w:p>
    <w:p w:rsidR="00EC7ABE" w:rsidRDefault="00EC7ABE" w:rsidP="00EC7ABE">
      <w:pPr>
        <w:pStyle w:val="NormalWeb"/>
        <w:spacing w:line="480" w:lineRule="auto"/>
        <w:ind w:firstLine="720"/>
        <w:contextualSpacing/>
        <w:rPr>
          <w:color w:val="0E101A"/>
        </w:rPr>
      </w:pPr>
      <w:proofErr w:type="spellStart"/>
      <w:r>
        <w:rPr>
          <w:color w:val="0E101A"/>
        </w:rPr>
        <w:t>Afterpay</w:t>
      </w:r>
      <w:proofErr w:type="spellEnd"/>
      <w:r>
        <w:rPr>
          <w:color w:val="0E101A"/>
        </w:rPr>
        <w:t xml:space="preserve"> has a great record in entering new markets and displaying a superb performance. Also, the company possesses a strong network distribution and can reach every potential market that is looking to venture in.</w:t>
      </w:r>
    </w:p>
    <w:p w:rsidR="00EC7ABE" w:rsidRDefault="00EC7ABE" w:rsidP="00EC7ABE">
      <w:pPr>
        <w:pStyle w:val="NormalWeb"/>
        <w:spacing w:line="480" w:lineRule="auto"/>
        <w:ind w:firstLine="720"/>
        <w:contextualSpacing/>
        <w:rPr>
          <w:color w:val="0E101A"/>
        </w:rPr>
      </w:pPr>
      <w:r>
        <w:rPr>
          <w:rStyle w:val="Strong"/>
          <w:color w:val="0E101A"/>
        </w:rPr>
        <w:t>Weaknesses</w:t>
      </w:r>
    </w:p>
    <w:p w:rsidR="00EC7ABE" w:rsidRDefault="00EC7ABE" w:rsidP="00EC7ABE">
      <w:pPr>
        <w:pStyle w:val="NormalWeb"/>
        <w:spacing w:line="480" w:lineRule="auto"/>
        <w:ind w:firstLine="720"/>
        <w:contextualSpacing/>
        <w:rPr>
          <w:color w:val="0E101A"/>
        </w:rPr>
      </w:pPr>
      <w:proofErr w:type="spellStart"/>
      <w:r>
        <w:rPr>
          <w:color w:val="0E101A"/>
        </w:rPr>
        <w:t>Afterpay</w:t>
      </w:r>
      <w:proofErr w:type="spellEnd"/>
      <w:r>
        <w:rPr>
          <w:color w:val="0E101A"/>
        </w:rPr>
        <w:t xml:space="preserve"> has not been successful in integrating with other companies. Therefore, experiencing a new culture and market strategies would be a great challenge in entering a new market.</w:t>
      </w:r>
    </w:p>
    <w:p w:rsidR="00EC7ABE" w:rsidRDefault="00EC7ABE" w:rsidP="00EC7ABE">
      <w:pPr>
        <w:pStyle w:val="NormalWeb"/>
        <w:spacing w:line="480" w:lineRule="auto"/>
        <w:ind w:firstLine="720"/>
        <w:contextualSpacing/>
        <w:rPr>
          <w:color w:val="0E101A"/>
        </w:rPr>
      </w:pPr>
      <w:r>
        <w:rPr>
          <w:rStyle w:val="Strong"/>
          <w:color w:val="0E101A"/>
        </w:rPr>
        <w:t>Opportunities</w:t>
      </w:r>
    </w:p>
    <w:p w:rsidR="00EC7ABE" w:rsidRDefault="00EC7ABE" w:rsidP="00EC7ABE">
      <w:pPr>
        <w:pStyle w:val="NormalWeb"/>
        <w:spacing w:line="480" w:lineRule="auto"/>
        <w:ind w:firstLine="720"/>
        <w:contextualSpacing/>
        <w:rPr>
          <w:color w:val="0E101A"/>
        </w:rPr>
      </w:pPr>
      <w:r>
        <w:rPr>
          <w:color w:val="0E101A"/>
        </w:rPr>
        <w:t xml:space="preserve">The government agreement with </w:t>
      </w:r>
      <w:proofErr w:type="spellStart"/>
      <w:r>
        <w:rPr>
          <w:color w:val="0E101A"/>
        </w:rPr>
        <w:t>Afterpay</w:t>
      </w:r>
      <w:proofErr w:type="spellEnd"/>
      <w:r>
        <w:rPr>
          <w:color w:val="0E101A"/>
        </w:rPr>
        <w:t xml:space="preserve"> to open up new markets and the adoption of new technology has provided the company with an opportunity to enter new markets easily.</w:t>
      </w:r>
    </w:p>
    <w:p w:rsidR="00EC7ABE" w:rsidRDefault="00EC7ABE" w:rsidP="00EC7ABE">
      <w:pPr>
        <w:pStyle w:val="NormalWeb"/>
        <w:spacing w:line="480" w:lineRule="auto"/>
        <w:ind w:firstLine="720"/>
        <w:contextualSpacing/>
        <w:rPr>
          <w:color w:val="0E101A"/>
        </w:rPr>
      </w:pPr>
      <w:r>
        <w:rPr>
          <w:rStyle w:val="Strong"/>
          <w:color w:val="0E101A"/>
        </w:rPr>
        <w:t>Threats</w:t>
      </w:r>
    </w:p>
    <w:p w:rsidR="00EC7ABE" w:rsidRDefault="00EC7ABE" w:rsidP="00EC7ABE">
      <w:pPr>
        <w:pStyle w:val="NormalWeb"/>
        <w:spacing w:line="480" w:lineRule="auto"/>
        <w:ind w:firstLine="720"/>
        <w:contextualSpacing/>
        <w:rPr>
          <w:color w:val="0E101A"/>
        </w:rPr>
      </w:pPr>
      <w:r>
        <w:rPr>
          <w:color w:val="0E101A"/>
        </w:rPr>
        <w:t xml:space="preserve">The high rate of innovation and new technologies in various markets could be a threat to </w:t>
      </w:r>
      <w:proofErr w:type="spellStart"/>
      <w:r>
        <w:rPr>
          <w:color w:val="0E101A"/>
        </w:rPr>
        <w:t>Afterpay</w:t>
      </w:r>
      <w:proofErr w:type="spellEnd"/>
      <w:r>
        <w:rPr>
          <w:color w:val="0E101A"/>
        </w:rPr>
        <w:t xml:space="preserve">. This could lead to high competition for </w:t>
      </w:r>
      <w:proofErr w:type="spellStart"/>
      <w:r>
        <w:rPr>
          <w:color w:val="0E101A"/>
        </w:rPr>
        <w:t>Afterpay</w:t>
      </w:r>
      <w:proofErr w:type="spellEnd"/>
      <w:r>
        <w:rPr>
          <w:color w:val="0E101A"/>
        </w:rPr>
        <w:t xml:space="preserve"> in its efforts to enter into the market. </w:t>
      </w:r>
    </w:p>
    <w:p w:rsidR="00EC7ABE" w:rsidRDefault="00EC7ABE" w:rsidP="00EC7ABE">
      <w:pPr>
        <w:pStyle w:val="NormalWeb"/>
        <w:spacing w:line="480" w:lineRule="auto"/>
        <w:ind w:firstLine="720"/>
        <w:contextualSpacing/>
        <w:rPr>
          <w:color w:val="0E101A"/>
        </w:rPr>
      </w:pPr>
      <w:r>
        <w:rPr>
          <w:rStyle w:val="Strong"/>
          <w:color w:val="0E101A"/>
        </w:rPr>
        <w:t>The rationale from SWOT analysis</w:t>
      </w:r>
    </w:p>
    <w:p w:rsidR="00EC7ABE" w:rsidRDefault="00EC7ABE" w:rsidP="00EC7ABE">
      <w:pPr>
        <w:pStyle w:val="NormalWeb"/>
        <w:spacing w:line="480" w:lineRule="auto"/>
        <w:ind w:firstLine="720"/>
        <w:contextualSpacing/>
        <w:rPr>
          <w:color w:val="0E101A"/>
        </w:rPr>
      </w:pPr>
      <w:r>
        <w:rPr>
          <w:color w:val="0E101A"/>
        </w:rPr>
        <w:t xml:space="preserve">Hong Kong is well-known for its high technology and </w:t>
      </w:r>
      <w:r w:rsidR="004B22A3">
        <w:rPr>
          <w:color w:val="0E101A"/>
        </w:rPr>
        <w:t>availability of skilled labor force.</w:t>
      </w:r>
      <w:r>
        <w:rPr>
          <w:color w:val="0E101A"/>
        </w:rPr>
        <w:t xml:space="preserve"> </w:t>
      </w:r>
      <w:proofErr w:type="spellStart"/>
      <w:r>
        <w:rPr>
          <w:color w:val="0E101A"/>
        </w:rPr>
        <w:t>Afterpay</w:t>
      </w:r>
      <w:proofErr w:type="spellEnd"/>
      <w:r>
        <w:rPr>
          <w:color w:val="0E101A"/>
        </w:rPr>
        <w:t xml:space="preserve"> needs to make use of new technology to gain a competitive advantage in the new market. Also, the company should streamline its integration techniques to ensure the success of the entry model used. Hong Kong provides a stable cultural and political environment for MNC’s, and therefore, </w:t>
      </w:r>
      <w:proofErr w:type="spellStart"/>
      <w:r>
        <w:rPr>
          <w:color w:val="0E101A"/>
        </w:rPr>
        <w:t>Afterpay</w:t>
      </w:r>
      <w:proofErr w:type="spellEnd"/>
      <w:r>
        <w:rPr>
          <w:color w:val="0E101A"/>
        </w:rPr>
        <w:t xml:space="preserve"> can use that to its advantage to enter the new market.</w:t>
      </w:r>
    </w:p>
    <w:p w:rsidR="00EC7ABE" w:rsidRDefault="00EC7ABE" w:rsidP="00EC7ABE">
      <w:pPr>
        <w:pStyle w:val="NormalWeb"/>
        <w:spacing w:line="480" w:lineRule="auto"/>
        <w:ind w:firstLine="720"/>
        <w:contextualSpacing/>
        <w:rPr>
          <w:color w:val="0E101A"/>
        </w:rPr>
      </w:pPr>
      <w:r>
        <w:rPr>
          <w:color w:val="0E101A"/>
        </w:rPr>
        <w:t> </w:t>
      </w:r>
    </w:p>
    <w:p w:rsidR="00EC7ABE" w:rsidRDefault="00EC7ABE" w:rsidP="00EC7ABE">
      <w:pPr>
        <w:pStyle w:val="NormalWeb"/>
        <w:spacing w:line="480" w:lineRule="auto"/>
        <w:ind w:firstLine="720"/>
        <w:contextualSpacing/>
        <w:rPr>
          <w:color w:val="0E101A"/>
        </w:rPr>
      </w:pPr>
      <w:r>
        <w:rPr>
          <w:rStyle w:val="Strong"/>
          <w:color w:val="0E101A"/>
        </w:rPr>
        <w:t> </w:t>
      </w:r>
      <w:bookmarkStart w:id="0" w:name="_GoBack"/>
      <w:bookmarkEnd w:id="0"/>
    </w:p>
    <w:p w:rsidR="00EC7ABE" w:rsidRDefault="00EC7ABE" w:rsidP="00EC7ABE">
      <w:pPr>
        <w:pStyle w:val="NormalWeb"/>
        <w:spacing w:line="480" w:lineRule="auto"/>
        <w:ind w:firstLine="720"/>
        <w:contextualSpacing/>
        <w:jc w:val="center"/>
        <w:rPr>
          <w:color w:val="0E101A"/>
        </w:rPr>
      </w:pPr>
      <w:r>
        <w:rPr>
          <w:rStyle w:val="Strong"/>
          <w:color w:val="0E101A"/>
        </w:rPr>
        <w:lastRenderedPageBreak/>
        <w:t>References</w:t>
      </w:r>
    </w:p>
    <w:p w:rsidR="00EC7ABE" w:rsidRDefault="00EC7ABE" w:rsidP="00EC7ABE">
      <w:pPr>
        <w:pStyle w:val="NormalWeb"/>
        <w:spacing w:line="480" w:lineRule="auto"/>
        <w:ind w:left="720" w:hanging="720"/>
        <w:contextualSpacing/>
        <w:rPr>
          <w:color w:val="0E101A"/>
        </w:rPr>
      </w:pPr>
      <w:proofErr w:type="spellStart"/>
      <w:r>
        <w:rPr>
          <w:color w:val="0E101A"/>
        </w:rPr>
        <w:t>Aveline</w:t>
      </w:r>
      <w:proofErr w:type="spellEnd"/>
      <w:r>
        <w:rPr>
          <w:color w:val="0E101A"/>
        </w:rPr>
        <w:t xml:space="preserve">-Dubach, N., &amp; </w:t>
      </w:r>
      <w:proofErr w:type="spellStart"/>
      <w:r>
        <w:rPr>
          <w:color w:val="0E101A"/>
        </w:rPr>
        <w:t>Blandeau</w:t>
      </w:r>
      <w:proofErr w:type="spellEnd"/>
      <w:r>
        <w:rPr>
          <w:color w:val="0E101A"/>
        </w:rPr>
        <w:t>, G. (2019). The political economy of transit value capture: The changing business model of the MTRC in Hong Kong. </w:t>
      </w:r>
      <w:r>
        <w:rPr>
          <w:rStyle w:val="Emphasis"/>
          <w:color w:val="0E101A"/>
        </w:rPr>
        <w:t>Urban Studies</w:t>
      </w:r>
      <w:r>
        <w:rPr>
          <w:color w:val="0E101A"/>
        </w:rPr>
        <w:t>, </w:t>
      </w:r>
      <w:r>
        <w:rPr>
          <w:rStyle w:val="Emphasis"/>
          <w:color w:val="0E101A"/>
        </w:rPr>
        <w:t>56</w:t>
      </w:r>
      <w:r>
        <w:rPr>
          <w:color w:val="0E101A"/>
        </w:rPr>
        <w:t>(16), 3415-3431.</w:t>
      </w:r>
    </w:p>
    <w:p w:rsidR="00EC7ABE" w:rsidRDefault="00EC7ABE" w:rsidP="00EC7ABE">
      <w:pPr>
        <w:pStyle w:val="NormalWeb"/>
        <w:spacing w:line="480" w:lineRule="auto"/>
        <w:ind w:left="720" w:hanging="720"/>
        <w:contextualSpacing/>
        <w:rPr>
          <w:color w:val="0E101A"/>
        </w:rPr>
      </w:pPr>
      <w:proofErr w:type="spellStart"/>
      <w:r>
        <w:rPr>
          <w:color w:val="0E101A"/>
        </w:rPr>
        <w:t>Elstner</w:t>
      </w:r>
      <w:proofErr w:type="spellEnd"/>
      <w:r>
        <w:rPr>
          <w:color w:val="0E101A"/>
        </w:rPr>
        <w:t>, S., Feld, L. P., &amp; Schmidt, C. M. (2018). The German Productivity Paradox-Facts and Explanations.</w:t>
      </w:r>
    </w:p>
    <w:p w:rsidR="00EC7ABE" w:rsidRDefault="00EC7ABE" w:rsidP="00EC7ABE">
      <w:pPr>
        <w:pStyle w:val="NormalWeb"/>
        <w:spacing w:line="480" w:lineRule="auto"/>
        <w:ind w:left="720" w:hanging="720"/>
        <w:contextualSpacing/>
        <w:rPr>
          <w:color w:val="0E101A"/>
        </w:rPr>
      </w:pPr>
      <w:proofErr w:type="spellStart"/>
      <w:r>
        <w:rPr>
          <w:color w:val="0E101A"/>
        </w:rPr>
        <w:t>Kadukar</w:t>
      </w:r>
      <w:proofErr w:type="spellEnd"/>
      <w:r>
        <w:rPr>
          <w:color w:val="0E101A"/>
        </w:rPr>
        <w:t xml:space="preserve">, T., &amp; </w:t>
      </w:r>
      <w:proofErr w:type="spellStart"/>
      <w:r>
        <w:rPr>
          <w:color w:val="0E101A"/>
        </w:rPr>
        <w:t>Fernandes</w:t>
      </w:r>
      <w:proofErr w:type="spellEnd"/>
      <w:r>
        <w:rPr>
          <w:color w:val="0E101A"/>
        </w:rPr>
        <w:t>, S. (2018). The Greatest Rise in the Hong Kong Economy. </w:t>
      </w:r>
      <w:r>
        <w:rPr>
          <w:rStyle w:val="Emphasis"/>
          <w:color w:val="0E101A"/>
        </w:rPr>
        <w:t>International Journal for Advance Research and Development</w:t>
      </w:r>
      <w:r>
        <w:rPr>
          <w:color w:val="0E101A"/>
        </w:rPr>
        <w:t>, </w:t>
      </w:r>
      <w:r>
        <w:rPr>
          <w:rStyle w:val="Emphasis"/>
          <w:color w:val="0E101A"/>
        </w:rPr>
        <w:t>3</w:t>
      </w:r>
      <w:r>
        <w:rPr>
          <w:color w:val="0E101A"/>
        </w:rPr>
        <w:t>(1), 106-108.</w:t>
      </w:r>
    </w:p>
    <w:p w:rsidR="00EC7ABE" w:rsidRDefault="00EC7ABE" w:rsidP="00EC7ABE">
      <w:pPr>
        <w:pStyle w:val="NormalWeb"/>
        <w:spacing w:line="480" w:lineRule="auto"/>
        <w:ind w:left="720" w:hanging="720"/>
        <w:contextualSpacing/>
        <w:rPr>
          <w:color w:val="0E101A"/>
        </w:rPr>
      </w:pPr>
      <w:proofErr w:type="spellStart"/>
      <w:r>
        <w:rPr>
          <w:color w:val="0E101A"/>
        </w:rPr>
        <w:t>Kottier</w:t>
      </w:r>
      <w:proofErr w:type="spellEnd"/>
      <w:r>
        <w:rPr>
          <w:color w:val="0E101A"/>
        </w:rPr>
        <w:t>, W. G. (2017). </w:t>
      </w:r>
      <w:r>
        <w:rPr>
          <w:rStyle w:val="Emphasis"/>
          <w:color w:val="0E101A"/>
        </w:rPr>
        <w:t>Marketing strategy for online SMEs</w:t>
      </w:r>
      <w:r>
        <w:rPr>
          <w:color w:val="0E101A"/>
        </w:rPr>
        <w:t xml:space="preserve"> (Master's thesis, University of </w:t>
      </w:r>
      <w:proofErr w:type="spellStart"/>
      <w:r>
        <w:rPr>
          <w:color w:val="0E101A"/>
        </w:rPr>
        <w:t>Twente</w:t>
      </w:r>
      <w:proofErr w:type="spellEnd"/>
      <w:r>
        <w:rPr>
          <w:color w:val="0E101A"/>
        </w:rPr>
        <w:t>).</w:t>
      </w:r>
    </w:p>
    <w:p w:rsidR="00EC7ABE" w:rsidRDefault="00EC7ABE" w:rsidP="00EC7ABE">
      <w:pPr>
        <w:pStyle w:val="NormalWeb"/>
        <w:spacing w:line="480" w:lineRule="auto"/>
        <w:ind w:left="720" w:hanging="720"/>
        <w:contextualSpacing/>
        <w:rPr>
          <w:color w:val="0E101A"/>
        </w:rPr>
      </w:pPr>
      <w:proofErr w:type="spellStart"/>
      <w:r>
        <w:rPr>
          <w:color w:val="0E101A"/>
        </w:rPr>
        <w:t>Zekiri</w:t>
      </w:r>
      <w:proofErr w:type="spellEnd"/>
      <w:r>
        <w:rPr>
          <w:color w:val="0E101A"/>
        </w:rPr>
        <w:t>, J. (2016). Motivating factors and the modes of entry in other markets. </w:t>
      </w:r>
      <w:proofErr w:type="spellStart"/>
      <w:r>
        <w:rPr>
          <w:rStyle w:val="Emphasis"/>
          <w:color w:val="0E101A"/>
        </w:rPr>
        <w:t>Ecoforum</w:t>
      </w:r>
      <w:proofErr w:type="spellEnd"/>
      <w:r>
        <w:rPr>
          <w:rStyle w:val="Emphasis"/>
          <w:color w:val="0E101A"/>
        </w:rPr>
        <w:t xml:space="preserve"> Journal</w:t>
      </w:r>
      <w:r>
        <w:rPr>
          <w:color w:val="0E101A"/>
        </w:rPr>
        <w:t>, </w:t>
      </w:r>
      <w:r>
        <w:rPr>
          <w:rStyle w:val="Emphasis"/>
          <w:color w:val="0E101A"/>
        </w:rPr>
        <w:t>5</w:t>
      </w:r>
      <w:r>
        <w:rPr>
          <w:color w:val="0E101A"/>
        </w:rPr>
        <w:t>(3).</w:t>
      </w:r>
    </w:p>
    <w:p w:rsidR="00EC7ABE" w:rsidRDefault="00EC7ABE" w:rsidP="00EC7ABE">
      <w:pPr>
        <w:pStyle w:val="NormalWeb"/>
        <w:spacing w:line="480" w:lineRule="auto"/>
        <w:ind w:firstLine="720"/>
        <w:contextualSpacing/>
        <w:rPr>
          <w:color w:val="0E101A"/>
        </w:rPr>
      </w:pPr>
      <w:r>
        <w:rPr>
          <w:color w:val="0E101A"/>
        </w:rPr>
        <w:t> </w:t>
      </w:r>
    </w:p>
    <w:p w:rsidR="00EC7ABE" w:rsidRPr="00EC7ABE" w:rsidRDefault="00EC7ABE" w:rsidP="00EC7ABE">
      <w:pPr>
        <w:tabs>
          <w:tab w:val="left" w:pos="3450"/>
        </w:tabs>
        <w:spacing w:before="100" w:beforeAutospacing="1" w:after="100" w:afterAutospacing="1" w:line="480" w:lineRule="auto"/>
        <w:ind w:firstLine="720"/>
        <w:contextualSpacing/>
      </w:pPr>
    </w:p>
    <w:sectPr w:rsidR="00EC7ABE" w:rsidRPr="00EC7ABE" w:rsidSect="00746802">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2232" w:rsidRDefault="00B32232" w:rsidP="00746802">
      <w:pPr>
        <w:spacing w:after="0" w:line="240" w:lineRule="auto"/>
      </w:pPr>
      <w:r>
        <w:separator/>
      </w:r>
    </w:p>
  </w:endnote>
  <w:endnote w:type="continuationSeparator" w:id="0">
    <w:p w:rsidR="00B32232" w:rsidRDefault="00B32232" w:rsidP="007468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2232" w:rsidRDefault="00B32232" w:rsidP="00746802">
      <w:pPr>
        <w:spacing w:after="0" w:line="240" w:lineRule="auto"/>
      </w:pPr>
      <w:r>
        <w:separator/>
      </w:r>
    </w:p>
  </w:footnote>
  <w:footnote w:type="continuationSeparator" w:id="0">
    <w:p w:rsidR="00B32232" w:rsidRDefault="00B32232" w:rsidP="007468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261869928"/>
      <w:docPartObj>
        <w:docPartGallery w:val="Page Numbers (Top of Page)"/>
        <w:docPartUnique/>
      </w:docPartObj>
    </w:sdtPr>
    <w:sdtEndPr>
      <w:rPr>
        <w:noProof/>
      </w:rPr>
    </w:sdtEndPr>
    <w:sdtContent>
      <w:p w:rsidR="00746802" w:rsidRPr="00746802" w:rsidRDefault="00746802">
        <w:pPr>
          <w:pStyle w:val="Header"/>
          <w:jc w:val="right"/>
          <w:rPr>
            <w:rFonts w:ascii="Times New Roman" w:hAnsi="Times New Roman" w:cs="Times New Roman"/>
            <w:sz w:val="24"/>
            <w:szCs w:val="24"/>
          </w:rPr>
        </w:pPr>
        <w:r w:rsidRPr="00746802">
          <w:rPr>
            <w:rFonts w:ascii="Times New Roman" w:hAnsi="Times New Roman" w:cs="Times New Roman"/>
            <w:sz w:val="24"/>
            <w:szCs w:val="24"/>
          </w:rPr>
          <w:fldChar w:fldCharType="begin"/>
        </w:r>
        <w:r w:rsidRPr="00746802">
          <w:rPr>
            <w:rFonts w:ascii="Times New Roman" w:hAnsi="Times New Roman" w:cs="Times New Roman"/>
            <w:sz w:val="24"/>
            <w:szCs w:val="24"/>
          </w:rPr>
          <w:instrText xml:space="preserve"> PAGE   \* MERGEFORMAT </w:instrText>
        </w:r>
        <w:r w:rsidRPr="00746802">
          <w:rPr>
            <w:rFonts w:ascii="Times New Roman" w:hAnsi="Times New Roman" w:cs="Times New Roman"/>
            <w:sz w:val="24"/>
            <w:szCs w:val="24"/>
          </w:rPr>
          <w:fldChar w:fldCharType="separate"/>
        </w:r>
        <w:r w:rsidR="004427FC">
          <w:rPr>
            <w:rFonts w:ascii="Times New Roman" w:hAnsi="Times New Roman" w:cs="Times New Roman"/>
            <w:noProof/>
            <w:sz w:val="24"/>
            <w:szCs w:val="24"/>
          </w:rPr>
          <w:t>7</w:t>
        </w:r>
        <w:r w:rsidRPr="00746802">
          <w:rPr>
            <w:rFonts w:ascii="Times New Roman" w:hAnsi="Times New Roman" w:cs="Times New Roman"/>
            <w:noProof/>
            <w:sz w:val="24"/>
            <w:szCs w:val="24"/>
          </w:rPr>
          <w:fldChar w:fldCharType="end"/>
        </w:r>
      </w:p>
    </w:sdtContent>
  </w:sdt>
  <w:p w:rsidR="00746802" w:rsidRPr="00746802" w:rsidRDefault="004B22A3">
    <w:pPr>
      <w:pStyle w:val="Header"/>
      <w:rPr>
        <w:rFonts w:ascii="Times New Roman" w:hAnsi="Times New Roman" w:cs="Times New Roman"/>
        <w:sz w:val="24"/>
        <w:szCs w:val="24"/>
      </w:rPr>
    </w:pPr>
    <w:r>
      <w:rPr>
        <w:rFonts w:ascii="Times New Roman" w:hAnsi="Times New Roman" w:cs="Times New Roman"/>
        <w:sz w:val="24"/>
        <w:szCs w:val="24"/>
      </w:rPr>
      <w:t>AFTERPAY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57146959"/>
      <w:docPartObj>
        <w:docPartGallery w:val="Page Numbers (Top of Page)"/>
        <w:docPartUnique/>
      </w:docPartObj>
    </w:sdtPr>
    <w:sdtEndPr>
      <w:rPr>
        <w:noProof/>
      </w:rPr>
    </w:sdtEndPr>
    <w:sdtContent>
      <w:p w:rsidR="00746802" w:rsidRPr="00746802" w:rsidRDefault="00746802" w:rsidP="00746802">
        <w:pPr>
          <w:pStyle w:val="Header"/>
          <w:tabs>
            <w:tab w:val="left" w:pos="4155"/>
          </w:tab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46802">
          <w:rPr>
            <w:rFonts w:ascii="Times New Roman" w:hAnsi="Times New Roman" w:cs="Times New Roman"/>
            <w:sz w:val="24"/>
            <w:szCs w:val="24"/>
          </w:rPr>
          <w:fldChar w:fldCharType="begin"/>
        </w:r>
        <w:r w:rsidRPr="00746802">
          <w:rPr>
            <w:rFonts w:ascii="Times New Roman" w:hAnsi="Times New Roman" w:cs="Times New Roman"/>
            <w:sz w:val="24"/>
            <w:szCs w:val="24"/>
          </w:rPr>
          <w:instrText xml:space="preserve"> PAGE   \* MERGEFORMAT </w:instrText>
        </w:r>
        <w:r w:rsidRPr="00746802">
          <w:rPr>
            <w:rFonts w:ascii="Times New Roman" w:hAnsi="Times New Roman" w:cs="Times New Roman"/>
            <w:sz w:val="24"/>
            <w:szCs w:val="24"/>
          </w:rPr>
          <w:fldChar w:fldCharType="separate"/>
        </w:r>
        <w:r w:rsidR="004B22A3">
          <w:rPr>
            <w:rFonts w:ascii="Times New Roman" w:hAnsi="Times New Roman" w:cs="Times New Roman"/>
            <w:noProof/>
            <w:sz w:val="24"/>
            <w:szCs w:val="24"/>
          </w:rPr>
          <w:t>1</w:t>
        </w:r>
        <w:r w:rsidRPr="00746802">
          <w:rPr>
            <w:rFonts w:ascii="Times New Roman" w:hAnsi="Times New Roman" w:cs="Times New Roman"/>
            <w:noProof/>
            <w:sz w:val="24"/>
            <w:szCs w:val="24"/>
          </w:rPr>
          <w:fldChar w:fldCharType="end"/>
        </w:r>
      </w:p>
    </w:sdtContent>
  </w:sdt>
  <w:p w:rsidR="00746802" w:rsidRPr="00746802" w:rsidRDefault="00746802">
    <w:pPr>
      <w:pStyle w:val="Header"/>
      <w:rPr>
        <w:rFonts w:ascii="Times New Roman" w:hAnsi="Times New Roman" w:cs="Times New Roman"/>
        <w:sz w:val="24"/>
        <w:szCs w:val="24"/>
      </w:rPr>
    </w:pPr>
    <w:r w:rsidRPr="00746802">
      <w:rPr>
        <w:rFonts w:ascii="Times New Roman" w:hAnsi="Times New Roman" w:cs="Times New Roman"/>
        <w:sz w:val="24"/>
        <w:szCs w:val="24"/>
      </w:rPr>
      <w:t xml:space="preserve">Running Head: AFTERPAY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54FD"/>
    <w:rsid w:val="00004598"/>
    <w:rsid w:val="0006043F"/>
    <w:rsid w:val="00064D28"/>
    <w:rsid w:val="0007560F"/>
    <w:rsid w:val="000D7223"/>
    <w:rsid w:val="00122CD8"/>
    <w:rsid w:val="00160B0F"/>
    <w:rsid w:val="00187B4F"/>
    <w:rsid w:val="001C256F"/>
    <w:rsid w:val="00221767"/>
    <w:rsid w:val="00287DE6"/>
    <w:rsid w:val="00421280"/>
    <w:rsid w:val="004427FC"/>
    <w:rsid w:val="004512EB"/>
    <w:rsid w:val="004B22A3"/>
    <w:rsid w:val="004D10BE"/>
    <w:rsid w:val="005474EF"/>
    <w:rsid w:val="005D21C7"/>
    <w:rsid w:val="0060700A"/>
    <w:rsid w:val="006115AC"/>
    <w:rsid w:val="00665404"/>
    <w:rsid w:val="006E7281"/>
    <w:rsid w:val="00703222"/>
    <w:rsid w:val="00746802"/>
    <w:rsid w:val="00752A56"/>
    <w:rsid w:val="007678F0"/>
    <w:rsid w:val="007C4D75"/>
    <w:rsid w:val="007D58DE"/>
    <w:rsid w:val="008104FC"/>
    <w:rsid w:val="00811530"/>
    <w:rsid w:val="00881CD3"/>
    <w:rsid w:val="00905E77"/>
    <w:rsid w:val="009264FC"/>
    <w:rsid w:val="009B1F06"/>
    <w:rsid w:val="009C5152"/>
    <w:rsid w:val="009E5F13"/>
    <w:rsid w:val="00A20C7A"/>
    <w:rsid w:val="00A306A8"/>
    <w:rsid w:val="00A366B8"/>
    <w:rsid w:val="00A654FD"/>
    <w:rsid w:val="00B1117A"/>
    <w:rsid w:val="00B32232"/>
    <w:rsid w:val="00BD459B"/>
    <w:rsid w:val="00C61514"/>
    <w:rsid w:val="00C77CCB"/>
    <w:rsid w:val="00C94195"/>
    <w:rsid w:val="00D13896"/>
    <w:rsid w:val="00D27622"/>
    <w:rsid w:val="00E13FC1"/>
    <w:rsid w:val="00E86952"/>
    <w:rsid w:val="00EA66EC"/>
    <w:rsid w:val="00EC7ABE"/>
    <w:rsid w:val="00EE4099"/>
    <w:rsid w:val="00F16D7B"/>
    <w:rsid w:val="00F43B6C"/>
    <w:rsid w:val="00F5797F"/>
    <w:rsid w:val="00F90B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3086E23-5EB9-4371-BFF1-A6C2A36B1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68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6802"/>
  </w:style>
  <w:style w:type="paragraph" w:styleId="Footer">
    <w:name w:val="footer"/>
    <w:basedOn w:val="Normal"/>
    <w:link w:val="FooterChar"/>
    <w:uiPriority w:val="99"/>
    <w:unhideWhenUsed/>
    <w:rsid w:val="007468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6802"/>
  </w:style>
  <w:style w:type="paragraph" w:styleId="NormalWeb">
    <w:name w:val="Normal (Web)"/>
    <w:basedOn w:val="Normal"/>
    <w:uiPriority w:val="99"/>
    <w:semiHidden/>
    <w:unhideWhenUsed/>
    <w:rsid w:val="00EC7AB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C7ABE"/>
    <w:rPr>
      <w:b/>
      <w:bCs/>
    </w:rPr>
  </w:style>
  <w:style w:type="character" w:styleId="Emphasis">
    <w:name w:val="Emphasis"/>
    <w:basedOn w:val="DefaultParagraphFont"/>
    <w:uiPriority w:val="20"/>
    <w:qFormat/>
    <w:rsid w:val="00EC7AB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6402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465</TotalTime>
  <Pages>7</Pages>
  <Words>1382</Words>
  <Characters>7879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10</cp:revision>
  <dcterms:created xsi:type="dcterms:W3CDTF">2020-12-02T06:36:00Z</dcterms:created>
  <dcterms:modified xsi:type="dcterms:W3CDTF">2020-12-03T23:00:00Z</dcterms:modified>
</cp:coreProperties>
</file>