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EC8AE" w14:textId="77777777" w:rsidR="008F12E6" w:rsidRDefault="008F12E6" w:rsidP="008F12E6">
      <w:pPr>
        <w:spacing w:line="480" w:lineRule="auto"/>
        <w:ind w:firstLine="720"/>
        <w:jc w:val="both"/>
        <w:rPr>
          <w:rFonts w:ascii="Times New Roman" w:hAnsi="Times New Roman" w:cs="Times New Roman"/>
          <w:sz w:val="24"/>
          <w:szCs w:val="24"/>
        </w:rPr>
      </w:pPr>
    </w:p>
    <w:p w14:paraId="0EC5840B" w14:textId="77777777" w:rsidR="008F12E6" w:rsidRDefault="008F12E6" w:rsidP="008F12E6">
      <w:pPr>
        <w:spacing w:line="480" w:lineRule="auto"/>
        <w:ind w:firstLine="720"/>
        <w:jc w:val="both"/>
        <w:rPr>
          <w:rFonts w:ascii="Times New Roman" w:hAnsi="Times New Roman" w:cs="Times New Roman"/>
          <w:sz w:val="24"/>
          <w:szCs w:val="24"/>
        </w:rPr>
      </w:pPr>
    </w:p>
    <w:p w14:paraId="4A6762C0" w14:textId="77777777" w:rsidR="008F12E6" w:rsidRDefault="008F12E6" w:rsidP="008F12E6">
      <w:pPr>
        <w:spacing w:line="480" w:lineRule="auto"/>
        <w:ind w:firstLine="720"/>
        <w:jc w:val="both"/>
        <w:rPr>
          <w:rFonts w:ascii="Times New Roman" w:hAnsi="Times New Roman" w:cs="Times New Roman"/>
          <w:sz w:val="24"/>
          <w:szCs w:val="24"/>
        </w:rPr>
      </w:pPr>
    </w:p>
    <w:p w14:paraId="7B4447E6" w14:textId="77777777" w:rsidR="008F12E6" w:rsidRDefault="008F12E6" w:rsidP="008F12E6">
      <w:pPr>
        <w:spacing w:line="480" w:lineRule="auto"/>
        <w:ind w:firstLine="720"/>
        <w:jc w:val="both"/>
        <w:rPr>
          <w:rFonts w:ascii="Times New Roman" w:hAnsi="Times New Roman" w:cs="Times New Roman"/>
          <w:sz w:val="24"/>
          <w:szCs w:val="24"/>
        </w:rPr>
      </w:pPr>
    </w:p>
    <w:p w14:paraId="05872ED4" w14:textId="77777777" w:rsidR="008F12E6" w:rsidRDefault="008F12E6" w:rsidP="008F12E6">
      <w:pPr>
        <w:spacing w:line="480" w:lineRule="auto"/>
        <w:ind w:firstLine="720"/>
        <w:jc w:val="both"/>
        <w:rPr>
          <w:rFonts w:ascii="Times New Roman" w:hAnsi="Times New Roman" w:cs="Times New Roman"/>
          <w:sz w:val="24"/>
          <w:szCs w:val="24"/>
        </w:rPr>
      </w:pPr>
    </w:p>
    <w:p w14:paraId="2E1C40A0" w14:textId="77777777" w:rsidR="008F12E6" w:rsidRDefault="008F12E6" w:rsidP="008F12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CE80A27" w14:textId="77777777" w:rsidR="008F12E6" w:rsidRDefault="008F12E6" w:rsidP="008F12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3CDA2D58" w14:textId="77777777" w:rsidR="008F12E6" w:rsidRDefault="008F12E6" w:rsidP="008F12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190A6522" w14:textId="77777777" w:rsidR="008F12E6" w:rsidRDefault="008F12E6" w:rsidP="008F12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3ED68CDD" w14:textId="77777777" w:rsidR="008F12E6" w:rsidRDefault="008F12E6" w:rsidP="008F12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7E6C703" w14:textId="77777777" w:rsidR="008F12E6" w:rsidRDefault="008F12E6" w:rsidP="008F12E6">
      <w:pPr>
        <w:spacing w:line="480" w:lineRule="auto"/>
        <w:ind w:firstLine="720"/>
        <w:jc w:val="both"/>
        <w:rPr>
          <w:rFonts w:ascii="Times New Roman" w:hAnsi="Times New Roman" w:cs="Times New Roman"/>
          <w:sz w:val="24"/>
          <w:szCs w:val="24"/>
        </w:rPr>
      </w:pPr>
    </w:p>
    <w:p w14:paraId="7B6D97ED" w14:textId="77777777" w:rsidR="008F12E6" w:rsidRDefault="008F12E6" w:rsidP="008F12E6">
      <w:pPr>
        <w:spacing w:line="480" w:lineRule="auto"/>
        <w:ind w:firstLine="720"/>
        <w:jc w:val="both"/>
        <w:rPr>
          <w:rFonts w:ascii="Times New Roman" w:hAnsi="Times New Roman" w:cs="Times New Roman"/>
          <w:sz w:val="24"/>
          <w:szCs w:val="24"/>
        </w:rPr>
      </w:pPr>
    </w:p>
    <w:p w14:paraId="366A5722" w14:textId="77777777" w:rsidR="008F12E6" w:rsidRDefault="008F12E6" w:rsidP="008F12E6">
      <w:pPr>
        <w:spacing w:line="480" w:lineRule="auto"/>
        <w:ind w:firstLine="720"/>
        <w:jc w:val="both"/>
        <w:rPr>
          <w:rFonts w:ascii="Times New Roman" w:hAnsi="Times New Roman" w:cs="Times New Roman"/>
          <w:sz w:val="24"/>
          <w:szCs w:val="24"/>
        </w:rPr>
      </w:pPr>
    </w:p>
    <w:p w14:paraId="289D8CE5" w14:textId="77777777" w:rsidR="008F12E6" w:rsidRDefault="008F12E6" w:rsidP="008F12E6">
      <w:pPr>
        <w:spacing w:line="480" w:lineRule="auto"/>
        <w:ind w:firstLine="720"/>
        <w:jc w:val="both"/>
        <w:rPr>
          <w:rFonts w:ascii="Times New Roman" w:hAnsi="Times New Roman" w:cs="Times New Roman"/>
          <w:sz w:val="24"/>
          <w:szCs w:val="24"/>
        </w:rPr>
      </w:pPr>
    </w:p>
    <w:p w14:paraId="3F32E2FE" w14:textId="77777777" w:rsidR="008F12E6" w:rsidRDefault="008F12E6" w:rsidP="008F12E6">
      <w:pPr>
        <w:spacing w:line="480" w:lineRule="auto"/>
        <w:ind w:firstLine="720"/>
        <w:jc w:val="both"/>
        <w:rPr>
          <w:rFonts w:ascii="Times New Roman" w:hAnsi="Times New Roman" w:cs="Times New Roman"/>
          <w:sz w:val="24"/>
          <w:szCs w:val="24"/>
        </w:rPr>
      </w:pPr>
    </w:p>
    <w:p w14:paraId="1E3AEDC9" w14:textId="77777777" w:rsidR="008F12E6" w:rsidRDefault="008F12E6" w:rsidP="008F12E6">
      <w:pPr>
        <w:spacing w:line="480" w:lineRule="auto"/>
        <w:ind w:firstLine="720"/>
        <w:jc w:val="both"/>
        <w:rPr>
          <w:rFonts w:ascii="Times New Roman" w:hAnsi="Times New Roman" w:cs="Times New Roman"/>
          <w:sz w:val="24"/>
          <w:szCs w:val="24"/>
        </w:rPr>
      </w:pPr>
    </w:p>
    <w:p w14:paraId="55C104BF" w14:textId="77777777" w:rsidR="008F12E6" w:rsidRDefault="008F12E6" w:rsidP="008F12E6">
      <w:pPr>
        <w:spacing w:line="480" w:lineRule="auto"/>
        <w:ind w:firstLine="720"/>
        <w:jc w:val="both"/>
        <w:rPr>
          <w:rFonts w:ascii="Times New Roman" w:hAnsi="Times New Roman" w:cs="Times New Roman"/>
          <w:sz w:val="24"/>
          <w:szCs w:val="24"/>
        </w:rPr>
      </w:pPr>
    </w:p>
    <w:p w14:paraId="5DD7453F" w14:textId="77777777" w:rsidR="002832DB" w:rsidRDefault="002832DB" w:rsidP="002832DB">
      <w:pPr>
        <w:spacing w:line="480" w:lineRule="auto"/>
        <w:jc w:val="both"/>
        <w:rPr>
          <w:rFonts w:ascii="Times New Roman" w:hAnsi="Times New Roman" w:cs="Times New Roman"/>
          <w:sz w:val="24"/>
          <w:szCs w:val="24"/>
        </w:rPr>
      </w:pPr>
    </w:p>
    <w:p w14:paraId="4C939597" w14:textId="5CC5AB9B" w:rsidR="00F54193" w:rsidRPr="008F12E6" w:rsidRDefault="00886DA3" w:rsidP="002832DB">
      <w:pPr>
        <w:spacing w:line="480" w:lineRule="auto"/>
        <w:ind w:firstLine="720"/>
        <w:jc w:val="both"/>
        <w:rPr>
          <w:rFonts w:ascii="Times New Roman" w:hAnsi="Times New Roman" w:cs="Times New Roman"/>
          <w:sz w:val="24"/>
          <w:szCs w:val="24"/>
        </w:rPr>
      </w:pPr>
      <w:r w:rsidRPr="008F12E6">
        <w:rPr>
          <w:rFonts w:ascii="Times New Roman" w:hAnsi="Times New Roman" w:cs="Times New Roman"/>
          <w:sz w:val="24"/>
          <w:szCs w:val="24"/>
        </w:rPr>
        <w:lastRenderedPageBreak/>
        <w:t>Alberto Giacometti is famously known for his European artwork before and after the Second World War.  He developed innovative sculptural forms as a Surrealist through the introduction of meaningful toys and games. Additionally, his harvest mostly extended into painting and drawing with the Swiss-born and Paris-based, the most famous for his sculpture</w:t>
      </w:r>
      <w:r w:rsidR="00665FA3" w:rsidRPr="008F12E6">
        <w:rPr>
          <w:rFonts w:ascii="Times New Roman" w:hAnsi="Times New Roman" w:cs="Times New Roman"/>
          <w:sz w:val="24"/>
          <w:szCs w:val="24"/>
        </w:rPr>
        <w:t xml:space="preserve"> (</w:t>
      </w:r>
      <w:proofErr w:type="spellStart"/>
      <w:r w:rsidR="00665FA3" w:rsidRPr="008F12E6">
        <w:rPr>
          <w:rFonts w:ascii="Times New Roman" w:hAnsi="Times New Roman" w:cs="Times New Roman"/>
          <w:sz w:val="24"/>
          <w:szCs w:val="24"/>
        </w:rPr>
        <w:t>Morf</w:t>
      </w:r>
      <w:proofErr w:type="spellEnd"/>
      <w:r w:rsidR="00665FA3" w:rsidRPr="008F12E6">
        <w:rPr>
          <w:rFonts w:ascii="Times New Roman" w:hAnsi="Times New Roman" w:cs="Times New Roman"/>
          <w:sz w:val="24"/>
          <w:szCs w:val="24"/>
        </w:rPr>
        <w:t xml:space="preserve"> et al. 2019)</w:t>
      </w:r>
      <w:r w:rsidRPr="008F12E6">
        <w:rPr>
          <w:rFonts w:ascii="Times New Roman" w:hAnsi="Times New Roman" w:cs="Times New Roman"/>
          <w:sz w:val="24"/>
          <w:szCs w:val="24"/>
        </w:rPr>
        <w:t xml:space="preserve">. He is also known and remembered for his figurative </w:t>
      </w:r>
      <w:r w:rsidR="0030458C" w:rsidRPr="008F12E6">
        <w:rPr>
          <w:rFonts w:ascii="Times New Roman" w:hAnsi="Times New Roman" w:cs="Times New Roman"/>
          <w:sz w:val="24"/>
          <w:szCs w:val="24"/>
        </w:rPr>
        <w:t xml:space="preserve">work </w:t>
      </w:r>
      <w:r w:rsidRPr="008F12E6">
        <w:rPr>
          <w:rFonts w:ascii="Times New Roman" w:hAnsi="Times New Roman" w:cs="Times New Roman"/>
          <w:sz w:val="24"/>
          <w:szCs w:val="24"/>
        </w:rPr>
        <w:t>by making a human figure the symbol of post-war trauma.</w:t>
      </w:r>
      <w:r w:rsidR="0030458C" w:rsidRPr="008F12E6">
        <w:rPr>
          <w:rFonts w:ascii="Times New Roman" w:hAnsi="Times New Roman" w:cs="Times New Roman"/>
          <w:sz w:val="24"/>
          <w:szCs w:val="24"/>
        </w:rPr>
        <w:t xml:space="preserve"> He was having watched the lecture and with the information from the European artist work. The artist's persona experience </w:t>
      </w:r>
      <w:r w:rsidR="002832DB" w:rsidRPr="008F12E6">
        <w:rPr>
          <w:rFonts w:ascii="Times New Roman" w:hAnsi="Times New Roman" w:cs="Times New Roman"/>
          <w:sz w:val="24"/>
          <w:szCs w:val="24"/>
        </w:rPr>
        <w:t>has</w:t>
      </w:r>
      <w:r w:rsidR="0030458C" w:rsidRPr="008F12E6">
        <w:rPr>
          <w:rFonts w:ascii="Times New Roman" w:hAnsi="Times New Roman" w:cs="Times New Roman"/>
          <w:sz w:val="24"/>
          <w:szCs w:val="24"/>
        </w:rPr>
        <w:t xml:space="preserve"> a relationship with their work.</w:t>
      </w:r>
    </w:p>
    <w:p w14:paraId="54DEA31D" w14:textId="77777777" w:rsidR="0030458C" w:rsidRPr="008F12E6" w:rsidRDefault="00886DA3" w:rsidP="008F12E6">
      <w:pPr>
        <w:spacing w:line="480" w:lineRule="auto"/>
        <w:ind w:firstLine="720"/>
        <w:jc w:val="both"/>
        <w:rPr>
          <w:rFonts w:ascii="Times New Roman" w:hAnsi="Times New Roman" w:cs="Times New Roman"/>
          <w:sz w:val="24"/>
          <w:szCs w:val="24"/>
        </w:rPr>
      </w:pPr>
      <w:r w:rsidRPr="008F12E6">
        <w:rPr>
          <w:rFonts w:ascii="Times New Roman" w:hAnsi="Times New Roman" w:cs="Times New Roman"/>
          <w:sz w:val="24"/>
          <w:szCs w:val="24"/>
        </w:rPr>
        <w:t>From my point of view, the relationship between an artist's personal experience and their work influences the artwork.</w:t>
      </w:r>
      <w:r w:rsidR="00F9705D" w:rsidRPr="008F12E6">
        <w:rPr>
          <w:rFonts w:ascii="Times New Roman" w:hAnsi="Times New Roman" w:cs="Times New Roman"/>
          <w:sz w:val="24"/>
          <w:szCs w:val="24"/>
        </w:rPr>
        <w:t xml:space="preserve"> According to evidence from the Alberto sculptural reflected the humanity artwork with drawing </w:t>
      </w:r>
      <w:proofErr w:type="spellStart"/>
      <w:r w:rsidR="00F9705D" w:rsidRPr="008F12E6">
        <w:rPr>
          <w:rFonts w:ascii="Times New Roman" w:hAnsi="Times New Roman" w:cs="Times New Roman"/>
          <w:sz w:val="24"/>
          <w:szCs w:val="24"/>
        </w:rPr>
        <w:t>moulding</w:t>
      </w:r>
      <w:proofErr w:type="spellEnd"/>
      <w:r w:rsidR="00F9705D" w:rsidRPr="008F12E6">
        <w:rPr>
          <w:rFonts w:ascii="Times New Roman" w:hAnsi="Times New Roman" w:cs="Times New Roman"/>
          <w:sz w:val="24"/>
          <w:szCs w:val="24"/>
        </w:rPr>
        <w:t xml:space="preserve"> artwork with skeleton reflecting human beings. His work was out of humanity, influenced by his experience of painting on surrealist sculpture. </w:t>
      </w:r>
      <w:r w:rsidR="00AC3089" w:rsidRPr="008F12E6">
        <w:rPr>
          <w:rFonts w:ascii="Times New Roman" w:hAnsi="Times New Roman" w:cs="Times New Roman"/>
          <w:sz w:val="24"/>
          <w:szCs w:val="24"/>
        </w:rPr>
        <w:t>His</w:t>
      </w:r>
      <w:r w:rsidR="00F9705D" w:rsidRPr="008F12E6">
        <w:rPr>
          <w:rFonts w:ascii="Times New Roman" w:hAnsi="Times New Roman" w:cs="Times New Roman"/>
          <w:sz w:val="24"/>
          <w:szCs w:val="24"/>
        </w:rPr>
        <w:t xml:space="preserve"> Sculptural were influential in such a way that they resembled games, toys and architectural models through encouraging viewers to interact with those sculptures copying the idea.</w:t>
      </w:r>
      <w:r w:rsidR="00AC3089" w:rsidRPr="008F12E6">
        <w:rPr>
          <w:rFonts w:ascii="Times New Roman" w:hAnsi="Times New Roman" w:cs="Times New Roman"/>
          <w:sz w:val="24"/>
          <w:szCs w:val="24"/>
        </w:rPr>
        <w:t xml:space="preserve"> Most of her figures represent humans with the convincing of the actual space. He developed these sculptures so that viewers could share them from inspiration</w:t>
      </w:r>
      <w:r w:rsidR="00665FA3" w:rsidRPr="008F12E6">
        <w:rPr>
          <w:rFonts w:ascii="Times New Roman" w:hAnsi="Times New Roman" w:cs="Times New Roman"/>
          <w:sz w:val="24"/>
          <w:szCs w:val="24"/>
        </w:rPr>
        <w:t xml:space="preserve"> (Giacometti &amp; </w:t>
      </w:r>
      <w:proofErr w:type="spellStart"/>
      <w:r w:rsidR="00665FA3" w:rsidRPr="008F12E6">
        <w:rPr>
          <w:rFonts w:ascii="Times New Roman" w:hAnsi="Times New Roman" w:cs="Times New Roman"/>
          <w:sz w:val="24"/>
          <w:szCs w:val="24"/>
        </w:rPr>
        <w:t>Cuadrado</w:t>
      </w:r>
      <w:proofErr w:type="spellEnd"/>
      <w:r w:rsidR="00665FA3" w:rsidRPr="008F12E6">
        <w:rPr>
          <w:rFonts w:ascii="Times New Roman" w:hAnsi="Times New Roman" w:cs="Times New Roman"/>
          <w:sz w:val="24"/>
          <w:szCs w:val="24"/>
        </w:rPr>
        <w:t xml:space="preserve"> 2020)</w:t>
      </w:r>
      <w:r w:rsidR="00AC3089" w:rsidRPr="008F12E6">
        <w:rPr>
          <w:rFonts w:ascii="Times New Roman" w:hAnsi="Times New Roman" w:cs="Times New Roman"/>
          <w:sz w:val="24"/>
          <w:szCs w:val="24"/>
        </w:rPr>
        <w:t xml:space="preserve">. They seemed to be culturally made as the artwork had already been </w:t>
      </w:r>
      <w:proofErr w:type="spellStart"/>
      <w:r w:rsidR="00AC3089" w:rsidRPr="008F12E6">
        <w:rPr>
          <w:rFonts w:ascii="Times New Roman" w:hAnsi="Times New Roman" w:cs="Times New Roman"/>
          <w:sz w:val="24"/>
          <w:szCs w:val="24"/>
        </w:rPr>
        <w:t>practised</w:t>
      </w:r>
      <w:proofErr w:type="spellEnd"/>
      <w:r w:rsidR="00AC3089" w:rsidRPr="008F12E6">
        <w:rPr>
          <w:rFonts w:ascii="Times New Roman" w:hAnsi="Times New Roman" w:cs="Times New Roman"/>
          <w:sz w:val="24"/>
          <w:szCs w:val="24"/>
        </w:rPr>
        <w:t xml:space="preserve"> in the region, but Alberto improved them and made them more attractive. </w:t>
      </w:r>
    </w:p>
    <w:p w14:paraId="7C246087" w14:textId="77777777" w:rsidR="00AC3089" w:rsidRPr="008F12E6" w:rsidRDefault="00886DA3" w:rsidP="008F12E6">
      <w:pPr>
        <w:spacing w:line="480" w:lineRule="auto"/>
        <w:ind w:firstLine="720"/>
        <w:jc w:val="both"/>
        <w:rPr>
          <w:rFonts w:ascii="Times New Roman" w:hAnsi="Times New Roman" w:cs="Times New Roman"/>
          <w:sz w:val="24"/>
          <w:szCs w:val="24"/>
        </w:rPr>
      </w:pPr>
      <w:r w:rsidRPr="008F12E6">
        <w:rPr>
          <w:rFonts w:ascii="Times New Roman" w:hAnsi="Times New Roman" w:cs="Times New Roman"/>
          <w:sz w:val="24"/>
          <w:szCs w:val="24"/>
        </w:rPr>
        <w:t xml:space="preserve">The </w:t>
      </w:r>
      <w:r w:rsidR="003E09F9" w:rsidRPr="008F12E6">
        <w:rPr>
          <w:rFonts w:ascii="Times New Roman" w:hAnsi="Times New Roman" w:cs="Times New Roman"/>
          <w:sz w:val="24"/>
          <w:szCs w:val="24"/>
        </w:rPr>
        <w:t>Alberto</w:t>
      </w:r>
      <w:r w:rsidRPr="008F12E6">
        <w:rPr>
          <w:rFonts w:ascii="Times New Roman" w:hAnsi="Times New Roman" w:cs="Times New Roman"/>
          <w:sz w:val="24"/>
          <w:szCs w:val="24"/>
        </w:rPr>
        <w:t xml:space="preserve"> G</w:t>
      </w:r>
      <w:r w:rsidR="003E09F9" w:rsidRPr="008F12E6">
        <w:rPr>
          <w:rFonts w:ascii="Times New Roman" w:hAnsi="Times New Roman" w:cs="Times New Roman"/>
          <w:sz w:val="24"/>
          <w:szCs w:val="24"/>
        </w:rPr>
        <w:t>iacometti artwork made a socio-political statement with the sculpture, so they were designed during and after the world war. The sculpture resembles humans, thus sending a social message to people through his figures on the actual space, which impressed writers. His sculpture contained a letter and ideas about self-consciousness on how people related with other human beings, and his art was thought to powerfully capture the tone of melancholy, alienation and loneliness that these ideas suggested.</w:t>
      </w:r>
      <w:r w:rsidR="00860C96" w:rsidRPr="008F12E6">
        <w:rPr>
          <w:rFonts w:ascii="Times New Roman" w:hAnsi="Times New Roman" w:cs="Times New Roman"/>
          <w:sz w:val="24"/>
          <w:szCs w:val="24"/>
        </w:rPr>
        <w:t xml:space="preserve"> Giacometti sculptures were hugely influential on </w:t>
      </w:r>
      <w:r w:rsidR="00860C96" w:rsidRPr="008F12E6">
        <w:rPr>
          <w:rFonts w:ascii="Times New Roman" w:hAnsi="Times New Roman" w:cs="Times New Roman"/>
          <w:sz w:val="24"/>
          <w:szCs w:val="24"/>
        </w:rPr>
        <w:lastRenderedPageBreak/>
        <w:t>returning the human figure into art by representing human beings alone. These figures are used to send a message of either bringing peace or resembling women as a form of love. They also described the trauma he was raised in of artwork across the region.</w:t>
      </w:r>
    </w:p>
    <w:p w14:paraId="1A9828CF" w14:textId="77777777" w:rsidR="00860C96" w:rsidRPr="008F12E6" w:rsidRDefault="00886DA3" w:rsidP="008F12E6">
      <w:pPr>
        <w:spacing w:line="480" w:lineRule="auto"/>
        <w:ind w:firstLine="720"/>
        <w:jc w:val="both"/>
        <w:rPr>
          <w:rFonts w:ascii="Times New Roman" w:hAnsi="Times New Roman" w:cs="Times New Roman"/>
          <w:sz w:val="24"/>
          <w:szCs w:val="24"/>
        </w:rPr>
      </w:pPr>
      <w:r w:rsidRPr="008F12E6">
        <w:rPr>
          <w:rFonts w:ascii="Times New Roman" w:hAnsi="Times New Roman" w:cs="Times New Roman"/>
          <w:sz w:val="24"/>
          <w:szCs w:val="24"/>
        </w:rPr>
        <w:t>A traumatic experience can affect the art</w:t>
      </w:r>
      <w:r w:rsidR="00361351" w:rsidRPr="008F12E6">
        <w:rPr>
          <w:rFonts w:ascii="Times New Roman" w:hAnsi="Times New Roman" w:cs="Times New Roman"/>
          <w:sz w:val="24"/>
          <w:szCs w:val="24"/>
        </w:rPr>
        <w:t>'s understanding of the world through various factors such as child abuse, psychological torture. Trauma can also positively affect the artwork as a source of motivation and provide themes for works of art. Although not in all cases, artistic creativity can effectively work through traumatic experiences</w:t>
      </w:r>
      <w:r w:rsidR="00665FA3" w:rsidRPr="008F12E6">
        <w:rPr>
          <w:rFonts w:ascii="Times New Roman" w:hAnsi="Times New Roman" w:cs="Times New Roman"/>
          <w:sz w:val="24"/>
          <w:szCs w:val="24"/>
        </w:rPr>
        <w:t xml:space="preserve"> (</w:t>
      </w:r>
      <w:proofErr w:type="spellStart"/>
      <w:r w:rsidR="00665FA3" w:rsidRPr="008F12E6">
        <w:rPr>
          <w:rFonts w:ascii="Times New Roman" w:hAnsi="Times New Roman" w:cs="Times New Roman"/>
          <w:sz w:val="24"/>
          <w:szCs w:val="24"/>
        </w:rPr>
        <w:t>Brenson</w:t>
      </w:r>
      <w:proofErr w:type="spellEnd"/>
      <w:r w:rsidR="00665FA3" w:rsidRPr="008F12E6">
        <w:rPr>
          <w:rFonts w:ascii="Times New Roman" w:hAnsi="Times New Roman" w:cs="Times New Roman"/>
          <w:sz w:val="24"/>
          <w:szCs w:val="24"/>
        </w:rPr>
        <w:t>, 1974)</w:t>
      </w:r>
      <w:r w:rsidR="00361351" w:rsidRPr="008F12E6">
        <w:rPr>
          <w:rFonts w:ascii="Times New Roman" w:hAnsi="Times New Roman" w:cs="Times New Roman"/>
          <w:sz w:val="24"/>
          <w:szCs w:val="24"/>
        </w:rPr>
        <w:t xml:space="preserve">. These experiences one gain from his teenage age may influence him to venture into artwork to change the community he has grown up in. </w:t>
      </w:r>
      <w:r w:rsidR="0081044E" w:rsidRPr="008F12E6">
        <w:rPr>
          <w:rFonts w:ascii="Times New Roman" w:hAnsi="Times New Roman" w:cs="Times New Roman"/>
          <w:sz w:val="24"/>
          <w:szCs w:val="24"/>
        </w:rPr>
        <w:t>Trauma</w:t>
      </w:r>
      <w:r w:rsidR="00361351" w:rsidRPr="008F12E6">
        <w:rPr>
          <w:rFonts w:ascii="Times New Roman" w:hAnsi="Times New Roman" w:cs="Times New Roman"/>
          <w:sz w:val="24"/>
          <w:szCs w:val="24"/>
        </w:rPr>
        <w:t xml:space="preserve"> sharpens people minds, thus making them creative. For instance, during the </w:t>
      </w:r>
      <w:r w:rsidR="0081044E" w:rsidRPr="008F12E6">
        <w:rPr>
          <w:rFonts w:ascii="Times New Roman" w:hAnsi="Times New Roman" w:cs="Times New Roman"/>
          <w:sz w:val="24"/>
          <w:szCs w:val="24"/>
        </w:rPr>
        <w:t>Second World War</w:t>
      </w:r>
      <w:r w:rsidR="00361351" w:rsidRPr="008F12E6">
        <w:rPr>
          <w:rFonts w:ascii="Times New Roman" w:hAnsi="Times New Roman" w:cs="Times New Roman"/>
          <w:sz w:val="24"/>
          <w:szCs w:val="24"/>
        </w:rPr>
        <w:t>, people were affected by the trauma, thus making them innovative to transform their community.</w:t>
      </w:r>
    </w:p>
    <w:p w14:paraId="5A625A26" w14:textId="77777777" w:rsidR="0081044E" w:rsidRPr="008F12E6" w:rsidRDefault="00886DA3" w:rsidP="008F12E6">
      <w:pPr>
        <w:spacing w:line="480" w:lineRule="auto"/>
        <w:ind w:firstLine="720"/>
        <w:jc w:val="both"/>
        <w:rPr>
          <w:rFonts w:ascii="Times New Roman" w:hAnsi="Times New Roman" w:cs="Times New Roman"/>
          <w:sz w:val="24"/>
          <w:szCs w:val="24"/>
        </w:rPr>
      </w:pPr>
      <w:r w:rsidRPr="008F12E6">
        <w:rPr>
          <w:rFonts w:ascii="Times New Roman" w:hAnsi="Times New Roman" w:cs="Times New Roman"/>
          <w:sz w:val="24"/>
          <w:szCs w:val="24"/>
        </w:rPr>
        <w:t>Other artists draw different figures that help transform their people, and it may be painful to create their artwork. During and after the Second World War, other artists used the painting to influence the occurrence of war as they used the figure to communicate a message to different cultures. They used a figure that also insulted or opposing other people's culture. Through artwork, they also sang songs that were against the norm and culture of the society due to traumatic conditions they had experienced.</w:t>
      </w:r>
    </w:p>
    <w:p w14:paraId="0A29528D" w14:textId="77777777" w:rsidR="00665FA3" w:rsidRPr="008F12E6" w:rsidRDefault="00665FA3" w:rsidP="008F12E6">
      <w:pPr>
        <w:spacing w:line="480" w:lineRule="auto"/>
        <w:jc w:val="both"/>
        <w:rPr>
          <w:rFonts w:ascii="Times New Roman" w:hAnsi="Times New Roman" w:cs="Times New Roman"/>
          <w:sz w:val="24"/>
          <w:szCs w:val="24"/>
        </w:rPr>
      </w:pPr>
    </w:p>
    <w:p w14:paraId="6E50B087" w14:textId="77777777" w:rsidR="00665FA3" w:rsidRDefault="00665FA3" w:rsidP="008F12E6">
      <w:pPr>
        <w:spacing w:line="480" w:lineRule="auto"/>
        <w:jc w:val="both"/>
        <w:rPr>
          <w:rFonts w:ascii="Times New Roman" w:hAnsi="Times New Roman" w:cs="Times New Roman"/>
          <w:sz w:val="24"/>
          <w:szCs w:val="24"/>
        </w:rPr>
      </w:pPr>
    </w:p>
    <w:p w14:paraId="28912BEC" w14:textId="77777777" w:rsidR="008F12E6" w:rsidRDefault="008F12E6" w:rsidP="008F12E6">
      <w:pPr>
        <w:spacing w:line="480" w:lineRule="auto"/>
        <w:jc w:val="both"/>
        <w:rPr>
          <w:rFonts w:ascii="Times New Roman" w:hAnsi="Times New Roman" w:cs="Times New Roman"/>
          <w:sz w:val="24"/>
          <w:szCs w:val="24"/>
        </w:rPr>
      </w:pPr>
    </w:p>
    <w:p w14:paraId="644EC065" w14:textId="77777777" w:rsidR="008F12E6" w:rsidRDefault="008F12E6" w:rsidP="008F12E6">
      <w:pPr>
        <w:spacing w:line="480" w:lineRule="auto"/>
        <w:jc w:val="both"/>
        <w:rPr>
          <w:rFonts w:ascii="Times New Roman" w:hAnsi="Times New Roman" w:cs="Times New Roman"/>
          <w:sz w:val="24"/>
          <w:szCs w:val="24"/>
        </w:rPr>
      </w:pPr>
    </w:p>
    <w:p w14:paraId="3C37BD5B" w14:textId="77777777" w:rsidR="0081044E" w:rsidRPr="008F12E6" w:rsidRDefault="00886DA3" w:rsidP="008F12E6">
      <w:pPr>
        <w:spacing w:line="480" w:lineRule="auto"/>
        <w:jc w:val="center"/>
        <w:rPr>
          <w:rFonts w:ascii="Times New Roman" w:hAnsi="Times New Roman" w:cs="Times New Roman"/>
          <w:sz w:val="24"/>
          <w:szCs w:val="24"/>
        </w:rPr>
      </w:pPr>
      <w:r w:rsidRPr="008F12E6">
        <w:rPr>
          <w:rFonts w:ascii="Times New Roman" w:hAnsi="Times New Roman" w:cs="Times New Roman"/>
          <w:b/>
          <w:sz w:val="24"/>
          <w:szCs w:val="24"/>
        </w:rPr>
        <w:lastRenderedPageBreak/>
        <w:t>References</w:t>
      </w:r>
      <w:r w:rsidRPr="008F12E6">
        <w:rPr>
          <w:rFonts w:ascii="Times New Roman" w:hAnsi="Times New Roman" w:cs="Times New Roman"/>
          <w:sz w:val="24"/>
          <w:szCs w:val="24"/>
        </w:rPr>
        <w:t>.</w:t>
      </w:r>
    </w:p>
    <w:p w14:paraId="41681DA8" w14:textId="77777777" w:rsidR="008F12E6" w:rsidRPr="008F12E6" w:rsidRDefault="008F12E6" w:rsidP="008F12E6">
      <w:pPr>
        <w:spacing w:line="480" w:lineRule="auto"/>
        <w:ind w:left="720" w:hanging="720"/>
        <w:jc w:val="both"/>
        <w:rPr>
          <w:rFonts w:ascii="Times New Roman" w:hAnsi="Times New Roman" w:cs="Times New Roman"/>
          <w:sz w:val="24"/>
          <w:szCs w:val="24"/>
        </w:rPr>
      </w:pPr>
      <w:proofErr w:type="spellStart"/>
      <w:r w:rsidRPr="008F12E6">
        <w:rPr>
          <w:rFonts w:ascii="Times New Roman" w:hAnsi="Times New Roman" w:cs="Times New Roman"/>
          <w:sz w:val="24"/>
          <w:szCs w:val="24"/>
        </w:rPr>
        <w:t>Brenson</w:t>
      </w:r>
      <w:proofErr w:type="spellEnd"/>
      <w:r w:rsidRPr="008F12E6">
        <w:rPr>
          <w:rFonts w:ascii="Times New Roman" w:hAnsi="Times New Roman" w:cs="Times New Roman"/>
          <w:sz w:val="24"/>
          <w:szCs w:val="24"/>
        </w:rPr>
        <w:t>, M. F. (1974). THE EARLY WORK OF ALBERTO GIACOMETTI: 1925-1935. The Johns Hopkins University.</w:t>
      </w:r>
    </w:p>
    <w:p w14:paraId="52468874" w14:textId="77777777" w:rsidR="008F12E6" w:rsidRPr="008F12E6" w:rsidRDefault="008F12E6" w:rsidP="008F12E6">
      <w:pPr>
        <w:spacing w:line="480" w:lineRule="auto"/>
        <w:ind w:left="720" w:hanging="720"/>
        <w:jc w:val="both"/>
        <w:rPr>
          <w:rFonts w:ascii="Times New Roman" w:hAnsi="Times New Roman" w:cs="Times New Roman"/>
          <w:sz w:val="24"/>
          <w:szCs w:val="24"/>
        </w:rPr>
      </w:pPr>
      <w:r w:rsidRPr="008F12E6">
        <w:rPr>
          <w:rFonts w:ascii="Times New Roman" w:hAnsi="Times New Roman" w:cs="Times New Roman"/>
          <w:sz w:val="24"/>
          <w:szCs w:val="24"/>
        </w:rPr>
        <w:t xml:space="preserve">Giacometti, A., &amp; </w:t>
      </w:r>
      <w:proofErr w:type="spellStart"/>
      <w:r w:rsidRPr="008F12E6">
        <w:rPr>
          <w:rFonts w:ascii="Times New Roman" w:hAnsi="Times New Roman" w:cs="Times New Roman"/>
          <w:sz w:val="24"/>
          <w:szCs w:val="24"/>
        </w:rPr>
        <w:t>Cuadrado</w:t>
      </w:r>
      <w:proofErr w:type="spellEnd"/>
      <w:r w:rsidRPr="008F12E6">
        <w:rPr>
          <w:rFonts w:ascii="Times New Roman" w:hAnsi="Times New Roman" w:cs="Times New Roman"/>
          <w:sz w:val="24"/>
          <w:szCs w:val="24"/>
        </w:rPr>
        <w:t xml:space="preserve">, A. (2020). Skills supply and governance in the Bothnian Arc cross-border region. </w:t>
      </w:r>
      <w:proofErr w:type="spellStart"/>
      <w:r w:rsidRPr="008F12E6">
        <w:rPr>
          <w:rFonts w:ascii="Times New Roman" w:hAnsi="Times New Roman" w:cs="Times New Roman"/>
          <w:sz w:val="24"/>
          <w:szCs w:val="24"/>
        </w:rPr>
        <w:t>Nordregio</w:t>
      </w:r>
      <w:proofErr w:type="spellEnd"/>
      <w:r w:rsidRPr="008F12E6">
        <w:rPr>
          <w:rFonts w:ascii="Times New Roman" w:hAnsi="Times New Roman" w:cs="Times New Roman"/>
          <w:sz w:val="24"/>
          <w:szCs w:val="24"/>
        </w:rPr>
        <w:t>.</w:t>
      </w:r>
    </w:p>
    <w:p w14:paraId="76ED9C7C" w14:textId="77777777" w:rsidR="008F12E6" w:rsidRPr="008F12E6" w:rsidRDefault="008F12E6" w:rsidP="008F12E6">
      <w:pPr>
        <w:spacing w:line="480" w:lineRule="auto"/>
        <w:ind w:left="720" w:hanging="720"/>
        <w:jc w:val="both"/>
        <w:rPr>
          <w:rFonts w:ascii="Times New Roman" w:hAnsi="Times New Roman" w:cs="Times New Roman"/>
          <w:sz w:val="24"/>
          <w:szCs w:val="24"/>
        </w:rPr>
      </w:pPr>
      <w:proofErr w:type="spellStart"/>
      <w:r w:rsidRPr="008F12E6">
        <w:rPr>
          <w:rFonts w:ascii="Times New Roman" w:hAnsi="Times New Roman" w:cs="Times New Roman"/>
          <w:sz w:val="24"/>
          <w:szCs w:val="24"/>
        </w:rPr>
        <w:t>Morf</w:t>
      </w:r>
      <w:proofErr w:type="spellEnd"/>
      <w:r w:rsidRPr="008F12E6">
        <w:rPr>
          <w:rFonts w:ascii="Times New Roman" w:hAnsi="Times New Roman" w:cs="Times New Roman"/>
          <w:sz w:val="24"/>
          <w:szCs w:val="24"/>
        </w:rPr>
        <w:t xml:space="preserve">, A., Moodie, J., Gee, K., Giacometti, A., Kull, M., </w:t>
      </w:r>
      <w:proofErr w:type="spellStart"/>
      <w:r w:rsidRPr="008F12E6">
        <w:rPr>
          <w:rFonts w:ascii="Times New Roman" w:hAnsi="Times New Roman" w:cs="Times New Roman"/>
          <w:sz w:val="24"/>
          <w:szCs w:val="24"/>
        </w:rPr>
        <w:t>Piwowarczyk</w:t>
      </w:r>
      <w:proofErr w:type="spellEnd"/>
      <w:r w:rsidRPr="008F12E6">
        <w:rPr>
          <w:rFonts w:ascii="Times New Roman" w:hAnsi="Times New Roman" w:cs="Times New Roman"/>
          <w:sz w:val="24"/>
          <w:szCs w:val="24"/>
        </w:rPr>
        <w:t>, J., ... &amp; Strand, H. (2019). Towards sustainability of marine governance: Challenges and enablers for stakeholder integration in transboundary marine spatial planning in the Baltic Sea. Ocean &amp; Coastal Management, 177, 200-212.</w:t>
      </w:r>
    </w:p>
    <w:p w14:paraId="149932CA" w14:textId="77777777" w:rsidR="00F54193" w:rsidRPr="008F12E6" w:rsidRDefault="00F54193" w:rsidP="008F12E6">
      <w:pPr>
        <w:spacing w:line="480" w:lineRule="auto"/>
        <w:jc w:val="both"/>
        <w:rPr>
          <w:rFonts w:ascii="Times New Roman" w:hAnsi="Times New Roman" w:cs="Times New Roman"/>
          <w:sz w:val="24"/>
          <w:szCs w:val="24"/>
        </w:rPr>
      </w:pPr>
    </w:p>
    <w:p w14:paraId="543E3F08" w14:textId="77777777" w:rsidR="00AD4AF9" w:rsidRPr="008F12E6" w:rsidRDefault="00AD4AF9" w:rsidP="008F12E6">
      <w:pPr>
        <w:spacing w:line="480" w:lineRule="auto"/>
        <w:jc w:val="both"/>
        <w:rPr>
          <w:rFonts w:ascii="Times New Roman" w:hAnsi="Times New Roman" w:cs="Times New Roman"/>
          <w:sz w:val="24"/>
          <w:szCs w:val="24"/>
        </w:rPr>
      </w:pPr>
    </w:p>
    <w:sectPr w:rsidR="00AD4AF9" w:rsidRPr="008F12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CF943" w14:textId="77777777" w:rsidR="004A1459" w:rsidRDefault="004A1459" w:rsidP="008F12E6">
      <w:pPr>
        <w:spacing w:after="0" w:line="240" w:lineRule="auto"/>
      </w:pPr>
      <w:r>
        <w:separator/>
      </w:r>
    </w:p>
  </w:endnote>
  <w:endnote w:type="continuationSeparator" w:id="0">
    <w:p w14:paraId="318BA6FD" w14:textId="77777777" w:rsidR="004A1459" w:rsidRDefault="004A1459" w:rsidP="008F1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CBC1E" w14:textId="77777777" w:rsidR="004A1459" w:rsidRDefault="004A1459" w:rsidP="008F12E6">
      <w:pPr>
        <w:spacing w:after="0" w:line="240" w:lineRule="auto"/>
      </w:pPr>
      <w:r>
        <w:separator/>
      </w:r>
    </w:p>
  </w:footnote>
  <w:footnote w:type="continuationSeparator" w:id="0">
    <w:p w14:paraId="58B4F9A0" w14:textId="77777777" w:rsidR="004A1459" w:rsidRDefault="004A1459" w:rsidP="008F1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33045"/>
      <w:docPartObj>
        <w:docPartGallery w:val="Page Numbers (Top of Page)"/>
        <w:docPartUnique/>
      </w:docPartObj>
    </w:sdtPr>
    <w:sdtEndPr>
      <w:rPr>
        <w:noProof/>
      </w:rPr>
    </w:sdtEndPr>
    <w:sdtContent>
      <w:p w14:paraId="7B850D01" w14:textId="77777777" w:rsidR="008F12E6" w:rsidRDefault="008F12E6">
        <w:pPr>
          <w:pStyle w:val="Header"/>
          <w:jc w:val="right"/>
        </w:pPr>
        <w:r>
          <w:fldChar w:fldCharType="begin"/>
        </w:r>
        <w:r>
          <w:instrText xml:space="preserve"> PAGE   \* MERGEFORMAT </w:instrText>
        </w:r>
        <w:r>
          <w:fldChar w:fldCharType="separate"/>
        </w:r>
        <w:r w:rsidR="00886DA3">
          <w:rPr>
            <w:noProof/>
          </w:rPr>
          <w:t>1</w:t>
        </w:r>
        <w:r>
          <w:rPr>
            <w:noProof/>
          </w:rPr>
          <w:fldChar w:fldCharType="end"/>
        </w:r>
      </w:p>
    </w:sdtContent>
  </w:sdt>
  <w:p w14:paraId="3A50D24E" w14:textId="77777777" w:rsidR="008F12E6" w:rsidRDefault="008F1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193"/>
    <w:rsid w:val="0024776C"/>
    <w:rsid w:val="002832DB"/>
    <w:rsid w:val="0030458C"/>
    <w:rsid w:val="00361351"/>
    <w:rsid w:val="003B1A7D"/>
    <w:rsid w:val="003E09F9"/>
    <w:rsid w:val="004A1459"/>
    <w:rsid w:val="00665FA3"/>
    <w:rsid w:val="0081044E"/>
    <w:rsid w:val="00860C96"/>
    <w:rsid w:val="00886DA3"/>
    <w:rsid w:val="008F12E6"/>
    <w:rsid w:val="00AC3089"/>
    <w:rsid w:val="00AD4AF9"/>
    <w:rsid w:val="00F54193"/>
    <w:rsid w:val="00F97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E32C"/>
  <w15:chartTrackingRefBased/>
  <w15:docId w15:val="{9B0E144A-78AF-4EBB-84BB-12DDCBCE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2E6"/>
  </w:style>
  <w:style w:type="paragraph" w:styleId="Footer">
    <w:name w:val="footer"/>
    <w:basedOn w:val="Normal"/>
    <w:link w:val="FooterChar"/>
    <w:uiPriority w:val="99"/>
    <w:unhideWhenUsed/>
    <w:rsid w:val="008F1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7CDA9-9090-4032-99F3-C2E07697E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2021-10-17T22:09:00Z</dcterms:created>
  <dcterms:modified xsi:type="dcterms:W3CDTF">2021-10-17T22:09:00Z</dcterms:modified>
</cp:coreProperties>
</file>