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jc w:val="center"/>
        <w:rPr>
          <w:rFonts w:ascii="Times New Roman" w:hAnsi="Times New Roman" w:cs="Times New Roman"/>
          <w:sz w:val="32"/>
          <w:szCs w:val="32"/>
        </w:rPr>
      </w:pPr>
      <w:r w:rsidRPr="00064CE7">
        <w:rPr>
          <w:rFonts w:ascii="Times New Roman" w:hAnsi="Times New Roman" w:cs="Times New Roman"/>
          <w:sz w:val="32"/>
          <w:szCs w:val="32"/>
        </w:rPr>
        <w:t>Ahmed Almerjan</w:t>
      </w:r>
    </w:p>
    <w:p w:rsidR="00064CE7" w:rsidRPr="00064CE7" w:rsidRDefault="00064CE7" w:rsidP="00064CE7">
      <w:pPr>
        <w:spacing w:line="480" w:lineRule="auto"/>
        <w:jc w:val="center"/>
        <w:rPr>
          <w:rFonts w:ascii="Times New Roman" w:hAnsi="Times New Roman" w:cs="Times New Roman"/>
          <w:sz w:val="32"/>
          <w:szCs w:val="32"/>
        </w:rPr>
      </w:pPr>
      <w:r w:rsidRPr="00064CE7">
        <w:rPr>
          <w:rFonts w:ascii="Times New Roman" w:hAnsi="Times New Roman" w:cs="Times New Roman"/>
          <w:sz w:val="32"/>
          <w:szCs w:val="32"/>
        </w:rPr>
        <w:t>CRJ325</w:t>
      </w:r>
    </w:p>
    <w:p w:rsidR="00064CE7" w:rsidRPr="00064CE7" w:rsidRDefault="00064CE7" w:rsidP="00064CE7">
      <w:pPr>
        <w:spacing w:line="480" w:lineRule="auto"/>
        <w:jc w:val="center"/>
        <w:rPr>
          <w:rFonts w:ascii="Times New Roman" w:hAnsi="Times New Roman" w:cs="Times New Roman"/>
          <w:sz w:val="32"/>
          <w:szCs w:val="32"/>
        </w:rPr>
      </w:pPr>
      <w:r w:rsidRPr="00064CE7">
        <w:rPr>
          <w:rFonts w:ascii="Times New Roman" w:hAnsi="Times New Roman" w:cs="Times New Roman"/>
          <w:sz w:val="32"/>
          <w:szCs w:val="32"/>
        </w:rPr>
        <w:t>11-17-17</w:t>
      </w: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jc w:val="center"/>
        <w:rPr>
          <w:rFonts w:ascii="Times New Roman" w:hAnsi="Times New Roman" w:cs="Times New Roman"/>
          <w:sz w:val="24"/>
          <w:szCs w:val="24"/>
        </w:rPr>
      </w:pPr>
      <w:r w:rsidRPr="00064CE7">
        <w:rPr>
          <w:rFonts w:ascii="Times New Roman" w:hAnsi="Times New Roman" w:cs="Times New Roman"/>
          <w:sz w:val="24"/>
          <w:szCs w:val="24"/>
        </w:rPr>
        <w:lastRenderedPageBreak/>
        <w:t>Burglary Risk and Repeat Victimization</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Introduction</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Criminology theories are developed to explain how and why crimes such as burglary tend to occur at some places and during specific times (Ratcliffe &amp; McCullagh, 1999). Theories also address why crimes occur to specific targets and not others (Ratcliffe &amp; McCullagh, 1999). These theories are standard criminological concepts that suggest a correlation between crime statistics and neighborhood and individual factors. The crime level of a particular location may increase or decrease without a change in the number of criminals who live in or frequent that region, as criminologists find that there may be an increase in the availability of suitable targets for burglars to consider (Bowers &amp; Johnson). This suggests a broader range of prevention possibilities due to the focus on routine activity patterns and target availability. The introduction of victimization surveys in the 1970s provided insight into occurrence patterns (Bowers &amp; Johnson, 2005). Repeat victimization happens when a target becomes the victim of two or more similar offences in a specific time frame. The risk of repeat victimization increases during the first few months after initial victimization but gradually decreases in the time afterwards. This pattern suggests that the same offender or offender groups are involved in both the initial and repeat victimization. From this body of information, we understand that repeat victimization and burglary risk are critical interconnected crime issues to analyze.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Social Control Impact</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Information covered by existing literature concludes that the main concepts that define criminal opportunity theories of victimization are exposure, target appeal, proximity to crime and guardianship (Bernasco, 2008). These are neighborhood risk factors that influence burglar target </w:t>
      </w:r>
      <w:r w:rsidRPr="00064CE7">
        <w:rPr>
          <w:rFonts w:ascii="Times New Roman" w:hAnsi="Times New Roman" w:cs="Times New Roman"/>
          <w:sz w:val="24"/>
          <w:szCs w:val="24"/>
        </w:rPr>
        <w:lastRenderedPageBreak/>
        <w:t>selection preferences. The first factor to consider is that the higher the real estate value of a particular area, the higher the probability that it will be selected for burglary (Bernasco, Johnson &amp; Ruiter, 2015). The underlying reason is that high-end residential areas tend to have tenants or home owners who have low social cohesion levels (Nobles, Ward &amp; Tillyer, 2016). These residents would find it difficult to differentiate locals from strangers. Additionally, the residents would not readily be aware if a neighboring house is being burgled due to the low visibility among neighbors. This is a lack of social control to prevent crime, making it an attractive target because of the lower risk of apprehension (Nobles et al, 2016). The theory on the impact of lack of social control is drawn from the social disorganization framework, which holds that a patterning process occurs more frequently in areas that lack informal social control or ability of the community to respond to the initial event (Nobles et al, 2016).</w:t>
      </w:r>
    </w:p>
    <w:p w:rsidR="00064CE7" w:rsidRPr="00064CE7" w:rsidRDefault="00064CE7" w:rsidP="00064CE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Mobility/Ease of </w:t>
      </w:r>
      <w:r w:rsidRPr="00064CE7">
        <w:rPr>
          <w:rFonts w:ascii="Times New Roman" w:hAnsi="Times New Roman" w:cs="Times New Roman"/>
          <w:b/>
          <w:sz w:val="24"/>
          <w:szCs w:val="24"/>
        </w:rPr>
        <w:t>Access</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The second neighborhood risk factor is that the greater the ease of access in an area, the higher the probability of it being selected for burglary. An area with high physical accessibility will be vulnerable to burglary due to the ease of access and escape (Bowers &amp; Johnson, 2005). Burglary risk increases when a property is both easy to access and unoccupied. The temporal factor comes into importance with the finding that a home is more likely to be burgled when it is not occupied. This usually encompasses the daytime hours when the occupants may be away on work or school engagements. These are the most important neighborhood factors that determine burglary patterns in an area (Bowers &amp; Johnson, 2005).</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Target Accessibility</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lastRenderedPageBreak/>
        <w:t xml:space="preserve">The target accessibility level is another important factor in that burglars tend to select locations that offer minimal travel requirements (Bernasco et al, 2015). Travel requirements involve the amount of time taken and distance covered to get to the target property. Like any other member of society engaged in any other activity, burglars are subject to time constraints and must select locations that address the distance and time aspects of travel. The familiarity of an offender is an influencing factor that determines the probability of repeat burglary. Offenders are likely to select locations in which they will not be conspicuous from the native population. The native population refers to the people who have resided in that area for a suitable amount of time to be considered the local community. It insinuates the repeat offenders in particular are likely to select targets that offer spatial proximity to their homes. This means they will be recognizable to majority of residents of the target area, decreasing the possibility of being suspected. In addition, close spatial proximity will mean that they have a detailed local knowledge of the area.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Additional Risk Factors</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There are other neighborhood risk factors that hold similar importance to identifying burglary patterns. Areas with high numbers of single-family dwellings are more likely to experience repeat burglary. Single-family dwellings are found to typically provide multiple entry points on accessible streets, making that particular area attractive for burglary (Ratcliffe &amp; McCullagh, 1999). Studies found that the most prolific offenders committed repeat crimes on the same street, and that victimized properties were generally located close to one another (Johnson et al, 2007). The understanding of spatial preferences can be enhanced by a deeper analysis of the correlation between the neighborhood risk factors. The social organization of a neighborhood is a determining factor for burglary rates. Findings indicate that areas with the worst structural </w:t>
      </w:r>
      <w:r w:rsidRPr="00064CE7">
        <w:rPr>
          <w:rFonts w:ascii="Times New Roman" w:hAnsi="Times New Roman" w:cs="Times New Roman"/>
          <w:sz w:val="24"/>
          <w:szCs w:val="24"/>
        </w:rPr>
        <w:lastRenderedPageBreak/>
        <w:t xml:space="preserve">characteristics are not necessarily the same ones plagued by high single and high repeat burglary rates (Nobles et al, 2016). Neighborhoods that were characterized by low single and high repeat burglaries had concerning levels of residential instability and racial heterogeneity (Johnson et al, 2007). This suggests social disorganization aspects which are relevant in connecting burglary rates to spatiotemporal proximity. Housing design is another contributing factor to burglary rates. Areas with homogenous housing were more likely to experience repeat burglary due to the identical lay-out of previously burgled homes and prospective targets (Johnson et al, 2007).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Crime Reporting</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The reporting of a crime is a critical factor that helps to determine the connection with crime occurrence. The paper by Bowles et al explores the reporting of crime by witnesses and victims to determine the implications for measuring costs of crime (Bowles, Reyes &amp; Garoupa, 2009). Victims and witnesses are likely to make reporting decisions based on possible outcomes such as court appearance, involvement in police investigations, intimidation by offenders, and retaliation against them for reporting the crime (Bowles et al, 2009). With regard to burglary, witnesses and victims consider the possibility of recovering stolen items and identifying the perpetrator. It is necessary to determine the motivations for crime reporting because it will result in more effective preventive and reactive measures against burglary. An understanding of the circumstances conducive for crime reporting is important because it helps policy makers and communities to develop incentive structures for reporting crime. A neighborhood with low incentive structures may experience repeat victimization because of the lack of awareness of the problem and lack of response systems.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Offender Preferences</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lastRenderedPageBreak/>
        <w:t xml:space="preserve">Decisions by the burglar as to when and where to commit the offence are critical for understanding of crime patterns and preventive measures. Criminological literature offers rational choice theory to this particular topic. Benefits for the burglar include material gain covering stolen goods and immaterial value from excitement and higher peer status. The costs necessary to achieve these benefits are time, effort and expenses incurred for equipment or travel. Risk factors under consideration by the burglar include possible arrest, prosecution and punishment for the offence committed (Bernasco, Johnson &amp; Ruiter, 2015). There is an additional risk in the probability of injury to the burglar. During the course of entry or exit from the targeted property, the burglar may suffer injury. This suggests how each burglary location is selected based on benefits, costs and risks. The victimization risk of a residential burglary is temporarily increased for the initially burgled property and for the nearby properties. This may be due to the calculation of benefits, costs and risks to ascertain that the area offers rewards in all the three fields of concern. Literature affirms that burglars have a tendency to return to their prior target areas (Bernasco, 2008). This highlights a behavioral consistency among repeat burglars that is likely influenced by the selection criteria of preferred targets. It may indicate why affluent areas are popular with burglars as they offer significant benefits while minimizing the costs and risks. The relevance for future research is that burglary location choices have an influence on their next possible target locations. This will provide critical information for understanding of victimization risks and burglary patterns.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Urban/Rural Factor</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Residence in a rural or urban setting is a determining factor in the risk of repeat victimization. A lower proportion of people living in rural areas experience high levels of burglary compared to those living in urban areas. The primary reason may be the lower benefits </w:t>
      </w:r>
      <w:r w:rsidRPr="00064CE7">
        <w:rPr>
          <w:rFonts w:ascii="Times New Roman" w:hAnsi="Times New Roman" w:cs="Times New Roman"/>
          <w:sz w:val="24"/>
          <w:szCs w:val="24"/>
        </w:rPr>
        <w:lastRenderedPageBreak/>
        <w:t xml:space="preserve">associated with burgling a property in the rural areas. It is assumed that there will be low material gain because of potentially fewer items to steal from the property, meaning that any risks such as arrest and injury will significantly overweigh the benefits (Nobles, Ward &amp; Tillyer, 2016). Another reason is the relative lack of physical accessibility of many properties compared to urban areas. There are fewer on-street entry points in rural areas, meaning that the burglar may likely have to travel long distances through vegetative cover to get to the targeted property (Nobles et al, 2016). However, there is a risk of repeat victimization for rural areas due to lower police presence and therefore slow response to crime. The neighborhood risk factors and individual considerations covered in this paper may similarly apply to rural areas but to a lesser extent.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t>Research Goals</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For an enhanced understanding of repeat victimization factors, researchers need to conduct studies based on sets of paired characteristics. This requires the researchers to assess correlated factors that influence repeat victimization. The studies should determine the level of same-offender involvement in repeat and near-repeat victimization (Bernasco, 2008). Research should then focus on whether burglaries were experienced by the same targets. In the event that particular targets were victimized on multiple occasions, it affirms repeat victimization and the area may be identified as a hot spot of criminal activity (Johnson et al, 2007). Repeat victimization is characterized by spatial elements such as the distance separating targets that have experienced repeat victimization. It is noted that properties on the same side of the street and nearby properties with similar layouts are likely to undergo repeat victimization (Bowers &amp; Johnson, 2005). The influence of distance is therefore a critical factor that should be a major focus of research on this phenomenon.  </w:t>
      </w:r>
    </w:p>
    <w:p w:rsidR="00064CE7" w:rsidRPr="00064CE7" w:rsidRDefault="00064CE7" w:rsidP="00064CE7">
      <w:pPr>
        <w:spacing w:line="480" w:lineRule="auto"/>
        <w:rPr>
          <w:rFonts w:ascii="Times New Roman" w:hAnsi="Times New Roman" w:cs="Times New Roman"/>
          <w:b/>
          <w:sz w:val="24"/>
          <w:szCs w:val="24"/>
        </w:rPr>
      </w:pPr>
      <w:r w:rsidRPr="00064CE7">
        <w:rPr>
          <w:rFonts w:ascii="Times New Roman" w:hAnsi="Times New Roman" w:cs="Times New Roman"/>
          <w:b/>
          <w:sz w:val="24"/>
          <w:szCs w:val="24"/>
        </w:rPr>
        <w:lastRenderedPageBreak/>
        <w:t>Preventive Strategy Evaluation</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Prevention of this phenomenon is hindered by the lack of effective predictive measures and poor implementation of the existing preventive mechanisms. The mechanisms highlighted in literature include crime reporting structures, response systems by the local community, and deterrent programs such as patrols and citizen security groups. The inefficiency of preventive mechanisms is highlighted in literature on prevention against burglary, which holds that prevention tactics including patrols, security systems and law enforcement visibility should not be universally applied (Farrell &amp; Pease, 2006). It is recommended that an analysis of offender preferences is conducted to understand the factors that make that particular area conducive to burglary risk (Farrell &amp; Pease, 2006). This analysis should then be supplemented by education of citizens on how to identify and report these risk factors to allow concerned law enforcement agencies develop strategies against single and repeat victimization. Victim education is carried out as a preventive strategy but it is not effective because people respond differently to security recommendations (Farrell &amp; Pease, 2006). It indicates that there is a need for improved funding for security and related equipment. There is also a need for more motivation for victims to engage in preventive and reactive measures against burglary. For those directly involved in arrest or prosecution of burglars, they should not replicate tactics across contexts such as class, population density, housing design, physical accessibility and proximity to burglar home location (Farrell &amp; Pease, 2006). Preventive measures against burglary need to be more considerate of the different modes of operation by different burglars. Innovative measures should be used in areas with repeat victimization. In these areas, preventive measures should entail the neighborhood risk factors and burglar selection preferences. Developed strategies should determine why there are recurring burglaries in order to determine how to avoid those occurrences. </w:t>
      </w:r>
    </w:p>
    <w:p w:rsidR="00064CE7" w:rsidRPr="00064CE7" w:rsidRDefault="00064CE7" w:rsidP="00064CE7">
      <w:pPr>
        <w:spacing w:line="480" w:lineRule="auto"/>
        <w:jc w:val="center"/>
        <w:rPr>
          <w:rFonts w:ascii="Times New Roman" w:hAnsi="Times New Roman" w:cs="Times New Roman"/>
          <w:sz w:val="24"/>
          <w:szCs w:val="24"/>
        </w:rPr>
      </w:pPr>
      <w:r w:rsidRPr="00064CE7">
        <w:rPr>
          <w:rFonts w:ascii="Times New Roman" w:hAnsi="Times New Roman" w:cs="Times New Roman"/>
          <w:sz w:val="24"/>
          <w:szCs w:val="24"/>
        </w:rPr>
        <w:lastRenderedPageBreak/>
        <w:t>References</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Bernasco, W. (2008). Them again? Same-offender involvement in repeat and near repeat burglaries. European Journal of Criminology, 5(4), 411-431.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Bernasco, W., Johnson, S. D., &amp; Ruiter, S. (2015). Learning where to offend: Effects of past on future burglary locations. Applied Geography, 60, 120-129.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Bowers, K. J., &amp; Johnson, S. D. (2005). Domestic burglary repeats and space-time clusters: The dimensions of risk. European Journal of Criminology, 2(1), 67-92.</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Bowles, R., Reyes, M. G., &amp; Garoupa, N. (2009). Crime reporting decisions and the costs of crime. European journal on criminal policy and research, 15(4), 365.</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Farrell, G., &amp; Pease, K. (2006). Preventing repeat residential burglary victimization. In Preventing crime (pp. 161-176). Springer Netherlands.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Johnson, S. D., Bernasco, W., Bowers, K. J., Elffers, H., Ratcliffe, J., Rengert, G., &amp; Townsley, M. (2007). Space–time patterns of risk: a cross national assessment of residential burglary victimization. Journal of Quantitative Criminology, 23(3), 201-219.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Nobles, M. R., Ward, J. T., &amp; Tillyer, R. (2016). The impact of neighborhood context on spatiotemporal patterns of burglary. Journal of Research in Crime and Delinquency, 53(5), 711-740. </w:t>
      </w:r>
    </w:p>
    <w:p w:rsidR="000A089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Ratcliffe, J., &amp; McCullagh, M. (1999). Burglary, victimization, and social deprivation. Crime Prevention and Community Safety, 1(2), 37-46.</w:t>
      </w:r>
      <w:bookmarkStart w:id="0" w:name="_GoBack"/>
      <w:bookmarkEnd w:id="0"/>
    </w:p>
    <w:sectPr w:rsidR="000A0897" w:rsidRPr="00064CE7" w:rsidSect="00064C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743A" w:rsidRDefault="00BC743A" w:rsidP="00064CE7">
      <w:pPr>
        <w:spacing w:after="0" w:line="240" w:lineRule="auto"/>
      </w:pPr>
      <w:r>
        <w:separator/>
      </w:r>
    </w:p>
  </w:endnote>
  <w:endnote w:type="continuationSeparator" w:id="0">
    <w:p w:rsidR="00BC743A" w:rsidRDefault="00BC743A" w:rsidP="00064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743A" w:rsidRDefault="00BC743A" w:rsidP="00064CE7">
      <w:pPr>
        <w:spacing w:after="0" w:line="240" w:lineRule="auto"/>
      </w:pPr>
      <w:r>
        <w:separator/>
      </w:r>
    </w:p>
  </w:footnote>
  <w:footnote w:type="continuationSeparator" w:id="0">
    <w:p w:rsidR="00BC743A" w:rsidRDefault="00BC743A" w:rsidP="00064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256641"/>
      <w:docPartObj>
        <w:docPartGallery w:val="Page Numbers (Top of Page)"/>
        <w:docPartUnique/>
      </w:docPartObj>
    </w:sdtPr>
    <w:sdtEndPr>
      <w:rPr>
        <w:rFonts w:ascii="Times New Roman" w:hAnsi="Times New Roman" w:cs="Times New Roman"/>
        <w:noProof/>
        <w:sz w:val="24"/>
        <w:szCs w:val="24"/>
      </w:rPr>
    </w:sdtEndPr>
    <w:sdtContent>
      <w:p w:rsidR="00064CE7" w:rsidRPr="00064CE7" w:rsidRDefault="00064CE7">
        <w:pPr>
          <w:pStyle w:val="Header"/>
          <w:jc w:val="right"/>
          <w:rPr>
            <w:rFonts w:ascii="Times New Roman" w:hAnsi="Times New Roman" w:cs="Times New Roman"/>
            <w:sz w:val="24"/>
            <w:szCs w:val="24"/>
          </w:rPr>
        </w:pPr>
        <w:r w:rsidRPr="00064CE7">
          <w:rPr>
            <w:rFonts w:ascii="Times New Roman" w:hAnsi="Times New Roman" w:cs="Times New Roman"/>
            <w:sz w:val="24"/>
            <w:szCs w:val="24"/>
          </w:rPr>
          <w:t>BURGLARY RISK</w:t>
        </w:r>
        <w:r w:rsidRPr="00064CE7">
          <w:rPr>
            <w:rFonts w:ascii="Times New Roman" w:hAnsi="Times New Roman" w:cs="Times New Roman"/>
            <w:sz w:val="24"/>
            <w:szCs w:val="24"/>
          </w:rPr>
          <w:tab/>
        </w:r>
        <w:r w:rsidRPr="00064CE7">
          <w:rPr>
            <w:rFonts w:ascii="Times New Roman" w:hAnsi="Times New Roman" w:cs="Times New Roman"/>
            <w:sz w:val="24"/>
            <w:szCs w:val="24"/>
          </w:rPr>
          <w:tab/>
        </w:r>
        <w:r w:rsidRPr="00064CE7">
          <w:rPr>
            <w:rFonts w:ascii="Times New Roman" w:hAnsi="Times New Roman" w:cs="Times New Roman"/>
            <w:sz w:val="24"/>
            <w:szCs w:val="24"/>
          </w:rPr>
          <w:fldChar w:fldCharType="begin"/>
        </w:r>
        <w:r w:rsidRPr="00064CE7">
          <w:rPr>
            <w:rFonts w:ascii="Times New Roman" w:hAnsi="Times New Roman" w:cs="Times New Roman"/>
            <w:sz w:val="24"/>
            <w:szCs w:val="24"/>
          </w:rPr>
          <w:instrText xml:space="preserve"> PAGE   \* MERGEFORMAT </w:instrText>
        </w:r>
        <w:r w:rsidRPr="00064CE7">
          <w:rPr>
            <w:rFonts w:ascii="Times New Roman" w:hAnsi="Times New Roman" w:cs="Times New Roman"/>
            <w:sz w:val="24"/>
            <w:szCs w:val="24"/>
          </w:rPr>
          <w:fldChar w:fldCharType="separate"/>
        </w:r>
        <w:r>
          <w:rPr>
            <w:rFonts w:ascii="Times New Roman" w:hAnsi="Times New Roman" w:cs="Times New Roman"/>
            <w:noProof/>
            <w:sz w:val="24"/>
            <w:szCs w:val="24"/>
          </w:rPr>
          <w:t>8</w:t>
        </w:r>
        <w:r w:rsidRPr="00064CE7">
          <w:rPr>
            <w:rFonts w:ascii="Times New Roman" w:hAnsi="Times New Roman" w:cs="Times New Roman"/>
            <w:noProof/>
            <w:sz w:val="24"/>
            <w:szCs w:val="24"/>
          </w:rPr>
          <w:fldChar w:fldCharType="end"/>
        </w:r>
      </w:p>
    </w:sdtContent>
  </w:sdt>
  <w:p w:rsidR="00064CE7" w:rsidRDefault="00064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CE7" w:rsidRPr="00064CE7" w:rsidRDefault="00064CE7">
    <w:pPr>
      <w:pStyle w:val="Header"/>
      <w:rPr>
        <w:rFonts w:ascii="Times New Roman" w:hAnsi="Times New Roman" w:cs="Times New Roman"/>
        <w:sz w:val="24"/>
        <w:szCs w:val="24"/>
      </w:rPr>
    </w:pPr>
    <w:r w:rsidRPr="00064CE7">
      <w:rPr>
        <w:rFonts w:ascii="Times New Roman" w:hAnsi="Times New Roman" w:cs="Times New Roman"/>
        <w:sz w:val="24"/>
        <w:szCs w:val="24"/>
      </w:rPr>
      <w:t>Running head: BURGLARY RISK</w:t>
    </w:r>
    <w:r w:rsidRPr="00064CE7">
      <w:rPr>
        <w:rFonts w:ascii="Times New Roman" w:hAnsi="Times New Roman" w:cs="Times New Roman"/>
        <w:sz w:val="24"/>
        <w:szCs w:val="24"/>
      </w:rPr>
      <w:tab/>
    </w:r>
    <w:r w:rsidRPr="00064CE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MwMjAxNTE1NzU2szBU0lEKTi0uzszPAykwrAUAnsn+cSwAAAA="/>
  </w:docVars>
  <w:rsids>
    <w:rsidRoot w:val="00064CE7"/>
    <w:rsid w:val="00064CE7"/>
    <w:rsid w:val="004C4519"/>
    <w:rsid w:val="00577D9C"/>
    <w:rsid w:val="00BC743A"/>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5F944"/>
  <w15:chartTrackingRefBased/>
  <w15:docId w15:val="{F6A8B5DB-256D-4F8C-8C86-1D111E7A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CE7"/>
  </w:style>
  <w:style w:type="paragraph" w:styleId="Footer">
    <w:name w:val="footer"/>
    <w:basedOn w:val="Normal"/>
    <w:link w:val="FooterChar"/>
    <w:uiPriority w:val="99"/>
    <w:unhideWhenUsed/>
    <w:rsid w:val="00064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2252</Words>
  <Characters>12840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2017-11-24T18:07:00Z</dcterms:created>
  <dcterms:modified xsi:type="dcterms:W3CDTF">2017-11-24T18:20:00Z</dcterms:modified>
</cp:coreProperties>
</file>