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AFA" w:rsidRPr="009D6AFA" w:rsidRDefault="009D6AFA" w:rsidP="009D6AFA">
      <w:pPr>
        <w:pStyle w:val="NoSpacing"/>
        <w:numPr>
          <w:ilvl w:val="0"/>
          <w:numId w:val="1"/>
        </w:numPr>
        <w:spacing w:after="120"/>
        <w:rPr>
          <w:highlight w:val="yellow"/>
        </w:rPr>
      </w:pPr>
      <w:r w:rsidRPr="009D6AFA">
        <w:rPr>
          <w:highlight w:val="yellow"/>
        </w:rPr>
        <w:t>American Express</w:t>
      </w:r>
    </w:p>
    <w:p w:rsidR="009D6AFA" w:rsidRPr="009D6AFA" w:rsidRDefault="009D6AFA" w:rsidP="009D6AFA">
      <w:pPr>
        <w:pStyle w:val="ListParagraph"/>
        <w:numPr>
          <w:ilvl w:val="1"/>
          <w:numId w:val="1"/>
        </w:numPr>
        <w:spacing w:after="0" w:line="240" w:lineRule="auto"/>
        <w:rPr>
          <w:highlight w:val="yellow"/>
        </w:rPr>
      </w:pPr>
      <w:r w:rsidRPr="009D6AFA">
        <w:rPr>
          <w:highlight w:val="yellow"/>
        </w:rPr>
        <w:t>Define American Express’s overall business-level strategy. Does Bank 2.0 fit into American Express’s overall business-level strategy?</w:t>
      </w:r>
      <w:r w:rsidRPr="009D6AFA">
        <w:rPr>
          <w:highlight w:val="yellow"/>
        </w:rPr>
        <w:t xml:space="preserve"> Identifies factors in the business level strategy that has effect on American Express’s future.</w:t>
      </w:r>
    </w:p>
    <w:p w:rsidR="009D6AFA" w:rsidRDefault="009D6AFA" w:rsidP="009D6AFA">
      <w:pPr>
        <w:pStyle w:val="ListParagraph"/>
        <w:spacing w:after="0" w:line="240" w:lineRule="auto"/>
        <w:ind w:left="1440"/>
      </w:pPr>
      <w:bookmarkStart w:id="0" w:name="_GoBack"/>
      <w:bookmarkEnd w:id="0"/>
    </w:p>
    <w:p w:rsidR="009D6AFA" w:rsidRDefault="009D6AFA" w:rsidP="009D6AFA">
      <w:pPr>
        <w:pStyle w:val="ListParagraph"/>
        <w:numPr>
          <w:ilvl w:val="1"/>
          <w:numId w:val="1"/>
        </w:numPr>
        <w:spacing w:after="0" w:line="240" w:lineRule="auto"/>
      </w:pPr>
      <w:hyperlink r:id="rId5" w:history="1">
        <w:r w:rsidRPr="00625437">
          <w:rPr>
            <w:rStyle w:val="Hyperlink"/>
          </w:rPr>
          <w:t>https://expertprogrammanagement.com/2019/09/business-level-strategy-explained/</w:t>
        </w:r>
      </w:hyperlink>
    </w:p>
    <w:p w:rsidR="009D6AFA" w:rsidRPr="005752EF" w:rsidRDefault="009D6AFA" w:rsidP="009D6AFA">
      <w:pPr>
        <w:pStyle w:val="ListParagraph"/>
        <w:spacing w:after="0" w:line="240" w:lineRule="auto"/>
        <w:ind w:left="1440"/>
      </w:pPr>
    </w:p>
    <w:p w:rsidR="009D6AFA" w:rsidRPr="00AD628C" w:rsidRDefault="009D6AFA" w:rsidP="009D6AFA">
      <w:pPr>
        <w:pStyle w:val="ListParagraph"/>
        <w:spacing w:after="120"/>
        <w:rPr>
          <w:sz w:val="6"/>
          <w:szCs w:val="6"/>
        </w:rPr>
      </w:pPr>
    </w:p>
    <w:p w:rsidR="009D6AFA" w:rsidRDefault="009D6AFA" w:rsidP="00886058">
      <w:pPr>
        <w:spacing w:after="0" w:line="240" w:lineRule="auto"/>
        <w:outlineLvl w:val="0"/>
        <w:rPr>
          <w:rFonts w:ascii="Helvetica" w:eastAsia="Times New Roman" w:hAnsi="Helvetica" w:cs="Times New Roman"/>
          <w:b/>
          <w:bCs/>
          <w:color w:val="C1510A"/>
          <w:kern w:val="36"/>
          <w:sz w:val="48"/>
          <w:szCs w:val="48"/>
        </w:rPr>
      </w:pPr>
      <w:r w:rsidRPr="009D6AFA">
        <w:rPr>
          <w:rFonts w:ascii="Helvetica" w:eastAsia="Times New Roman" w:hAnsi="Helvetica" w:cs="Times New Roman"/>
          <w:b/>
          <w:bCs/>
          <w:color w:val="C1510A"/>
          <w:kern w:val="36"/>
          <w:sz w:val="48"/>
          <w:szCs w:val="48"/>
        </w:rPr>
        <w:drawing>
          <wp:inline distT="0" distB="0" distL="0" distR="0">
            <wp:extent cx="2419350" cy="1885950"/>
            <wp:effectExtent l="0" t="0" r="0" b="0"/>
            <wp:docPr id="1" name="Picture 1" descr="C:\Users\rlmanuel\AppData\Local\Microsoft\Windows\INetCache\Content.MSO\E20A01B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lmanuel\AppData\Local\Microsoft\Windows\INetCache\Content.MSO\E20A01BD.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9350" cy="1885950"/>
                    </a:xfrm>
                    <a:prstGeom prst="rect">
                      <a:avLst/>
                    </a:prstGeom>
                    <a:noFill/>
                    <a:ln>
                      <a:noFill/>
                    </a:ln>
                  </pic:spPr>
                </pic:pic>
              </a:graphicData>
            </a:graphic>
          </wp:inline>
        </w:drawing>
      </w:r>
    </w:p>
    <w:p w:rsidR="00886058" w:rsidRPr="00886058" w:rsidRDefault="00886058" w:rsidP="00886058">
      <w:pPr>
        <w:spacing w:after="0" w:line="240" w:lineRule="auto"/>
        <w:outlineLvl w:val="0"/>
        <w:rPr>
          <w:rFonts w:ascii="Helvetica" w:eastAsia="Times New Roman" w:hAnsi="Helvetica" w:cs="Times New Roman"/>
          <w:b/>
          <w:bCs/>
          <w:color w:val="C1510A"/>
          <w:kern w:val="36"/>
          <w:sz w:val="48"/>
          <w:szCs w:val="48"/>
        </w:rPr>
      </w:pPr>
      <w:r w:rsidRPr="00886058">
        <w:rPr>
          <w:rFonts w:ascii="Helvetica" w:eastAsia="Times New Roman" w:hAnsi="Helvetica" w:cs="Times New Roman"/>
          <w:b/>
          <w:bCs/>
          <w:color w:val="C1510A"/>
          <w:kern w:val="36"/>
          <w:sz w:val="48"/>
          <w:szCs w:val="48"/>
        </w:rPr>
        <w:t>A New Mission in Enterprise Growth</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In June 2011, Kenneth Chenault, CEO of American Express (AXP), announced the formation of a new group within the company, Enterprise Growth (EG), to drive expansion into digital and mobile payments. “New technologies are redefining the payments business and creating opportunities that go beyond our existing businesses,” said Chenault in a press release. “The Enterprise Growth group is designed to extend our leadership into the world of alternative payments and create new fee-based revenue streams for the post-recession environment.” To lead the group, AXP hired Dan Schulman from Sprint Corporation (where he had headed the Prepaid Group after previously serving as founding CEO of Virgin Mobile USA, as president and CEO of </w:t>
      </w:r>
      <w:proofErr w:type="spellStart"/>
      <w:r w:rsidRPr="00886058">
        <w:rPr>
          <w:rFonts w:ascii="Arial" w:eastAsia="Times New Roman" w:hAnsi="Arial" w:cs="Arial"/>
          <w:color w:val="3F3F3F"/>
          <w:sz w:val="24"/>
          <w:szCs w:val="24"/>
        </w:rPr>
        <w:fldChar w:fldCharType="begin"/>
      </w:r>
      <w:r w:rsidRPr="00886058">
        <w:rPr>
          <w:rFonts w:ascii="Arial" w:eastAsia="Times New Roman" w:hAnsi="Arial" w:cs="Arial"/>
          <w:color w:val="3F3F3F"/>
          <w:sz w:val="24"/>
          <w:szCs w:val="24"/>
        </w:rPr>
        <w:instrText xml:space="preserve"> HYPERLINK "http://priceline.com/" \t "_blank" </w:instrText>
      </w:r>
      <w:r w:rsidRPr="00886058">
        <w:rPr>
          <w:rFonts w:ascii="Arial" w:eastAsia="Times New Roman" w:hAnsi="Arial" w:cs="Arial"/>
          <w:color w:val="3F3F3F"/>
          <w:sz w:val="24"/>
          <w:szCs w:val="24"/>
        </w:rPr>
        <w:fldChar w:fldCharType="separate"/>
      </w:r>
      <w:r w:rsidRPr="00886058">
        <w:rPr>
          <w:rFonts w:ascii="Arial" w:eastAsia="Times New Roman" w:hAnsi="Arial" w:cs="Arial"/>
          <w:b/>
          <w:bCs/>
          <w:color w:val="006298"/>
          <w:sz w:val="24"/>
          <w:szCs w:val="24"/>
        </w:rPr>
        <w:t>Priceline.com</w:t>
      </w:r>
      <w:r w:rsidRPr="00886058">
        <w:rPr>
          <w:rFonts w:ascii="Arial" w:eastAsia="Times New Roman" w:hAnsi="Arial" w:cs="Arial"/>
          <w:color w:val="3F3F3F"/>
          <w:sz w:val="24"/>
          <w:szCs w:val="24"/>
        </w:rPr>
        <w:fldChar w:fldCharType="end"/>
      </w:r>
      <w:r w:rsidRPr="00886058">
        <w:rPr>
          <w:rFonts w:ascii="Arial" w:eastAsia="Times New Roman" w:hAnsi="Arial" w:cs="Arial"/>
          <w:color w:val="3F3F3F"/>
          <w:sz w:val="24"/>
          <w:szCs w:val="24"/>
        </w:rPr>
        <w:t>Incorporated</w:t>
      </w:r>
      <w:proofErr w:type="spellEnd"/>
      <w:r w:rsidRPr="00886058">
        <w:rPr>
          <w:rFonts w:ascii="Arial" w:eastAsia="Times New Roman" w:hAnsi="Arial" w:cs="Arial"/>
          <w:color w:val="3F3F3F"/>
          <w:sz w:val="24"/>
          <w:szCs w:val="24"/>
        </w:rPr>
        <w:t>, and in other leadership positions).</w:t>
      </w:r>
      <w:hyperlink r:id="rId7" w:anchor="ENLLII851483259" w:history="1">
        <w:r w:rsidRPr="00886058">
          <w:rPr>
            <w:rFonts w:ascii="Arial" w:eastAsia="Times New Roman" w:hAnsi="Arial" w:cs="Arial"/>
            <w:b/>
            <w:bCs/>
            <w:color w:val="006298"/>
            <w:sz w:val="30"/>
            <w:szCs w:val="30"/>
            <w:bdr w:val="none" w:sz="0" w:space="0" w:color="auto" w:frame="1"/>
          </w:rPr>
          <w:t>*</w:t>
        </w:r>
      </w:hyperlink>
      <w:r w:rsidRPr="00886058">
        <w:rPr>
          <w:rFonts w:ascii="Arial" w:eastAsia="Times New Roman" w:hAnsi="Arial" w:cs="Arial"/>
          <w:color w:val="3F3F3F"/>
          <w:sz w:val="24"/>
          <w:szCs w:val="24"/>
        </w:rPr>
        <w:t> “Technology [is] fundamentally going to change the way you might think about financial services,” Schulman said during one of his first meetings with EG, “just as the Internet has redefined one industry after another.”</w:t>
      </w:r>
      <w:hyperlink r:id="rId8" w:anchor="!/reader/cfeb7694-068b-4145-ae14-23cf45656650/page/?#RPRBOL915923116" w:tgtFrame="_parent" w:history="1">
        <w:r w:rsidRPr="00886058">
          <w:rPr>
            <w:rFonts w:ascii="Arial" w:eastAsia="Times New Roman" w:hAnsi="Arial" w:cs="Arial"/>
            <w:b/>
            <w:bCs/>
            <w:color w:val="006298"/>
            <w:sz w:val="30"/>
            <w:szCs w:val="30"/>
            <w:bdr w:val="none" w:sz="0" w:space="0" w:color="auto" w:frame="1"/>
          </w:rPr>
          <w:t>*</w:t>
        </w:r>
      </w:hyperlink>
      <w:r w:rsidRPr="00886058">
        <w:rPr>
          <w:rFonts w:ascii="Arial" w:eastAsia="Times New Roman" w:hAnsi="Arial" w:cs="Arial"/>
          <w:color w:val="3F3F3F"/>
          <w:sz w:val="24"/>
          <w:szCs w:val="24"/>
        </w:rPr>
        <w:t> EG, he continued, was designed “to challenge existing business models” and “to think about the intersection between software, software platforms, mobile apps, mobile technology in general, and financial services.”</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 xml:space="preserve">For Alpesh </w:t>
      </w:r>
      <w:proofErr w:type="spellStart"/>
      <w:r w:rsidRPr="00886058">
        <w:rPr>
          <w:rFonts w:ascii="Arial" w:eastAsia="Times New Roman" w:hAnsi="Arial" w:cs="Arial"/>
          <w:color w:val="3F3F3F"/>
          <w:sz w:val="24"/>
          <w:szCs w:val="24"/>
        </w:rPr>
        <w:t>Chokshi</w:t>
      </w:r>
      <w:proofErr w:type="spellEnd"/>
      <w:r w:rsidRPr="00886058">
        <w:rPr>
          <w:rFonts w:ascii="Arial" w:eastAsia="Times New Roman" w:hAnsi="Arial" w:cs="Arial"/>
          <w:color w:val="3F3F3F"/>
          <w:sz w:val="24"/>
          <w:szCs w:val="24"/>
        </w:rPr>
        <w:t xml:space="preserve"> and Wesley Wright, this was the moment they had been waiting for. </w:t>
      </w:r>
      <w:proofErr w:type="gramStart"/>
      <w:r w:rsidRPr="00886058">
        <w:rPr>
          <w:rFonts w:ascii="Arial" w:eastAsia="Times New Roman" w:hAnsi="Arial" w:cs="Arial"/>
          <w:color w:val="3F3F3F"/>
          <w:sz w:val="24"/>
          <w:szCs w:val="24"/>
        </w:rPr>
        <w:t>Both of them</w:t>
      </w:r>
      <w:proofErr w:type="gramEnd"/>
      <w:r w:rsidRPr="00886058">
        <w:rPr>
          <w:rFonts w:ascii="Arial" w:eastAsia="Times New Roman" w:hAnsi="Arial" w:cs="Arial"/>
          <w:color w:val="3F3F3F"/>
          <w:sz w:val="24"/>
          <w:szCs w:val="24"/>
        </w:rPr>
        <w:t xml:space="preserve"> had been at AXP since 2001 and had worked in its prepaid business since 2005. When EG was formed, their group had moved into EG with a mandate to drive expansion beyond AXP’s traditional credit and charge business on a global basis. </w:t>
      </w:r>
      <w:proofErr w:type="spellStart"/>
      <w:r w:rsidRPr="00886058">
        <w:rPr>
          <w:rFonts w:ascii="Arial" w:eastAsia="Times New Roman" w:hAnsi="Arial" w:cs="Arial"/>
          <w:color w:val="3F3F3F"/>
          <w:sz w:val="24"/>
          <w:szCs w:val="24"/>
        </w:rPr>
        <w:t>Chokshi</w:t>
      </w:r>
      <w:proofErr w:type="spellEnd"/>
      <w:r w:rsidRPr="00886058">
        <w:rPr>
          <w:rFonts w:ascii="Arial" w:eastAsia="Times New Roman" w:hAnsi="Arial" w:cs="Arial"/>
          <w:color w:val="3F3F3F"/>
          <w:sz w:val="24"/>
          <w:szCs w:val="24"/>
        </w:rPr>
        <w:t xml:space="preserve"> was the president and Wright led product development. Before moving into EG, together with their team they had driven the expansion of AXP’s prepaid business into gift cards and reloadable cards. Now, with the support of Chenault and Schulman, they </w:t>
      </w:r>
      <w:r w:rsidRPr="00886058">
        <w:rPr>
          <w:rFonts w:ascii="Arial" w:eastAsia="Times New Roman" w:hAnsi="Arial" w:cs="Arial"/>
          <w:color w:val="3F3F3F"/>
          <w:sz w:val="24"/>
          <w:szCs w:val="24"/>
        </w:rPr>
        <w:lastRenderedPageBreak/>
        <w:t>saw an opportunity to do something bigger—to move AXP into debit and checking spending, a large sector of payments in which it did not currently play (see </w:t>
      </w:r>
      <w:r w:rsidRPr="00886058">
        <w:rPr>
          <w:rFonts w:ascii="Arial" w:eastAsia="Times New Roman" w:hAnsi="Arial" w:cs="Arial"/>
          <w:b/>
          <w:bCs/>
          <w:color w:val="575757"/>
          <w:sz w:val="24"/>
          <w:szCs w:val="24"/>
        </w:rPr>
        <w:t>Exhibit 1</w:t>
      </w:r>
      <w:r w:rsidRPr="00886058">
        <w:rPr>
          <w:rFonts w:ascii="Arial" w:eastAsia="Times New Roman" w:hAnsi="Arial" w:cs="Arial"/>
          <w:color w:val="3F3F3F"/>
          <w:sz w:val="24"/>
          <w:szCs w:val="24"/>
        </w:rPr>
        <w:t>for AXP consolidated financial performance and </w:t>
      </w:r>
      <w:r w:rsidRPr="00886058">
        <w:rPr>
          <w:rFonts w:ascii="Arial" w:eastAsia="Times New Roman" w:hAnsi="Arial" w:cs="Arial"/>
          <w:color w:val="575757"/>
          <w:sz w:val="24"/>
          <w:szCs w:val="24"/>
        </w:rPr>
        <w:t>Exhibits 2</w:t>
      </w:r>
      <w:r w:rsidRPr="00886058">
        <w:rPr>
          <w:rFonts w:ascii="Arial" w:eastAsia="Times New Roman" w:hAnsi="Arial" w:cs="Arial"/>
          <w:color w:val="3F3F3F"/>
          <w:sz w:val="24"/>
          <w:szCs w:val="24"/>
        </w:rPr>
        <w:t>, </w:t>
      </w:r>
      <w:r w:rsidRPr="00886058">
        <w:rPr>
          <w:rFonts w:ascii="Arial" w:eastAsia="Times New Roman" w:hAnsi="Arial" w:cs="Arial"/>
          <w:color w:val="575757"/>
          <w:sz w:val="24"/>
          <w:szCs w:val="24"/>
        </w:rPr>
        <w:t>3</w:t>
      </w:r>
      <w:r w:rsidRPr="00886058">
        <w:rPr>
          <w:rFonts w:ascii="Arial" w:eastAsia="Times New Roman" w:hAnsi="Arial" w:cs="Arial"/>
          <w:color w:val="3F3F3F"/>
          <w:sz w:val="24"/>
          <w:szCs w:val="24"/>
        </w:rPr>
        <w:t>, and </w:t>
      </w:r>
      <w:r w:rsidRPr="00886058">
        <w:rPr>
          <w:rFonts w:ascii="Arial" w:eastAsia="Times New Roman" w:hAnsi="Arial" w:cs="Arial"/>
          <w:color w:val="575757"/>
          <w:sz w:val="24"/>
          <w:szCs w:val="24"/>
        </w:rPr>
        <w:t>4</w:t>
      </w:r>
      <w:r w:rsidRPr="00886058">
        <w:rPr>
          <w:rFonts w:ascii="Arial" w:eastAsia="Times New Roman" w:hAnsi="Arial" w:cs="Arial"/>
          <w:color w:val="3F3F3F"/>
          <w:sz w:val="24"/>
          <w:szCs w:val="24"/>
        </w:rPr>
        <w:t> for performance metrics of the U.S. cards business). Their team had begun calling the initiative Bank 2.0, indicating the application of technology to usher in a “next iteration” of banking.</w:t>
      </w:r>
    </w:p>
    <w:p w:rsidR="002D15A5" w:rsidRDefault="00886058">
      <w:pPr>
        <w:rPr>
          <w:rFonts w:ascii="Arial" w:hAnsi="Arial" w:cs="Arial"/>
          <w:color w:val="3F3F3F"/>
          <w:sz w:val="27"/>
          <w:szCs w:val="27"/>
        </w:rPr>
      </w:pPr>
      <w:r>
        <w:rPr>
          <w:rFonts w:ascii="Arial" w:eastAsia="Times New Roman" w:hAnsi="Arial" w:cs="Arial"/>
          <w:b/>
          <w:bCs/>
          <w:color w:val="FFFFFF"/>
          <w:sz w:val="27"/>
          <w:szCs w:val="27"/>
          <w:shd w:val="clear" w:color="auto" w:fill="C1510A"/>
        </w:rPr>
        <w:t>A</w:t>
      </w:r>
      <w:r>
        <w:rPr>
          <w:rFonts w:ascii="Arial" w:hAnsi="Arial" w:cs="Arial"/>
          <w:color w:val="3F3F3F"/>
          <w:sz w:val="27"/>
          <w:szCs w:val="27"/>
        </w:rPr>
        <w:t xml:space="preserve">s the team focused on this opportunity, </w:t>
      </w:r>
      <w:proofErr w:type="spellStart"/>
      <w:r>
        <w:rPr>
          <w:rFonts w:ascii="Arial" w:hAnsi="Arial" w:cs="Arial"/>
          <w:color w:val="3F3F3F"/>
          <w:sz w:val="27"/>
          <w:szCs w:val="27"/>
        </w:rPr>
        <w:t>Chokshi</w:t>
      </w:r>
      <w:proofErr w:type="spellEnd"/>
      <w:r>
        <w:rPr>
          <w:rFonts w:ascii="Arial" w:hAnsi="Arial" w:cs="Arial"/>
          <w:color w:val="3F3F3F"/>
          <w:sz w:val="27"/>
          <w:szCs w:val="27"/>
        </w:rPr>
        <w:t xml:space="preserve"> imagined the concerns some of his colleagues might raise. The team would need good answers to </w:t>
      </w:r>
      <w:proofErr w:type="gramStart"/>
      <w:r>
        <w:rPr>
          <w:rFonts w:ascii="Arial" w:hAnsi="Arial" w:cs="Arial"/>
          <w:color w:val="3F3F3F"/>
          <w:sz w:val="27"/>
          <w:szCs w:val="27"/>
        </w:rPr>
        <w:t>a number of</w:t>
      </w:r>
      <w:proofErr w:type="gramEnd"/>
      <w:r>
        <w:rPr>
          <w:rFonts w:ascii="Arial" w:hAnsi="Arial" w:cs="Arial"/>
          <w:color w:val="3F3F3F"/>
          <w:sz w:val="27"/>
          <w:szCs w:val="27"/>
        </w:rPr>
        <w:t xml:space="preserve"> questions. The good news was that the EG team had “gone to school” </w:t>
      </w:r>
      <w:proofErr w:type="gramStart"/>
      <w:r>
        <w:rPr>
          <w:rFonts w:ascii="Arial" w:hAnsi="Arial" w:cs="Arial"/>
          <w:color w:val="3F3F3F"/>
          <w:sz w:val="27"/>
          <w:szCs w:val="27"/>
        </w:rPr>
        <w:t>with regard to</w:t>
      </w:r>
      <w:proofErr w:type="gramEnd"/>
      <w:r>
        <w:rPr>
          <w:rFonts w:ascii="Arial" w:hAnsi="Arial" w:cs="Arial"/>
          <w:color w:val="3F3F3F"/>
          <w:sz w:val="27"/>
          <w:szCs w:val="27"/>
        </w:rPr>
        <w:t xml:space="preserve"> the potential opportunity in Bank 2.0. The team was </w:t>
      </w:r>
      <w:proofErr w:type="gramStart"/>
      <w:r>
        <w:rPr>
          <w:rFonts w:ascii="Arial" w:hAnsi="Arial" w:cs="Arial"/>
          <w:color w:val="3F3F3F"/>
          <w:sz w:val="27"/>
          <w:szCs w:val="27"/>
        </w:rPr>
        <w:t>well aware</w:t>
      </w:r>
      <w:proofErr w:type="gramEnd"/>
      <w:r>
        <w:rPr>
          <w:rFonts w:ascii="Arial" w:hAnsi="Arial" w:cs="Arial"/>
          <w:color w:val="3F3F3F"/>
          <w:sz w:val="27"/>
          <w:szCs w:val="27"/>
        </w:rPr>
        <w:t xml:space="preserve"> of the magnitude of the potential market that was currently underserved by traditional banking services. In the United States, estimates were that more than one in four households (28.3%) were either unbanked or underbanked</w:t>
      </w:r>
      <w:hyperlink r:id="rId9" w:anchor="!/reader/cfeb7694-068b-4145-ae14-23cf45656650/page/?#EUVSDE722090794"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sz w:val="27"/>
          <w:szCs w:val="27"/>
        </w:rPr>
        <w:t> and conducting some or all of their financial transactions outside of the mainstream banking system.</w:t>
      </w:r>
      <w:hyperlink r:id="rId10" w:anchor="!/reader/cfeb7694-068b-4145-ae14-23cf45656650/page/?#JOKJRI027924218"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sz w:val="27"/>
          <w:szCs w:val="27"/>
        </w:rPr>
        <w:t>Even as EG’s initial research had gleaned some promising indicators, there was still much that needed to be worked out.</w:t>
      </w:r>
    </w:p>
    <w:p w:rsidR="00886058" w:rsidRPr="00886058" w:rsidRDefault="00886058" w:rsidP="00886058">
      <w:pPr>
        <w:spacing w:after="0" w:line="240" w:lineRule="auto"/>
        <w:outlineLvl w:val="0"/>
        <w:rPr>
          <w:rFonts w:ascii="Helvetica" w:eastAsia="Times New Roman" w:hAnsi="Helvetica" w:cs="Times New Roman"/>
          <w:b/>
          <w:bCs/>
          <w:color w:val="C1510A"/>
          <w:kern w:val="36"/>
          <w:sz w:val="48"/>
          <w:szCs w:val="48"/>
        </w:rPr>
      </w:pPr>
      <w:r w:rsidRPr="00886058">
        <w:rPr>
          <w:rFonts w:ascii="Helvetica" w:eastAsia="Times New Roman" w:hAnsi="Helvetica" w:cs="Times New Roman"/>
          <w:b/>
          <w:bCs/>
          <w:color w:val="C1510A"/>
          <w:kern w:val="36"/>
          <w:sz w:val="48"/>
          <w:szCs w:val="48"/>
        </w:rPr>
        <w:t>The Closed-Loop Network</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AXP cards were accepted at fewer merchants than Visa or MasterCard. One reason was a perception that AXP transactions were more costly to the retailer or merchant due in part to different business models, fees, and pricing structures for processing transactions.</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In the Visa and MasterCard business models, external banks and financial institutions owned the relationship with the cardholder (in the vernacular of credit card business models, these were called “issuers”). Issuers provided cards to their customers that bore a Visa or MasterCard logo, and set the interest rate and any fees on the loans the cards would deliver. When the cardholder bought a meal at a restaurant, a transaction network sent the amount of the purchase to the restaurant’s bank for authorization (the restaurant’s bank was known as the “acquirer”). After the transaction was approved and cleared, the issuer bank received a percentage of the sale based on the interest on the loan provided to the cardholder at the time. The acquirer received a fee from the restaurant in the form of a discount fee (an industry average of 1.2%).</w:t>
      </w:r>
      <w:hyperlink r:id="rId11" w:anchor="!/reader/cfeb7694-068b-4145-ae14-23cf45656650/page/?#RELOZB279818031" w:tgtFrame="_parent" w:history="1">
        <w:r w:rsidRPr="00886058">
          <w:rPr>
            <w:rFonts w:ascii="Arial" w:eastAsia="Times New Roman" w:hAnsi="Arial" w:cs="Arial"/>
            <w:b/>
            <w:bCs/>
            <w:color w:val="006298"/>
            <w:sz w:val="30"/>
            <w:szCs w:val="30"/>
            <w:u w:val="single"/>
            <w:bdr w:val="none" w:sz="0" w:space="0" w:color="auto" w:frame="1"/>
          </w:rPr>
          <w:t>*</w:t>
        </w:r>
      </w:hyperlink>
      <w:r w:rsidRPr="00886058">
        <w:rPr>
          <w:rFonts w:ascii="Arial" w:eastAsia="Times New Roman" w:hAnsi="Arial" w:cs="Arial"/>
          <w:color w:val="3F3F3F"/>
          <w:sz w:val="24"/>
          <w:szCs w:val="24"/>
        </w:rPr>
        <w:t xml:space="preserve"> Visa or MasterCard received their revenues for the ownership and management of the transaction-processing services and data management for the entire system. Their business models were based on increasing the number of times that a consumer used a card (“transaction-centric” models). An important distinction in this model was that neither Visa nor MasterCard made any loans to the consumer. </w:t>
      </w:r>
      <w:proofErr w:type="gramStart"/>
      <w:r w:rsidRPr="00886058">
        <w:rPr>
          <w:rFonts w:ascii="Arial" w:eastAsia="Times New Roman" w:hAnsi="Arial" w:cs="Arial"/>
          <w:color w:val="3F3F3F"/>
          <w:sz w:val="24"/>
          <w:szCs w:val="24"/>
        </w:rPr>
        <w:t>Thus</w:t>
      </w:r>
      <w:proofErr w:type="gramEnd"/>
      <w:r w:rsidRPr="00886058">
        <w:rPr>
          <w:rFonts w:ascii="Arial" w:eastAsia="Times New Roman" w:hAnsi="Arial" w:cs="Arial"/>
          <w:color w:val="3F3F3F"/>
          <w:sz w:val="24"/>
          <w:szCs w:val="24"/>
        </w:rPr>
        <w:t xml:space="preserve"> they received no interest on the loans made to consumers for their purchases.</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lastRenderedPageBreak/>
        <w:t xml:space="preserve">AXP’s business model, however, had it serving as both the issuer and the lender. </w:t>
      </w:r>
      <w:proofErr w:type="gramStart"/>
      <w:r w:rsidRPr="00886058">
        <w:rPr>
          <w:rFonts w:ascii="Arial" w:eastAsia="Times New Roman" w:hAnsi="Arial" w:cs="Arial"/>
          <w:color w:val="3F3F3F"/>
          <w:sz w:val="24"/>
          <w:szCs w:val="24"/>
        </w:rPr>
        <w:t>Thus</w:t>
      </w:r>
      <w:proofErr w:type="gramEnd"/>
      <w:r w:rsidRPr="00886058">
        <w:rPr>
          <w:rFonts w:ascii="Arial" w:eastAsia="Times New Roman" w:hAnsi="Arial" w:cs="Arial"/>
          <w:color w:val="3F3F3F"/>
          <w:sz w:val="24"/>
          <w:szCs w:val="24"/>
        </w:rPr>
        <w:t xml:space="preserve"> the analogous strategy was a “spend-centric” one. In this approach, AXP’s cardholders were provided their cards by the company’s own banking subsidiaries. AXP received its primary revenues from the discount fees charged to merchants (which were higher than the industry average: an estimated 2.4%).</w:t>
      </w:r>
      <w:hyperlink r:id="rId12" w:anchor="!/reader/cfeb7694-068b-4145-ae14-23cf45656650/page/?#YWNMRD373619589" w:tgtFrame="_parent" w:history="1">
        <w:r w:rsidRPr="00886058">
          <w:rPr>
            <w:rFonts w:ascii="Arial" w:eastAsia="Times New Roman" w:hAnsi="Arial" w:cs="Arial"/>
            <w:b/>
            <w:bCs/>
            <w:color w:val="006298"/>
            <w:sz w:val="30"/>
            <w:szCs w:val="30"/>
            <w:u w:val="single"/>
            <w:bdr w:val="none" w:sz="0" w:space="0" w:color="auto" w:frame="1"/>
          </w:rPr>
          <w:t>*</w:t>
        </w:r>
      </w:hyperlink>
      <w:r w:rsidRPr="00886058">
        <w:rPr>
          <w:rFonts w:ascii="Arial" w:eastAsia="Times New Roman" w:hAnsi="Arial" w:cs="Arial"/>
          <w:color w:val="3F3F3F"/>
          <w:sz w:val="24"/>
          <w:szCs w:val="24"/>
        </w:rPr>
        <w:t> The important distinction in AXP’s “closed-loop” network was that the company had the ability to leverage spending data about its customers to create more tailored rewards/offer programs for customers and to share high-level trends and business insights about spending patterns with merchants.</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An important performance metric in this model was that customers spent higher amounts per purchase. One study indicated that the average payment volume per transaction for AXP cards was around $150, while Visa’s was one-third that amount.</w:t>
      </w:r>
      <w:hyperlink r:id="rId13" w:anchor="!/reader/cfeb7694-068b-4145-ae14-23cf45656650/page/?#RODTQA094556117" w:tgtFrame="_parent" w:history="1">
        <w:r w:rsidRPr="00886058">
          <w:rPr>
            <w:rFonts w:ascii="Arial" w:eastAsia="Times New Roman" w:hAnsi="Arial" w:cs="Arial"/>
            <w:b/>
            <w:bCs/>
            <w:color w:val="006298"/>
            <w:sz w:val="30"/>
            <w:szCs w:val="30"/>
            <w:u w:val="single"/>
            <w:bdr w:val="none" w:sz="0" w:space="0" w:color="auto" w:frame="1"/>
          </w:rPr>
          <w:t>*</w:t>
        </w:r>
      </w:hyperlink>
      <w:r w:rsidRPr="00886058">
        <w:rPr>
          <w:rFonts w:ascii="Arial" w:eastAsia="Times New Roman" w:hAnsi="Arial" w:cs="Arial"/>
          <w:color w:val="3F3F3F"/>
          <w:sz w:val="24"/>
          <w:szCs w:val="24"/>
        </w:rPr>
        <w:t> This also made AXP members attractive to merchants seeking more affluent customers, and the company used internal data to match merchants with affluent customers that would likely buy their products. Since credit risks were borne internally by AXP’s banking subsidiaries, any interest on loans to members was another source of revenue that Visa and MasterCard did not receive.</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AXP’s business model was supported by a complimentary advertising campaign designed to attract affluent consumers who would tend to spend more per purchase. From 1987 to 1996, the AXP ad campaign tagline was “Membership has its privileges.”</w:t>
      </w:r>
      <w:hyperlink r:id="rId14" w:anchor="!/reader/cfeb7694-068b-4145-ae14-23cf45656650/page/?#OUXXGE001482560" w:tgtFrame="_parent" w:history="1">
        <w:r w:rsidRPr="00886058">
          <w:rPr>
            <w:rFonts w:ascii="Arial" w:eastAsia="Times New Roman" w:hAnsi="Arial" w:cs="Arial"/>
            <w:b/>
            <w:bCs/>
            <w:color w:val="006298"/>
            <w:sz w:val="30"/>
            <w:szCs w:val="30"/>
            <w:u w:val="single"/>
            <w:bdr w:val="none" w:sz="0" w:space="0" w:color="auto" w:frame="1"/>
          </w:rPr>
          <w:t>*</w:t>
        </w:r>
      </w:hyperlink>
      <w:r w:rsidRPr="00886058">
        <w:rPr>
          <w:rFonts w:ascii="Arial" w:eastAsia="Times New Roman" w:hAnsi="Arial" w:cs="Arial"/>
          <w:color w:val="3F3F3F"/>
          <w:sz w:val="24"/>
          <w:szCs w:val="24"/>
        </w:rPr>
        <w:t> Ads often featured images of cardmember celebrities, from Elvis Presley in 1958</w:t>
      </w:r>
      <w:hyperlink r:id="rId15" w:anchor="!/reader/cfeb7694-068b-4145-ae14-23cf45656650/page/?#TOQMLL984471295" w:tgtFrame="_parent" w:history="1">
        <w:r w:rsidRPr="00886058">
          <w:rPr>
            <w:rFonts w:ascii="Arial" w:eastAsia="Times New Roman" w:hAnsi="Arial" w:cs="Arial"/>
            <w:b/>
            <w:bCs/>
            <w:color w:val="006298"/>
            <w:sz w:val="30"/>
            <w:szCs w:val="30"/>
            <w:u w:val="single"/>
            <w:bdr w:val="none" w:sz="0" w:space="0" w:color="auto" w:frame="1"/>
          </w:rPr>
          <w:t>*</w:t>
        </w:r>
      </w:hyperlink>
      <w:r w:rsidRPr="00886058">
        <w:rPr>
          <w:rFonts w:ascii="Arial" w:eastAsia="Times New Roman" w:hAnsi="Arial" w:cs="Arial"/>
          <w:color w:val="3F3F3F"/>
          <w:sz w:val="24"/>
          <w:szCs w:val="24"/>
        </w:rPr>
        <w:t> to Robert DeNiro in 2004’s “My Life” campaign.</w:t>
      </w:r>
      <w:hyperlink r:id="rId16" w:anchor="!/reader/cfeb7694-068b-4145-ae14-23cf45656650/page/?#VUAICT690247563" w:tgtFrame="_parent" w:history="1">
        <w:r w:rsidRPr="00886058">
          <w:rPr>
            <w:rFonts w:ascii="Arial" w:eastAsia="Times New Roman" w:hAnsi="Arial" w:cs="Arial"/>
            <w:b/>
            <w:bCs/>
            <w:color w:val="006298"/>
            <w:sz w:val="30"/>
            <w:szCs w:val="30"/>
            <w:u w:val="single"/>
            <w:bdr w:val="none" w:sz="0" w:space="0" w:color="auto" w:frame="1"/>
          </w:rPr>
          <w:t>*</w:t>
        </w:r>
      </w:hyperlink>
      <w:r w:rsidRPr="00886058">
        <w:rPr>
          <w:rFonts w:ascii="Arial" w:eastAsia="Times New Roman" w:hAnsi="Arial" w:cs="Arial"/>
          <w:color w:val="3F3F3F"/>
          <w:sz w:val="24"/>
          <w:szCs w:val="24"/>
        </w:rPr>
        <w:t> The brand became widely associated with affluence and exclusivity, and its average annual spend per cardholder tended to be higher than that of AXP’s competitors. The average annual spend per card increased at a double-digit rate from 2009 to 2011, growing from $11,505 to $14,124.</w:t>
      </w:r>
      <w:hyperlink r:id="rId17" w:anchor="!/reader/cfeb7694-068b-4145-ae14-23cf45656650/page/?#FEOZYU279562893" w:tgtFrame="_parent" w:history="1">
        <w:r w:rsidRPr="00886058">
          <w:rPr>
            <w:rFonts w:ascii="Arial" w:eastAsia="Times New Roman" w:hAnsi="Arial" w:cs="Arial"/>
            <w:b/>
            <w:bCs/>
            <w:color w:val="006298"/>
            <w:sz w:val="30"/>
            <w:szCs w:val="30"/>
            <w:u w:val="single"/>
            <w:bdr w:val="none" w:sz="0" w:space="0" w:color="auto" w:frame="1"/>
          </w:rPr>
          <w:t>*</w:t>
        </w:r>
      </w:hyperlink>
      <w:r w:rsidRPr="00886058">
        <w:rPr>
          <w:rFonts w:ascii="Arial" w:eastAsia="Times New Roman" w:hAnsi="Arial" w:cs="Arial"/>
          <w:color w:val="3F3F3F"/>
          <w:sz w:val="24"/>
          <w:szCs w:val="24"/>
        </w:rPr>
        <w:t> Industry analysts were well aware of the differences in approach: “This contrast is evident in the numbers; Visa has more than 2 billion cards in use worldwide and processes more than 60 billion transactions per year, while AmEx has just 107 million cards in force and processes just 6 billion transactions per year. Despite this disparity, American Express has annual gross revenues of $33 billion while Visa earns just $14 billion per year.”</w:t>
      </w:r>
      <w:hyperlink r:id="rId18" w:anchor="!/reader/cfeb7694-068b-4145-ae14-23cf45656650/page/?#CEHOJW055758506" w:tgtFrame="_parent" w:history="1">
        <w:r w:rsidRPr="00886058">
          <w:rPr>
            <w:rFonts w:ascii="Arial" w:eastAsia="Times New Roman" w:hAnsi="Arial" w:cs="Arial"/>
            <w:b/>
            <w:bCs/>
            <w:color w:val="006298"/>
            <w:sz w:val="30"/>
            <w:szCs w:val="30"/>
            <w:u w:val="single"/>
            <w:bdr w:val="none" w:sz="0" w:space="0" w:color="auto" w:frame="1"/>
          </w:rPr>
          <w:t>*</w:t>
        </w:r>
      </w:hyperlink>
    </w:p>
    <w:p w:rsidR="00886058" w:rsidRPr="00886058" w:rsidRDefault="00886058" w:rsidP="00886058">
      <w:pPr>
        <w:spacing w:after="0" w:line="240" w:lineRule="auto"/>
        <w:outlineLvl w:val="0"/>
        <w:rPr>
          <w:rFonts w:ascii="Helvetica" w:eastAsia="Times New Roman" w:hAnsi="Helvetica" w:cs="Times New Roman"/>
          <w:b/>
          <w:bCs/>
          <w:color w:val="C1510A"/>
          <w:kern w:val="36"/>
          <w:sz w:val="48"/>
          <w:szCs w:val="48"/>
        </w:rPr>
      </w:pPr>
      <w:r w:rsidRPr="00886058">
        <w:rPr>
          <w:rFonts w:ascii="Helvetica" w:eastAsia="Times New Roman" w:hAnsi="Helvetica" w:cs="Times New Roman"/>
          <w:b/>
          <w:bCs/>
          <w:color w:val="C1510A"/>
          <w:kern w:val="36"/>
          <w:sz w:val="48"/>
          <w:szCs w:val="48"/>
        </w:rPr>
        <w:t>Experiencing Exclusion</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 xml:space="preserve">The EG team recognized that it needed to better understand the Bank 2.0 customer. Rather than simply relying on third-party research about financial inclusion, the team sought to engage directly with the experiences of underbanked people by trying to make payments without accessing credit or checking accounts. </w:t>
      </w:r>
      <w:proofErr w:type="spellStart"/>
      <w:r w:rsidRPr="00886058">
        <w:rPr>
          <w:rFonts w:ascii="Arial" w:eastAsia="Times New Roman" w:hAnsi="Arial" w:cs="Arial"/>
          <w:color w:val="3F3F3F"/>
          <w:sz w:val="24"/>
          <w:szCs w:val="24"/>
        </w:rPr>
        <w:t>Chokshi</w:t>
      </w:r>
      <w:proofErr w:type="spellEnd"/>
      <w:r w:rsidRPr="00886058">
        <w:rPr>
          <w:rFonts w:ascii="Arial" w:eastAsia="Times New Roman" w:hAnsi="Arial" w:cs="Arial"/>
          <w:color w:val="3F3F3F"/>
          <w:sz w:val="24"/>
          <w:szCs w:val="24"/>
        </w:rPr>
        <w:t xml:space="preserve">, for example, stood in line for at least half an hour before attempting to cash a personal check at a check casher. The standard check casher, he found, took between 2% and 5% of the face transactional value. This process, </w:t>
      </w:r>
      <w:proofErr w:type="spellStart"/>
      <w:r w:rsidRPr="00886058">
        <w:rPr>
          <w:rFonts w:ascii="Arial" w:eastAsia="Times New Roman" w:hAnsi="Arial" w:cs="Arial"/>
          <w:color w:val="3F3F3F"/>
          <w:sz w:val="24"/>
          <w:szCs w:val="24"/>
        </w:rPr>
        <w:t>Chokshi</w:t>
      </w:r>
      <w:proofErr w:type="spellEnd"/>
      <w:r w:rsidRPr="00886058">
        <w:rPr>
          <w:rFonts w:ascii="Arial" w:eastAsia="Times New Roman" w:hAnsi="Arial" w:cs="Arial"/>
          <w:color w:val="3F3F3F"/>
          <w:sz w:val="24"/>
          <w:szCs w:val="24"/>
        </w:rPr>
        <w:t xml:space="preserve"> discovered, was the first of several instances in which underbanked people lost both money and time relative to affluent customers. Once their checks were cashed—at a substantial price in fees—they had to stand in </w:t>
      </w:r>
      <w:r w:rsidRPr="00886058">
        <w:rPr>
          <w:rFonts w:ascii="Arial" w:eastAsia="Times New Roman" w:hAnsi="Arial" w:cs="Arial"/>
          <w:color w:val="3F3F3F"/>
          <w:sz w:val="24"/>
          <w:szCs w:val="24"/>
        </w:rPr>
        <w:lastRenderedPageBreak/>
        <w:t>another line to get a money order to pay their bill. Given the difficulty of finding time to stand in lines—</w:t>
      </w:r>
      <w:r w:rsidRPr="00886058">
        <w:rPr>
          <w:rFonts w:ascii="Arial" w:eastAsia="Times New Roman" w:hAnsi="Arial" w:cs="Arial"/>
          <w:i/>
          <w:iCs/>
          <w:color w:val="3F3F3F"/>
          <w:sz w:val="24"/>
          <w:szCs w:val="24"/>
        </w:rPr>
        <w:t>This is like a part-time job</w:t>
      </w:r>
      <w:r w:rsidRPr="00886058">
        <w:rPr>
          <w:rFonts w:ascii="Arial" w:eastAsia="Times New Roman" w:hAnsi="Arial" w:cs="Arial"/>
          <w:color w:val="3F3F3F"/>
          <w:sz w:val="24"/>
          <w:szCs w:val="24"/>
        </w:rPr>
        <w:t xml:space="preserve">, </w:t>
      </w:r>
      <w:proofErr w:type="spellStart"/>
      <w:r w:rsidRPr="00886058">
        <w:rPr>
          <w:rFonts w:ascii="Arial" w:eastAsia="Times New Roman" w:hAnsi="Arial" w:cs="Arial"/>
          <w:color w:val="3F3F3F"/>
          <w:sz w:val="24"/>
          <w:szCs w:val="24"/>
        </w:rPr>
        <w:t>Chokshi</w:t>
      </w:r>
      <w:proofErr w:type="spellEnd"/>
      <w:r w:rsidRPr="00886058">
        <w:rPr>
          <w:rFonts w:ascii="Arial" w:eastAsia="Times New Roman" w:hAnsi="Arial" w:cs="Arial"/>
          <w:color w:val="3F3F3F"/>
          <w:sz w:val="24"/>
          <w:szCs w:val="24"/>
        </w:rPr>
        <w:t xml:space="preserve"> thought—people often had to contend with late fees.</w:t>
      </w:r>
    </w:p>
    <w:p w:rsidR="00886058" w:rsidRPr="00886058" w:rsidRDefault="00886058" w:rsidP="00886058">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At a meeting, the team members shared with each other that at least 50% of Americans lived paycheck-to-paycheck. “Most have enough money to cover expenses,” one team member explained. “It’s a timing issue. It’s cash flow. The populations we’re talking about can’t [take on more debt]. They have no savings, they have no flex.” As a result, this segment often resorted to payday loans.</w:t>
      </w:r>
    </w:p>
    <w:p w:rsidR="00886058" w:rsidRDefault="00886058" w:rsidP="00553267">
      <w:pPr>
        <w:spacing w:before="100" w:beforeAutospacing="1" w:after="100" w:afterAutospacing="1" w:line="240" w:lineRule="auto"/>
        <w:rPr>
          <w:rFonts w:ascii="Arial" w:eastAsia="Times New Roman" w:hAnsi="Arial" w:cs="Arial"/>
          <w:color w:val="3F3F3F"/>
          <w:sz w:val="24"/>
          <w:szCs w:val="24"/>
        </w:rPr>
      </w:pPr>
      <w:r w:rsidRPr="00886058">
        <w:rPr>
          <w:rFonts w:ascii="Arial" w:eastAsia="Times New Roman" w:hAnsi="Arial" w:cs="Arial"/>
          <w:color w:val="3F3F3F"/>
          <w:sz w:val="24"/>
          <w:szCs w:val="24"/>
        </w:rPr>
        <w:t>The next task was to develop a specific go-to-market approach. The team had been thinking about an innovative product: a prepaid, reloadable card that could do many of the things one would normally have to go to a bank to do. The physical-branch-based system was increasingly unreliable—not only because of rising fees, but also because branches were closing across the country. In a meeting room, the team wrote on a board: “It’s expensive to be poor” and “2,300 bank branches closed last year, 95% in low-income areas. 70 million people in the United States are unbanked or underbanked; they pay 10% of their income on fees and interest to complete everyday transactions.” EG thought 10% was about the amount this portion of the population would spend on food. It troubled the team to think that people spent so much money just to change their income from one form to another (see </w:t>
      </w:r>
      <w:r w:rsidRPr="00886058">
        <w:rPr>
          <w:rFonts w:ascii="Arial" w:eastAsia="Times New Roman" w:hAnsi="Arial" w:cs="Arial"/>
          <w:b/>
          <w:bCs/>
          <w:color w:val="575757"/>
          <w:sz w:val="24"/>
          <w:szCs w:val="24"/>
        </w:rPr>
        <w:t>Exhibit 5</w:t>
      </w:r>
      <w:r w:rsidRPr="00886058">
        <w:rPr>
          <w:rFonts w:ascii="Arial" w:eastAsia="Times New Roman" w:hAnsi="Arial" w:cs="Arial"/>
          <w:color w:val="3F3F3F"/>
          <w:sz w:val="24"/>
          <w:szCs w:val="24"/>
        </w:rPr>
        <w:t> for key indicators of unbanked and underbanked consumers and markets). Through technology, EG believed it could reimagine what it meant to be part of the financial system. Based on this meeting, it was clear that AXP supported the idea.</w:t>
      </w:r>
    </w:p>
    <w:p w:rsidR="009605A7" w:rsidRDefault="009605A7" w:rsidP="009605A7">
      <w:pPr>
        <w:pStyle w:val="NormalWeb"/>
        <w:rPr>
          <w:rFonts w:ascii="Arial" w:hAnsi="Arial" w:cs="Arial"/>
          <w:color w:val="3F3F3F"/>
        </w:rPr>
      </w:pPr>
      <w:r>
        <w:rPr>
          <w:rFonts w:ascii="Arial" w:hAnsi="Arial" w:cs="Arial"/>
          <w:color w:val="3F3F3F"/>
        </w:rPr>
        <w:t>In 2010, EG had acquired Revolution Money, a payments company.</w:t>
      </w:r>
      <w:hyperlink r:id="rId19" w:anchor="!/reader/cfeb7694-068b-4145-ae14-23cf45656650/page/?#HGXASS475622558"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Revolution Money’s technology formed the foundation for a beta digital payments product, a prepaid card supported by an online platform.</w:t>
      </w:r>
      <w:hyperlink r:id="rId20" w:anchor="!/reader/cfeb7694-068b-4145-ae14-23cf45656650/page/?#UXANDH358238846"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This new product gave customers a way to conduct peer-to-peer transfers and to make payments online; it was reloadable via debit or credit card or checking account. As a beta digital payments product, it was not an outstanding success, but the team believed the platform itself still held plenty of potential.</w:t>
      </w:r>
    </w:p>
    <w:p w:rsidR="009605A7" w:rsidRDefault="009605A7" w:rsidP="009605A7">
      <w:pPr>
        <w:pStyle w:val="NormalWeb"/>
        <w:rPr>
          <w:rFonts w:ascii="Arial" w:hAnsi="Arial" w:cs="Arial"/>
          <w:color w:val="3F3F3F"/>
        </w:rPr>
      </w:pPr>
      <w:r>
        <w:rPr>
          <w:rFonts w:ascii="Arial" w:hAnsi="Arial" w:cs="Arial"/>
          <w:color w:val="3F3F3F"/>
        </w:rPr>
        <w:t>Wright wondered how much internal resistance he might encounter if he proposed a new product that relied on the same platform as the beta product. Though the initiative was the result of aggressive innovation, it did not see much traction, and skepticism rose in the company as a result. The digital payments initiative required investment that had far less certainty than AXP credit cards, for which the cost of acquisition and the typical consumer payback were already known. The EG team would be operating in an entirely new market that had uncertain metrics of performance.</w:t>
      </w:r>
    </w:p>
    <w:p w:rsidR="009605A7" w:rsidRDefault="009605A7" w:rsidP="009605A7">
      <w:pPr>
        <w:pStyle w:val="NormalWeb"/>
        <w:rPr>
          <w:rFonts w:ascii="Arial" w:hAnsi="Arial" w:cs="Arial"/>
          <w:color w:val="3F3F3F"/>
        </w:rPr>
      </w:pPr>
      <w:proofErr w:type="spellStart"/>
      <w:r>
        <w:rPr>
          <w:rFonts w:ascii="Arial" w:hAnsi="Arial" w:cs="Arial"/>
          <w:color w:val="3F3F3F"/>
        </w:rPr>
        <w:t>Chokshi</w:t>
      </w:r>
      <w:proofErr w:type="spellEnd"/>
      <w:r>
        <w:rPr>
          <w:rFonts w:ascii="Arial" w:hAnsi="Arial" w:cs="Arial"/>
          <w:color w:val="3F3F3F"/>
        </w:rPr>
        <w:t xml:space="preserve"> wondered if EG could use the acquired software platform and knowledge to evolve the AXP mission, moving from an iconic brand for the affluent to an inclusive brand with a much greater reach. “The less money you have, ironically, the more it costs you to manage and move it,” he’d written in his notes. AXP could change that by starting to serve a segment that was historically unable to access the company’s </w:t>
      </w:r>
      <w:r>
        <w:rPr>
          <w:rFonts w:ascii="Arial" w:hAnsi="Arial" w:cs="Arial"/>
          <w:color w:val="3F3F3F"/>
        </w:rPr>
        <w:lastRenderedPageBreak/>
        <w:t>products. The new concept, Bank 2.0, was a way to increase the consumer base and to develop a new kind of relationship. The more affluent, typical credit and charge customers had access to financial and payment services from a sizable range of institutions and formats. The ideal Bank 2.0 customer would conduct the bulk of his or her financial activity via the platform, including direct deposit of paychecks.</w:t>
      </w:r>
    </w:p>
    <w:p w:rsidR="009605A7" w:rsidRDefault="009605A7" w:rsidP="009605A7">
      <w:pPr>
        <w:pStyle w:val="NormalWeb"/>
        <w:rPr>
          <w:rFonts w:ascii="Arial" w:hAnsi="Arial" w:cs="Arial"/>
          <w:color w:val="3F3F3F"/>
        </w:rPr>
      </w:pPr>
      <w:r>
        <w:rPr>
          <w:rFonts w:ascii="Arial" w:hAnsi="Arial" w:cs="Arial"/>
          <w:color w:val="3F3F3F"/>
        </w:rPr>
        <w:t>Though AXP’s credit and charge businesses were strong, the company saw a chance for growth by offering an alternative to debit, checking, and cash. Global payments amounted to $34 trillion dollars each year; credit and charge constituted $6 trillion of that total.</w:t>
      </w:r>
      <w:hyperlink r:id="rId21" w:anchor="!/reader/cfeb7694-068b-4145-ae14-23cf45656650/page/?#ECKXCN722554386"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What remained was a market opportunity of $27 trillion in cash, check, and debit that AXP hadn’t accessed before. The advent of the Serve platform opened a door to that world. As one member of the EG team put it, “Every company wants to be a growth company […]. The only way to do that over time is to get new customers.”</w:t>
      </w:r>
      <w:hyperlink r:id="rId22" w:anchor="!/reader/cfeb7694-068b-4145-ae14-23cf45656650/page/?#RGULBQ372171376" w:tgtFrame="_parent" w:history="1">
        <w:r>
          <w:rPr>
            <w:rStyle w:val="Hyperlink"/>
            <w:rFonts w:ascii="Arial" w:hAnsi="Arial" w:cs="Arial"/>
            <w:b/>
            <w:bCs/>
            <w:color w:val="006298"/>
            <w:sz w:val="30"/>
            <w:szCs w:val="30"/>
            <w:bdr w:val="none" w:sz="0" w:space="0" w:color="auto" w:frame="1"/>
          </w:rPr>
          <w:t>*</w:t>
        </w:r>
      </w:hyperlink>
    </w:p>
    <w:p w:rsidR="009605A7" w:rsidRDefault="009605A7" w:rsidP="009605A7">
      <w:pPr>
        <w:pStyle w:val="NormalWeb"/>
        <w:rPr>
          <w:rFonts w:ascii="Arial" w:hAnsi="Arial" w:cs="Arial"/>
          <w:color w:val="3F3F3F"/>
        </w:rPr>
      </w:pPr>
      <w:r>
        <w:rPr>
          <w:rFonts w:ascii="Arial" w:hAnsi="Arial" w:cs="Arial"/>
          <w:color w:val="3F3F3F"/>
        </w:rPr>
        <w:t xml:space="preserve">Bank 2.0 was not actually a bank, but it would enable people to use their mobile phones in ways </w:t>
      </w:r>
      <w:proofErr w:type="gramStart"/>
      <w:r>
        <w:rPr>
          <w:rFonts w:ascii="Arial" w:hAnsi="Arial" w:cs="Arial"/>
          <w:color w:val="3F3F3F"/>
        </w:rPr>
        <w:t>similar to</w:t>
      </w:r>
      <w:proofErr w:type="gramEnd"/>
      <w:r>
        <w:rPr>
          <w:rFonts w:ascii="Arial" w:hAnsi="Arial" w:cs="Arial"/>
          <w:color w:val="3F3F3F"/>
        </w:rPr>
        <w:t xml:space="preserve"> how they would use a bank branch. Mobile banking transactions were considerably cheaper for financial services firms. William </w:t>
      </w:r>
      <w:proofErr w:type="spellStart"/>
      <w:r>
        <w:rPr>
          <w:rFonts w:ascii="Arial" w:hAnsi="Arial" w:cs="Arial"/>
          <w:color w:val="3F3F3F"/>
        </w:rPr>
        <w:t>Demchak</w:t>
      </w:r>
      <w:proofErr w:type="spellEnd"/>
      <w:r>
        <w:rPr>
          <w:rFonts w:ascii="Arial" w:hAnsi="Arial" w:cs="Arial"/>
          <w:color w:val="3F3F3F"/>
        </w:rPr>
        <w:t>, president of PNC Bank, estimated that banks saved $3.38 per transaction when a customer deposited a check by snapping a photo of it on a mobile phone versus depositing it at a teller window.</w:t>
      </w:r>
      <w:hyperlink r:id="rId23" w:anchor="!/reader/cfeb7694-068b-4145-ae14-23cf45656650/page/?#YOMFVL719063868"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The language for such a product was still coming into existence. Defining this category was a challenge AXP would have to face. Other companies had attempted to rebuild the banking sector and had met some challenges: how to achieve scale with the underbanked consumer, technological hurdles to truly enabling mobile and </w:t>
      </w:r>
      <w:proofErr w:type="spellStart"/>
      <w:r>
        <w:rPr>
          <w:rFonts w:ascii="Arial" w:hAnsi="Arial" w:cs="Arial"/>
          <w:color w:val="3F3F3F"/>
        </w:rPr>
        <w:t>nonbranch</w:t>
      </w:r>
      <w:proofErr w:type="spellEnd"/>
      <w:r>
        <w:rPr>
          <w:rFonts w:ascii="Arial" w:hAnsi="Arial" w:cs="Arial"/>
          <w:color w:val="3F3F3F"/>
        </w:rPr>
        <w:t xml:space="preserve"> delivery, new regulatory requirements of being a banking provider, and getting past the scrutiny of consumer interest groups that</w:t>
      </w:r>
      <w:r>
        <w:rPr>
          <w:rStyle w:val="page"/>
          <w:rFonts w:ascii="Arial" w:hAnsi="Arial" w:cs="Arial"/>
          <w:color w:val="3F3F3F"/>
        </w:rPr>
        <w:t> were notoriously skeptical of banks’ efforts involving moderate-income consumers. (In 2010, the Consumer Financial Protection Bureau [CFPB]was formed, in part, to demystify the agreements consumers made with providers of financial services).</w:t>
      </w:r>
      <w:hyperlink r:id="rId24" w:anchor="!/reader/cfeb7694-068b-4145-ae14-23cf45656650/page/?#UGGOVX313821685" w:tgtFrame="_parent" w:history="1">
        <w:r>
          <w:rPr>
            <w:rStyle w:val="Hyperlink"/>
            <w:rFonts w:ascii="Arial" w:hAnsi="Arial" w:cs="Arial"/>
            <w:b/>
            <w:bCs/>
            <w:color w:val="006298"/>
            <w:sz w:val="30"/>
            <w:szCs w:val="30"/>
            <w:bdr w:val="none" w:sz="0" w:space="0" w:color="auto" w:frame="1"/>
          </w:rPr>
          <w:t>*</w:t>
        </w:r>
      </w:hyperlink>
    </w:p>
    <w:p w:rsidR="00553267" w:rsidRDefault="00553267" w:rsidP="00553267">
      <w:pPr>
        <w:spacing w:before="100" w:beforeAutospacing="1" w:after="100" w:afterAutospacing="1" w:line="240" w:lineRule="auto"/>
      </w:pPr>
    </w:p>
    <w:sectPr w:rsidR="00553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762527"/>
    <w:multiLevelType w:val="hybridMultilevel"/>
    <w:tmpl w:val="44388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58"/>
    <w:rsid w:val="00553267"/>
    <w:rsid w:val="00672C5D"/>
    <w:rsid w:val="006C0EAE"/>
    <w:rsid w:val="00886058"/>
    <w:rsid w:val="009605A7"/>
    <w:rsid w:val="009D6AFA"/>
    <w:rsid w:val="00D52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42D8"/>
  <w15:chartTrackingRefBased/>
  <w15:docId w15:val="{70B95626-794F-4932-AD68-9630FE24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6058"/>
    <w:rPr>
      <w:color w:val="0000FF"/>
      <w:u w:val="single"/>
    </w:rPr>
  </w:style>
  <w:style w:type="paragraph" w:styleId="NormalWeb">
    <w:name w:val="Normal (Web)"/>
    <w:basedOn w:val="Normal"/>
    <w:uiPriority w:val="99"/>
    <w:semiHidden/>
    <w:unhideWhenUsed/>
    <w:rsid w:val="009605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
    <w:name w:val="page"/>
    <w:basedOn w:val="DefaultParagraphFont"/>
    <w:rsid w:val="009605A7"/>
  </w:style>
  <w:style w:type="paragraph" w:styleId="ListParagraph">
    <w:name w:val="List Paragraph"/>
    <w:basedOn w:val="Normal"/>
    <w:uiPriority w:val="34"/>
    <w:qFormat/>
    <w:rsid w:val="009D6AFA"/>
    <w:pPr>
      <w:spacing w:after="200" w:line="276" w:lineRule="auto"/>
      <w:ind w:left="720"/>
      <w:contextualSpacing/>
    </w:pPr>
    <w:rPr>
      <w:rFonts w:ascii="Times New Roman" w:eastAsia="Calibri" w:hAnsi="Times New Roman" w:cs="Times New Roman"/>
      <w:sz w:val="24"/>
      <w:szCs w:val="24"/>
    </w:rPr>
  </w:style>
  <w:style w:type="paragraph" w:styleId="NoSpacing">
    <w:name w:val="No Spacing"/>
    <w:uiPriority w:val="1"/>
    <w:qFormat/>
    <w:rsid w:val="009D6AFA"/>
    <w:pPr>
      <w:spacing w:after="0" w:line="240" w:lineRule="auto"/>
    </w:pPr>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9D6A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AFA"/>
    <w:rPr>
      <w:rFonts w:ascii="Segoe UI" w:hAnsi="Segoe UI" w:cs="Segoe UI"/>
      <w:sz w:val="18"/>
      <w:szCs w:val="18"/>
    </w:rPr>
  </w:style>
  <w:style w:type="character" w:styleId="UnresolvedMention">
    <w:name w:val="Unresolved Mention"/>
    <w:basedOn w:val="DefaultParagraphFont"/>
    <w:uiPriority w:val="99"/>
    <w:semiHidden/>
    <w:unhideWhenUsed/>
    <w:rsid w:val="009D6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346162">
      <w:bodyDiv w:val="1"/>
      <w:marLeft w:val="0"/>
      <w:marRight w:val="0"/>
      <w:marTop w:val="0"/>
      <w:marBottom w:val="0"/>
      <w:divBdr>
        <w:top w:val="none" w:sz="0" w:space="0" w:color="auto"/>
        <w:left w:val="none" w:sz="0" w:space="0" w:color="auto"/>
        <w:bottom w:val="none" w:sz="0" w:space="0" w:color="auto"/>
        <w:right w:val="none" w:sz="0" w:space="0" w:color="auto"/>
      </w:divBdr>
      <w:divsChild>
        <w:div w:id="1747192516">
          <w:marLeft w:val="0"/>
          <w:marRight w:val="0"/>
          <w:marTop w:val="150"/>
          <w:marBottom w:val="150"/>
          <w:divBdr>
            <w:top w:val="single" w:sz="48" w:space="8" w:color="F2F2F2"/>
            <w:left w:val="single" w:sz="48" w:space="8" w:color="F2F2F2"/>
            <w:bottom w:val="single" w:sz="48" w:space="11" w:color="F2F2F2"/>
            <w:right w:val="single" w:sz="48" w:space="8" w:color="F2F2F2"/>
          </w:divBdr>
        </w:div>
      </w:divsChild>
    </w:div>
    <w:div w:id="1202784530">
      <w:bodyDiv w:val="1"/>
      <w:marLeft w:val="0"/>
      <w:marRight w:val="0"/>
      <w:marTop w:val="0"/>
      <w:marBottom w:val="0"/>
      <w:divBdr>
        <w:top w:val="none" w:sz="0" w:space="0" w:color="auto"/>
        <w:left w:val="none" w:sz="0" w:space="0" w:color="auto"/>
        <w:bottom w:val="none" w:sz="0" w:space="0" w:color="auto"/>
        <w:right w:val="none" w:sz="0" w:space="0" w:color="auto"/>
      </w:divBdr>
    </w:div>
    <w:div w:id="1611357757">
      <w:bodyDiv w:val="1"/>
      <w:marLeft w:val="0"/>
      <w:marRight w:val="0"/>
      <w:marTop w:val="0"/>
      <w:marBottom w:val="0"/>
      <w:divBdr>
        <w:top w:val="none" w:sz="0" w:space="0" w:color="auto"/>
        <w:left w:val="none" w:sz="0" w:space="0" w:color="auto"/>
        <w:bottom w:val="none" w:sz="0" w:space="0" w:color="auto"/>
        <w:right w:val="none" w:sz="0" w:space="0" w:color="auto"/>
      </w:divBdr>
    </w:div>
    <w:div w:id="192191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s.cenreader.com/" TargetMode="External"/><Relationship Id="rId13" Type="http://schemas.openxmlformats.org/officeDocument/2006/relationships/hyperlink" Target="https://ebooks.cenreader.com/" TargetMode="External"/><Relationship Id="rId18" Type="http://schemas.openxmlformats.org/officeDocument/2006/relationships/hyperlink" Target="https://ebooks.cenreader.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books.cenreader.com/" TargetMode="External"/><Relationship Id="rId7" Type="http://schemas.openxmlformats.org/officeDocument/2006/relationships/hyperlink" Target="https://ebooks.cenreader.com/api/v1/reader/stream/cfeb7694-068b-4145-ae14-23cf45656650/3/content/bd_ch_15_sect_01.html" TargetMode="External"/><Relationship Id="rId12" Type="http://schemas.openxmlformats.org/officeDocument/2006/relationships/hyperlink" Target="https://ebooks.cenreader.com/" TargetMode="External"/><Relationship Id="rId17" Type="http://schemas.openxmlformats.org/officeDocument/2006/relationships/hyperlink" Target="https://ebooks.cenreader.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books.cenreader.com/" TargetMode="External"/><Relationship Id="rId20" Type="http://schemas.openxmlformats.org/officeDocument/2006/relationships/hyperlink" Target="https://ebooks.cenreader.com/"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ebooks.cenreader.com/" TargetMode="External"/><Relationship Id="rId24" Type="http://schemas.openxmlformats.org/officeDocument/2006/relationships/hyperlink" Target="https://ebooks.cenreader.com/" TargetMode="External"/><Relationship Id="rId5" Type="http://schemas.openxmlformats.org/officeDocument/2006/relationships/hyperlink" Target="https://expertprogrammanagement.com/2019/09/business-level-strategy-explained/" TargetMode="External"/><Relationship Id="rId15" Type="http://schemas.openxmlformats.org/officeDocument/2006/relationships/hyperlink" Target="https://ebooks.cenreader.com/" TargetMode="External"/><Relationship Id="rId23" Type="http://schemas.openxmlformats.org/officeDocument/2006/relationships/hyperlink" Target="https://ebooks.cenreader.com/" TargetMode="External"/><Relationship Id="rId10" Type="http://schemas.openxmlformats.org/officeDocument/2006/relationships/hyperlink" Target="https://ebooks.cenreader.com/" TargetMode="External"/><Relationship Id="rId19" Type="http://schemas.openxmlformats.org/officeDocument/2006/relationships/hyperlink" Target="https://ebooks.cenreader.com/" TargetMode="External"/><Relationship Id="rId4" Type="http://schemas.openxmlformats.org/officeDocument/2006/relationships/webSettings" Target="webSettings.xml"/><Relationship Id="rId9" Type="http://schemas.openxmlformats.org/officeDocument/2006/relationships/hyperlink" Target="https://ebooks.cenreader.com/" TargetMode="External"/><Relationship Id="rId14" Type="http://schemas.openxmlformats.org/officeDocument/2006/relationships/hyperlink" Target="https://ebooks.cenreader.com/" TargetMode="External"/><Relationship Id="rId22" Type="http://schemas.openxmlformats.org/officeDocument/2006/relationships/hyperlink" Target="https://ebooks.cenread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2398</Words>
  <Characters>13669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M.D. Anderson Cancer Center</Company>
  <LinksUpToDate>false</LinksUpToDate>
  <CharactersWithSpaces>16035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Manuel-Byrd,Rita L</dc:creator>
  <cp:keywords/>
  <dc:description/>
  <cp:lastModifiedBy>Manuel-Byrd,Rita L</cp:lastModifiedBy>
  <cp:revision>3</cp:revision>
  <dcterms:created xsi:type="dcterms:W3CDTF">2020-09-11T18:09:00Z</dcterms:created>
  <dcterms:modified xsi:type="dcterms:W3CDTF">2020-09-14T19:56:00Z</dcterms:modified>
</cp:coreProperties>
</file>