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291FB554" w14:textId="5A474B11" w:rsidR="00D00FF6" w:rsidRPr="00D00FF6" w:rsidRDefault="00566FA1" w:rsidP="00D00FF6">
      <w:pPr>
        <w:spacing w:line="480" w:lineRule="auto"/>
        <w:ind w:firstLine="720"/>
        <w:jc w:val="center"/>
      </w:pPr>
      <w:r>
        <w:t>Analyzing Financial Statements</w:t>
      </w:r>
    </w:p>
    <w:p w14:paraId="6CCB5F0E" w14:textId="6C63520C" w:rsidR="00DB3A96" w:rsidRDefault="00124E96" w:rsidP="00DB3A96">
      <w:pPr>
        <w:spacing w:line="480" w:lineRule="auto"/>
        <w:ind w:firstLine="720"/>
        <w:jc w:val="center"/>
      </w:pPr>
      <w:r>
        <w:t>Student’s Name</w:t>
      </w:r>
    </w:p>
    <w:p w14:paraId="6262339F" w14:textId="76831DC4" w:rsidR="00DB3A96" w:rsidRDefault="00124E96" w:rsidP="00DB3A96">
      <w:pPr>
        <w:spacing w:line="480" w:lineRule="auto"/>
        <w:ind w:firstLine="720"/>
        <w:jc w:val="center"/>
      </w:pPr>
      <w:r>
        <w:t xml:space="preserve">Institution </w:t>
      </w:r>
      <w:r w:rsidR="000C5964">
        <w:t>Affiliation</w:t>
      </w:r>
      <w:r>
        <w:t xml:space="preserve"> </w:t>
      </w:r>
    </w:p>
    <w:p w14:paraId="70A66C29" w14:textId="77777777" w:rsidR="00DB3A96" w:rsidRDefault="00DB3A96" w:rsidP="00DB3A96">
      <w:pPr>
        <w:spacing w:line="480" w:lineRule="auto"/>
        <w:ind w:firstLine="720"/>
        <w:jc w:val="center"/>
      </w:pPr>
    </w:p>
    <w:p w14:paraId="3B905F86" w14:textId="77777777" w:rsidR="00DB3A96" w:rsidRDefault="00DB3A96" w:rsidP="00DB3A96">
      <w:pPr>
        <w:spacing w:line="480" w:lineRule="auto"/>
        <w:ind w:firstLine="720"/>
        <w:jc w:val="center"/>
      </w:pPr>
    </w:p>
    <w:p w14:paraId="2CAD709F" w14:textId="77777777" w:rsidR="00DB3A96" w:rsidRDefault="00DB3A96" w:rsidP="00DB3A96">
      <w:pPr>
        <w:spacing w:line="480" w:lineRule="auto"/>
        <w:ind w:firstLine="720"/>
        <w:jc w:val="center"/>
      </w:pPr>
    </w:p>
    <w:p w14:paraId="14C64E8B" w14:textId="77777777" w:rsidR="00DB3A96" w:rsidRDefault="00DB3A96" w:rsidP="00DB3A96">
      <w:pPr>
        <w:spacing w:line="480" w:lineRule="auto"/>
        <w:ind w:firstLine="720"/>
        <w:jc w:val="center"/>
      </w:pPr>
    </w:p>
    <w:p w14:paraId="14FC2CFC" w14:textId="77777777" w:rsidR="00DB3A96" w:rsidRDefault="00DB3A96" w:rsidP="00DB3A96">
      <w:pPr>
        <w:spacing w:line="480" w:lineRule="auto"/>
      </w:pPr>
    </w:p>
    <w:p w14:paraId="29566F47" w14:textId="77777777" w:rsidR="00DB3A96" w:rsidRDefault="00DB3A96" w:rsidP="00DB3A96">
      <w:pPr>
        <w:spacing w:line="480" w:lineRule="auto"/>
        <w:ind w:firstLine="720"/>
        <w:jc w:val="center"/>
      </w:pPr>
    </w:p>
    <w:p w14:paraId="73F7C551" w14:textId="77777777" w:rsidR="00DB3A96" w:rsidRDefault="00DB3A96" w:rsidP="00DB3A96">
      <w:pPr>
        <w:spacing w:line="480" w:lineRule="auto"/>
        <w:ind w:firstLine="720"/>
        <w:jc w:val="center"/>
      </w:pPr>
    </w:p>
    <w:p w14:paraId="03599C0E" w14:textId="77777777" w:rsidR="00DB3A96" w:rsidRDefault="00DB3A96" w:rsidP="00DB3A96">
      <w:pPr>
        <w:spacing w:line="480" w:lineRule="auto"/>
        <w:ind w:firstLine="720"/>
        <w:jc w:val="center"/>
      </w:pPr>
    </w:p>
    <w:p w14:paraId="7615EC4F" w14:textId="77777777" w:rsidR="00DB3A96" w:rsidRDefault="00DB3A96" w:rsidP="00DB3A96">
      <w:pPr>
        <w:spacing w:line="480" w:lineRule="auto"/>
        <w:ind w:firstLine="720"/>
        <w:jc w:val="center"/>
      </w:pPr>
    </w:p>
    <w:p w14:paraId="12656F27" w14:textId="77777777" w:rsidR="00566FA1" w:rsidRPr="00D00FF6" w:rsidRDefault="00566FA1" w:rsidP="00566FA1">
      <w:pPr>
        <w:spacing w:line="480" w:lineRule="auto"/>
        <w:ind w:firstLine="720"/>
        <w:jc w:val="center"/>
      </w:pPr>
      <w:r>
        <w:t>Analyzing Financial Statements</w:t>
      </w:r>
    </w:p>
    <w:p w14:paraId="06A1DA46" w14:textId="77777777" w:rsidR="003107F1" w:rsidRPr="003107F1" w:rsidRDefault="003107F1" w:rsidP="003107F1">
      <w:pPr>
        <w:spacing w:line="480" w:lineRule="auto"/>
        <w:ind w:firstLine="720"/>
        <w:rPr>
          <w:rFonts w:eastAsia="Times New Roman"/>
        </w:rPr>
      </w:pPr>
      <w:r w:rsidRPr="003107F1">
        <w:rPr>
          <w:rFonts w:eastAsia="Times New Roman"/>
        </w:rPr>
        <w:t>Return on Assets, ROA, refers to the ratio of profitability that determines a company’s utilization of its assets to make a profit. Return on Assets can be used to determine the actual cause of high or low profits (</w:t>
      </w:r>
      <w:proofErr w:type="spellStart"/>
      <w:r w:rsidRPr="003107F1">
        <w:rPr>
          <w:rFonts w:eastAsia="Times New Roman"/>
        </w:rPr>
        <w:t>Hense</w:t>
      </w:r>
      <w:proofErr w:type="spellEnd"/>
      <w:r w:rsidRPr="003107F1">
        <w:rPr>
          <w:rFonts w:eastAsia="Times New Roman"/>
        </w:rPr>
        <w:t>, 2016). For instance, a company would have a high Return on Assets because of a high total assets turnover while the assets turnover is due to exceedingly depreciated fixed assets. On the other hand, a company’s high ROA may have been caused by high net profit margins (</w:t>
      </w:r>
      <w:proofErr w:type="spellStart"/>
      <w:r w:rsidRPr="003107F1">
        <w:rPr>
          <w:rFonts w:eastAsia="Times New Roman"/>
        </w:rPr>
        <w:t>Sandell</w:t>
      </w:r>
      <w:proofErr w:type="spellEnd"/>
      <w:r w:rsidRPr="003107F1">
        <w:rPr>
          <w:rFonts w:eastAsia="Times New Roman"/>
        </w:rPr>
        <w:t xml:space="preserve"> &amp; </w:t>
      </w:r>
      <w:proofErr w:type="spellStart"/>
      <w:r w:rsidRPr="003107F1">
        <w:rPr>
          <w:rFonts w:eastAsia="Times New Roman"/>
        </w:rPr>
        <w:t>Svensson</w:t>
      </w:r>
      <w:proofErr w:type="spellEnd"/>
      <w:r w:rsidRPr="003107F1">
        <w:rPr>
          <w:rFonts w:eastAsia="Times New Roman"/>
        </w:rPr>
        <w:t>, 2016). This would call for care in determining whether the high ROA was due to a short-lasting spike in the profits.</w:t>
      </w:r>
    </w:p>
    <w:p w14:paraId="0A3F5712" w14:textId="77777777" w:rsidR="003107F1" w:rsidRPr="003107F1" w:rsidRDefault="003107F1" w:rsidP="003107F1">
      <w:pPr>
        <w:spacing w:line="480" w:lineRule="auto"/>
        <w:ind w:firstLine="720"/>
        <w:rPr>
          <w:rFonts w:eastAsia="Times New Roman"/>
        </w:rPr>
      </w:pPr>
      <w:r w:rsidRPr="003107F1">
        <w:rPr>
          <w:rFonts w:eastAsia="Times New Roman"/>
        </w:rPr>
        <w:t xml:space="preserve"> Return on Equity, ROE, refers to the ratio of a company’s net income to its average shareholders’ equity within a given financial period (</w:t>
      </w:r>
      <w:proofErr w:type="spellStart"/>
      <w:r w:rsidRPr="003107F1">
        <w:rPr>
          <w:rFonts w:eastAsia="Times New Roman"/>
        </w:rPr>
        <w:t>Hense</w:t>
      </w:r>
      <w:proofErr w:type="spellEnd"/>
      <w:r w:rsidRPr="003107F1">
        <w:rPr>
          <w:rFonts w:eastAsia="Times New Roman"/>
        </w:rPr>
        <w:t>, 2016). When a company’s ROE values are high, it is a clear indication that it is capable of efficiently generating income, given new investments. For an investor, comparing ROE is essential as well as carefully considering the ROE trend. However, ROE can be manipulated by management (</w:t>
      </w:r>
      <w:proofErr w:type="spellStart"/>
      <w:r w:rsidRPr="003107F1">
        <w:rPr>
          <w:rFonts w:eastAsia="Times New Roman"/>
        </w:rPr>
        <w:t>Sandell</w:t>
      </w:r>
      <w:proofErr w:type="spellEnd"/>
      <w:r w:rsidRPr="003107F1">
        <w:rPr>
          <w:rFonts w:eastAsia="Times New Roman"/>
        </w:rPr>
        <w:t xml:space="preserve"> &amp; </w:t>
      </w:r>
      <w:proofErr w:type="spellStart"/>
      <w:r w:rsidRPr="003107F1">
        <w:rPr>
          <w:rFonts w:eastAsia="Times New Roman"/>
        </w:rPr>
        <w:t>Svensson</w:t>
      </w:r>
      <w:proofErr w:type="spellEnd"/>
      <w:r w:rsidRPr="003107F1">
        <w:rPr>
          <w:rFonts w:eastAsia="Times New Roman"/>
        </w:rPr>
        <w:t>, 2016). For instance, debt financing can be applied to decrease share capital hence increasing ROE while the company’s income remains the same.</w:t>
      </w:r>
    </w:p>
    <w:p w14:paraId="06A2271E" w14:textId="3AFC0463" w:rsidR="00501975" w:rsidRDefault="003107F1" w:rsidP="003107F1">
      <w:pPr>
        <w:spacing w:line="480" w:lineRule="auto"/>
        <w:ind w:firstLine="720"/>
        <w:rPr>
          <w:rFonts w:eastAsia="Times New Roman"/>
        </w:rPr>
      </w:pPr>
      <w:r w:rsidRPr="003107F1">
        <w:rPr>
          <w:rFonts w:eastAsia="Times New Roman"/>
        </w:rPr>
        <w:t xml:space="preserve">Financial leverage refers to the purchase of more assets by acquiring loans and other kinds of debts. Financial leverage has several advantages, including enhanced earnings and </w:t>
      </w:r>
      <w:proofErr w:type="spellStart"/>
      <w:r w:rsidRPr="003107F1">
        <w:rPr>
          <w:rFonts w:eastAsia="Times New Roman"/>
        </w:rPr>
        <w:t>favourable</w:t>
      </w:r>
      <w:proofErr w:type="spellEnd"/>
      <w:r w:rsidRPr="003107F1">
        <w:rPr>
          <w:rFonts w:eastAsia="Times New Roman"/>
        </w:rPr>
        <w:t xml:space="preserve"> tax treatment. However, where the rates of interest increase or the return on assets reduce, a business may not earn adequate returns to compensate for the interest expense (</w:t>
      </w:r>
      <w:proofErr w:type="spellStart"/>
      <w:r w:rsidRPr="003107F1">
        <w:rPr>
          <w:rFonts w:eastAsia="Times New Roman"/>
        </w:rPr>
        <w:t>Sandell</w:t>
      </w:r>
      <w:proofErr w:type="spellEnd"/>
      <w:r w:rsidRPr="003107F1">
        <w:rPr>
          <w:rFonts w:eastAsia="Times New Roman"/>
        </w:rPr>
        <w:t xml:space="preserve"> &amp; </w:t>
      </w:r>
      <w:proofErr w:type="spellStart"/>
      <w:r w:rsidRPr="003107F1">
        <w:rPr>
          <w:rFonts w:eastAsia="Times New Roman"/>
        </w:rPr>
        <w:t>Svensson</w:t>
      </w:r>
      <w:proofErr w:type="spellEnd"/>
      <w:r w:rsidRPr="003107F1">
        <w:rPr>
          <w:rFonts w:eastAsia="Times New Roman"/>
        </w:rPr>
        <w:t xml:space="preserve">, 2016). Moreover, due to disproportionate profits, brought about by large leverage </w:t>
      </w:r>
      <w:r w:rsidRPr="003107F1">
        <w:rPr>
          <w:rFonts w:eastAsia="Times New Roman"/>
        </w:rPr>
        <w:lastRenderedPageBreak/>
        <w:t>amounts, a company’s stock price may be rendered unstable. Financial leverage also increases the chances of bankruptcy by time, especially in a cyclic business.</w:t>
      </w:r>
      <w:bookmarkStart w:id="0" w:name="_GoBack"/>
      <w:bookmarkEnd w:id="0"/>
    </w:p>
    <w:p w14:paraId="15C36146" w14:textId="77777777" w:rsidR="00501975" w:rsidRDefault="00501975" w:rsidP="00501975">
      <w:pPr>
        <w:spacing w:line="480" w:lineRule="auto"/>
        <w:ind w:firstLine="720"/>
        <w:rPr>
          <w:rFonts w:eastAsia="Times New Roman"/>
        </w:rPr>
      </w:pPr>
    </w:p>
    <w:p w14:paraId="037776D3" w14:textId="77777777" w:rsidR="00501975" w:rsidRDefault="00501975" w:rsidP="00501975">
      <w:pPr>
        <w:spacing w:line="480" w:lineRule="auto"/>
        <w:ind w:firstLine="720"/>
        <w:rPr>
          <w:rFonts w:eastAsia="Times New Roman"/>
        </w:rPr>
      </w:pPr>
    </w:p>
    <w:p w14:paraId="19163F91" w14:textId="77777777" w:rsidR="00501975" w:rsidRDefault="00501975" w:rsidP="00501975">
      <w:pPr>
        <w:spacing w:line="480" w:lineRule="auto"/>
        <w:ind w:firstLine="720"/>
        <w:rPr>
          <w:rFonts w:eastAsia="Times New Roman"/>
        </w:rPr>
      </w:pPr>
    </w:p>
    <w:p w14:paraId="05915906" w14:textId="77777777" w:rsidR="00501975" w:rsidRDefault="00501975" w:rsidP="00501975">
      <w:pPr>
        <w:spacing w:line="480" w:lineRule="auto"/>
        <w:ind w:firstLine="720"/>
        <w:rPr>
          <w:rFonts w:eastAsia="Times New Roman"/>
        </w:rPr>
      </w:pPr>
    </w:p>
    <w:p w14:paraId="3410E943" w14:textId="77777777" w:rsidR="00501975" w:rsidRDefault="00501975" w:rsidP="00501975">
      <w:pPr>
        <w:spacing w:line="480" w:lineRule="auto"/>
        <w:ind w:firstLine="720"/>
        <w:rPr>
          <w:rFonts w:eastAsia="Times New Roman"/>
        </w:rPr>
      </w:pPr>
    </w:p>
    <w:p w14:paraId="07D17E05" w14:textId="77777777" w:rsidR="00501975" w:rsidRDefault="00501975" w:rsidP="00501975">
      <w:pPr>
        <w:spacing w:line="480" w:lineRule="auto"/>
        <w:ind w:firstLine="720"/>
        <w:rPr>
          <w:rFonts w:eastAsia="Times New Roman"/>
        </w:rPr>
      </w:pPr>
    </w:p>
    <w:p w14:paraId="0ADC2EA8" w14:textId="77777777" w:rsidR="00501975" w:rsidRDefault="00501975" w:rsidP="00501975">
      <w:pPr>
        <w:spacing w:line="480" w:lineRule="auto"/>
        <w:ind w:firstLine="720"/>
        <w:rPr>
          <w:rFonts w:eastAsia="Times New Roman"/>
        </w:rPr>
      </w:pPr>
    </w:p>
    <w:p w14:paraId="3BF69648" w14:textId="77777777" w:rsidR="00501975" w:rsidRDefault="00501975" w:rsidP="00501975">
      <w:pPr>
        <w:spacing w:line="480" w:lineRule="auto"/>
        <w:ind w:firstLine="720"/>
        <w:rPr>
          <w:rFonts w:eastAsia="Times New Roman"/>
        </w:rPr>
      </w:pPr>
    </w:p>
    <w:p w14:paraId="2D22A692" w14:textId="77777777" w:rsidR="00340863" w:rsidRDefault="00340863" w:rsidP="00501975">
      <w:pPr>
        <w:spacing w:line="480" w:lineRule="auto"/>
        <w:ind w:firstLine="720"/>
        <w:rPr>
          <w:rFonts w:eastAsia="Times New Roman"/>
        </w:rPr>
      </w:pPr>
    </w:p>
    <w:p w14:paraId="255CEA89" w14:textId="77777777" w:rsidR="00340863" w:rsidRDefault="00340863" w:rsidP="00501975">
      <w:pPr>
        <w:spacing w:line="480" w:lineRule="auto"/>
        <w:ind w:firstLine="720"/>
        <w:rPr>
          <w:rFonts w:eastAsia="Times New Roman"/>
        </w:rPr>
      </w:pPr>
    </w:p>
    <w:p w14:paraId="789E45C9" w14:textId="77777777" w:rsidR="00340863" w:rsidRDefault="00340863" w:rsidP="00501975">
      <w:pPr>
        <w:spacing w:line="480" w:lineRule="auto"/>
        <w:ind w:firstLine="720"/>
        <w:rPr>
          <w:rFonts w:eastAsia="Times New Roman"/>
        </w:rPr>
      </w:pPr>
    </w:p>
    <w:p w14:paraId="6AE81CD0" w14:textId="77777777" w:rsidR="00340863" w:rsidRDefault="00340863" w:rsidP="00501975">
      <w:pPr>
        <w:spacing w:line="480" w:lineRule="auto"/>
        <w:ind w:firstLine="720"/>
        <w:rPr>
          <w:rFonts w:eastAsia="Times New Roman"/>
        </w:rPr>
      </w:pPr>
    </w:p>
    <w:p w14:paraId="65A64DDF" w14:textId="77777777" w:rsidR="00340863" w:rsidRDefault="00340863" w:rsidP="00501975">
      <w:pPr>
        <w:spacing w:line="480" w:lineRule="auto"/>
        <w:ind w:firstLine="720"/>
        <w:rPr>
          <w:rFonts w:eastAsia="Times New Roman"/>
        </w:rPr>
      </w:pPr>
    </w:p>
    <w:p w14:paraId="38065D06" w14:textId="77777777" w:rsidR="00340863" w:rsidRDefault="00340863" w:rsidP="00501975">
      <w:pPr>
        <w:spacing w:line="480" w:lineRule="auto"/>
        <w:ind w:firstLine="720"/>
        <w:rPr>
          <w:rFonts w:eastAsia="Times New Roman"/>
        </w:rPr>
      </w:pPr>
    </w:p>
    <w:p w14:paraId="672B7011" w14:textId="77777777" w:rsidR="00340863" w:rsidRDefault="00340863" w:rsidP="00501975">
      <w:pPr>
        <w:spacing w:line="480" w:lineRule="auto"/>
        <w:ind w:firstLine="720"/>
        <w:rPr>
          <w:rFonts w:eastAsia="Times New Roman"/>
        </w:rPr>
      </w:pPr>
    </w:p>
    <w:p w14:paraId="7DF02B48" w14:textId="77777777" w:rsidR="00501975" w:rsidRDefault="00501975" w:rsidP="00501975">
      <w:pPr>
        <w:spacing w:line="480" w:lineRule="auto"/>
        <w:ind w:firstLine="720"/>
        <w:rPr>
          <w:rFonts w:eastAsia="Times New Roman"/>
        </w:rPr>
      </w:pPr>
    </w:p>
    <w:p w14:paraId="01B97547" w14:textId="77777777" w:rsidR="00501975" w:rsidRDefault="00501975" w:rsidP="00501975">
      <w:pPr>
        <w:spacing w:line="480" w:lineRule="auto"/>
        <w:ind w:firstLine="720"/>
        <w:jc w:val="center"/>
        <w:rPr>
          <w:rFonts w:eastAsia="Times New Roman"/>
        </w:rPr>
      </w:pPr>
      <w:r>
        <w:rPr>
          <w:rFonts w:eastAsia="Times New Roman"/>
        </w:rPr>
        <w:t>References</w:t>
      </w:r>
    </w:p>
    <w:p w14:paraId="07DE875F" w14:textId="77777777" w:rsidR="00340863" w:rsidRPr="00340863" w:rsidRDefault="00340863" w:rsidP="00340863">
      <w:pPr>
        <w:spacing w:line="480" w:lineRule="auto"/>
        <w:ind w:left="720" w:hanging="720"/>
      </w:pPr>
      <w:proofErr w:type="spellStart"/>
      <w:r w:rsidRPr="00340863">
        <w:lastRenderedPageBreak/>
        <w:t>Sandell</w:t>
      </w:r>
      <w:proofErr w:type="spellEnd"/>
      <w:r w:rsidRPr="00340863">
        <w:t xml:space="preserve">, N., </w:t>
      </w:r>
      <w:proofErr w:type="spellStart"/>
      <w:r w:rsidRPr="00340863">
        <w:t>Svensson</w:t>
      </w:r>
      <w:proofErr w:type="spellEnd"/>
      <w:r w:rsidRPr="00340863">
        <w:t>, P. (2016). The Language of Failure: The Use of Accounts in Financial Reports. International Journal of Business Communication</w:t>
      </w:r>
      <w:proofErr w:type="gramStart"/>
      <w:r w:rsidRPr="00340863">
        <w:t>,  51</w:t>
      </w:r>
      <w:proofErr w:type="gramEnd"/>
      <w:r w:rsidRPr="00340863">
        <w:t xml:space="preserve"> (1), 5-26.</w:t>
      </w:r>
    </w:p>
    <w:p w14:paraId="7EFBF750" w14:textId="58BBA89B" w:rsidR="00340863" w:rsidRPr="00340863" w:rsidRDefault="00340863" w:rsidP="00340863">
      <w:pPr>
        <w:spacing w:line="480" w:lineRule="auto"/>
        <w:ind w:left="720" w:hanging="720"/>
      </w:pPr>
      <w:proofErr w:type="spellStart"/>
      <w:r w:rsidRPr="00340863">
        <w:t>Hense</w:t>
      </w:r>
      <w:proofErr w:type="spellEnd"/>
      <w:r w:rsidRPr="00340863">
        <w:t>, P.A., (2016)</w:t>
      </w:r>
      <w:r>
        <w:t>.</w:t>
      </w:r>
      <w:r w:rsidRPr="00340863">
        <w:t xml:space="preserve"> Analyzing your company financials: Don’t kill the messenger. Retrieved </w:t>
      </w:r>
      <w:proofErr w:type="gramStart"/>
      <w:r w:rsidRPr="00340863">
        <w:t xml:space="preserve">from  </w:t>
      </w:r>
      <w:proofErr w:type="gramEnd"/>
      <w:hyperlink r:id="rId7" w:history="1">
        <w:r w:rsidRPr="00340863">
          <w:rPr>
            <w:rStyle w:val="Hyperlink"/>
          </w:rPr>
          <w:t>http://www.grbj.com/articles/84607-analyzing-your-company-financials-dont-kill-the-messenger</w:t>
        </w:r>
      </w:hyperlink>
    </w:p>
    <w:p w14:paraId="62EB7793" w14:textId="77777777" w:rsidR="00340863" w:rsidRPr="00340863" w:rsidRDefault="00340863" w:rsidP="00340863">
      <w:pPr>
        <w:spacing w:line="480" w:lineRule="auto"/>
        <w:ind w:left="720" w:hanging="720"/>
      </w:pPr>
      <w:hyperlink r:id="rId8" w:history="1">
        <w:r w:rsidRPr="00340863">
          <w:rPr>
            <w:rStyle w:val="Hyperlink"/>
          </w:rPr>
          <w:t>https://courses.lumenlearning.com/boundless-finance/chapter/standardizing-financial-statements/</w:t>
        </w:r>
      </w:hyperlink>
    </w:p>
    <w:p w14:paraId="7E57296D" w14:textId="77777777" w:rsidR="00340863" w:rsidRPr="00340863" w:rsidRDefault="00340863" w:rsidP="00340863">
      <w:pPr>
        <w:spacing w:line="480" w:lineRule="auto"/>
        <w:ind w:left="720" w:hanging="720"/>
      </w:pPr>
      <w:hyperlink r:id="rId9" w:history="1">
        <w:r w:rsidRPr="00340863">
          <w:rPr>
            <w:rStyle w:val="Hyperlink"/>
          </w:rPr>
          <w:t>https://courses.lumenlearning.com/boundless-finance/chapter/the-role-of-financial-forecasting-in-planning/</w:t>
        </w:r>
      </w:hyperlink>
    </w:p>
    <w:p w14:paraId="70BE4C75" w14:textId="77777777" w:rsidR="00340863" w:rsidRPr="00340863" w:rsidRDefault="00340863" w:rsidP="00340863">
      <w:pPr>
        <w:spacing w:line="480" w:lineRule="auto"/>
        <w:ind w:left="720" w:hanging="720"/>
      </w:pPr>
      <w:hyperlink r:id="rId10" w:history="1">
        <w:r w:rsidRPr="00340863">
          <w:rPr>
            <w:rStyle w:val="Hyperlink"/>
          </w:rPr>
          <w:t>http://www.investinganswers.com/financial-dictionary/financial-statement-analysis/net-profit-margin-2233</w:t>
        </w:r>
      </w:hyperlink>
    </w:p>
    <w:p w14:paraId="4F881C50" w14:textId="77777777" w:rsidR="00340863" w:rsidRPr="00340863" w:rsidRDefault="00340863" w:rsidP="00340863">
      <w:pPr>
        <w:spacing w:line="480" w:lineRule="auto"/>
        <w:ind w:left="720" w:hanging="720"/>
      </w:pPr>
      <w:hyperlink r:id="rId11" w:history="1">
        <w:r w:rsidRPr="00340863">
          <w:rPr>
            <w:rStyle w:val="Hyperlink"/>
          </w:rPr>
          <w:t>http://accountingexplained.com/financial/ratios/net-profit-margin</w:t>
        </w:r>
      </w:hyperlink>
    </w:p>
    <w:p w14:paraId="33B313FC" w14:textId="77777777" w:rsidR="00340863" w:rsidRPr="00340863" w:rsidRDefault="00340863" w:rsidP="00340863">
      <w:pPr>
        <w:spacing w:line="480" w:lineRule="auto"/>
        <w:ind w:left="720" w:hanging="720"/>
      </w:pPr>
      <w:hyperlink r:id="rId12" w:history="1">
        <w:r w:rsidRPr="00340863">
          <w:rPr>
            <w:rStyle w:val="Hyperlink"/>
          </w:rPr>
          <w:t>http://www.accountingcoach.com/financial-ratios/explanation</w:t>
        </w:r>
      </w:hyperlink>
    </w:p>
    <w:p w14:paraId="78128C1A" w14:textId="77777777" w:rsidR="00340863" w:rsidRPr="00340863" w:rsidRDefault="00340863" w:rsidP="00340863">
      <w:pPr>
        <w:spacing w:line="480" w:lineRule="auto"/>
        <w:ind w:left="720" w:hanging="720"/>
      </w:pPr>
      <w:hyperlink r:id="rId13" w:history="1">
        <w:r w:rsidRPr="00340863">
          <w:rPr>
            <w:rStyle w:val="Hyperlink"/>
          </w:rPr>
          <w:t>http://accountingexplained.com/financial/ratios/receivables-turnover</w:t>
        </w:r>
      </w:hyperlink>
    </w:p>
    <w:p w14:paraId="7A95AE50" w14:textId="77777777" w:rsidR="00340863" w:rsidRPr="00340863" w:rsidRDefault="00340863" w:rsidP="00340863">
      <w:pPr>
        <w:spacing w:line="480" w:lineRule="auto"/>
        <w:ind w:left="720" w:hanging="720"/>
      </w:pPr>
      <w:hyperlink r:id="rId14" w:history="1">
        <w:r w:rsidRPr="00340863">
          <w:rPr>
            <w:rStyle w:val="Hyperlink"/>
          </w:rPr>
          <w:t>http://www.accountingformanagement.org/price-earning-ratio</w:t>
        </w:r>
      </w:hyperlink>
    </w:p>
    <w:p w14:paraId="5FB01604" w14:textId="77777777" w:rsidR="0067082D" w:rsidRDefault="0067082D" w:rsidP="00340863">
      <w:pPr>
        <w:spacing w:line="480" w:lineRule="auto"/>
        <w:ind w:left="720" w:hanging="720"/>
      </w:pPr>
    </w:p>
    <w:sectPr w:rsidR="0067082D" w:rsidSect="000C5964">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CF1916" w14:textId="77777777" w:rsidR="00A87DDD" w:rsidRDefault="00A87DDD">
      <w:pPr>
        <w:spacing w:after="0" w:line="240" w:lineRule="auto"/>
      </w:pPr>
      <w:r>
        <w:separator/>
      </w:r>
    </w:p>
  </w:endnote>
  <w:endnote w:type="continuationSeparator" w:id="0">
    <w:p w14:paraId="6998D41C" w14:textId="77777777" w:rsidR="00A87DDD" w:rsidRDefault="00A87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824D1B" w14:textId="77777777" w:rsidR="00A87DDD" w:rsidRDefault="00A87DDD">
      <w:pPr>
        <w:spacing w:after="0" w:line="240" w:lineRule="auto"/>
      </w:pPr>
      <w:r>
        <w:separator/>
      </w:r>
    </w:p>
  </w:footnote>
  <w:footnote w:type="continuationSeparator" w:id="0">
    <w:p w14:paraId="60C79F7A" w14:textId="77777777" w:rsidR="00A87DDD" w:rsidRDefault="00A87D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EBF9E" w14:textId="285614DA" w:rsidR="000C5964" w:rsidRDefault="00E3194E">
    <w:pPr>
      <w:pStyle w:val="Header"/>
    </w:pPr>
    <w:r w:rsidRPr="00E3194E">
      <w:t>ANALYZING FINANCIAL STATEMENTS</w:t>
    </w:r>
    <w:r w:rsidR="00124E96">
      <w:tab/>
    </w:r>
    <w:r w:rsidR="00124E96">
      <w:tab/>
    </w:r>
    <w:r w:rsidR="00124E96">
      <w:fldChar w:fldCharType="begin"/>
    </w:r>
    <w:r w:rsidR="00124E96">
      <w:instrText xml:space="preserve"> PAGE   \* MERGEFORMAT </w:instrText>
    </w:r>
    <w:r w:rsidR="00124E96">
      <w:fldChar w:fldCharType="separate"/>
    </w:r>
    <w:r w:rsidR="003107F1">
      <w:rPr>
        <w:noProof/>
      </w:rPr>
      <w:t>3</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723F8" w14:textId="3C46571B" w:rsidR="000C5964" w:rsidRDefault="00124E96" w:rsidP="000C5964">
    <w:pPr>
      <w:pStyle w:val="Header"/>
    </w:pPr>
    <w:r>
      <w:t xml:space="preserve">Running head: </w:t>
    </w:r>
    <w:r w:rsidR="00E3194E" w:rsidRPr="00E3194E">
      <w:t>ANALYZING FINANCIAL STATEMENTS</w:t>
    </w:r>
    <w:r w:rsidR="00D00FF6">
      <w:t xml:space="preserve">                       </w:t>
    </w:r>
    <w:r>
      <w:tab/>
    </w:r>
    <w:r>
      <w:fldChar w:fldCharType="begin"/>
    </w:r>
    <w:r>
      <w:instrText xml:space="preserve"> PAGE   \* MERGEFORMAT </w:instrText>
    </w:r>
    <w:r>
      <w:fldChar w:fldCharType="separate"/>
    </w:r>
    <w:r w:rsidR="00340863">
      <w:rPr>
        <w:noProof/>
      </w:rPr>
      <w:t>1</w:t>
    </w:r>
    <w:r>
      <w:rPr>
        <w:noProof/>
      </w:rPr>
      <w:fldChar w:fldCharType="end"/>
    </w:r>
  </w:p>
  <w:p w14:paraId="4EA8277C" w14:textId="666EA904" w:rsidR="000C5964" w:rsidRDefault="000C59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2D4"/>
    <w:rsid w:val="00012B23"/>
    <w:rsid w:val="000609DC"/>
    <w:rsid w:val="000858DE"/>
    <w:rsid w:val="000942A1"/>
    <w:rsid w:val="000C5964"/>
    <w:rsid w:val="000D0D65"/>
    <w:rsid w:val="000E26FC"/>
    <w:rsid w:val="000E586C"/>
    <w:rsid w:val="000F0D68"/>
    <w:rsid w:val="00120FC6"/>
    <w:rsid w:val="00123208"/>
    <w:rsid w:val="00124E96"/>
    <w:rsid w:val="00127E8D"/>
    <w:rsid w:val="001717BF"/>
    <w:rsid w:val="001922D4"/>
    <w:rsid w:val="001954F1"/>
    <w:rsid w:val="001B78AC"/>
    <w:rsid w:val="001C3356"/>
    <w:rsid w:val="001C514F"/>
    <w:rsid w:val="001C7CAB"/>
    <w:rsid w:val="001E69BA"/>
    <w:rsid w:val="00200448"/>
    <w:rsid w:val="00205334"/>
    <w:rsid w:val="00205F60"/>
    <w:rsid w:val="00235EF5"/>
    <w:rsid w:val="00240E41"/>
    <w:rsid w:val="00250936"/>
    <w:rsid w:val="0025568D"/>
    <w:rsid w:val="00274616"/>
    <w:rsid w:val="00283A80"/>
    <w:rsid w:val="002A00CA"/>
    <w:rsid w:val="002A3E80"/>
    <w:rsid w:val="002E42EA"/>
    <w:rsid w:val="002E5CCB"/>
    <w:rsid w:val="003107F1"/>
    <w:rsid w:val="00312ECD"/>
    <w:rsid w:val="00325EA2"/>
    <w:rsid w:val="00340863"/>
    <w:rsid w:val="00341A79"/>
    <w:rsid w:val="00391085"/>
    <w:rsid w:val="003A4C4D"/>
    <w:rsid w:val="003C0699"/>
    <w:rsid w:val="003C5096"/>
    <w:rsid w:val="003E0DF3"/>
    <w:rsid w:val="00400081"/>
    <w:rsid w:val="004011FA"/>
    <w:rsid w:val="0041003C"/>
    <w:rsid w:val="00411C50"/>
    <w:rsid w:val="0042628F"/>
    <w:rsid w:val="00430421"/>
    <w:rsid w:val="004336C7"/>
    <w:rsid w:val="00445721"/>
    <w:rsid w:val="004575B8"/>
    <w:rsid w:val="004856FF"/>
    <w:rsid w:val="004F06DF"/>
    <w:rsid w:val="00501975"/>
    <w:rsid w:val="005178DE"/>
    <w:rsid w:val="00524E71"/>
    <w:rsid w:val="005262DA"/>
    <w:rsid w:val="00542539"/>
    <w:rsid w:val="00562A86"/>
    <w:rsid w:val="00566FA1"/>
    <w:rsid w:val="00596F43"/>
    <w:rsid w:val="005C6DE9"/>
    <w:rsid w:val="0061517F"/>
    <w:rsid w:val="00642861"/>
    <w:rsid w:val="006518DD"/>
    <w:rsid w:val="00660487"/>
    <w:rsid w:val="0066468A"/>
    <w:rsid w:val="0067082D"/>
    <w:rsid w:val="0068160D"/>
    <w:rsid w:val="006A4049"/>
    <w:rsid w:val="006A69D2"/>
    <w:rsid w:val="006E4A0E"/>
    <w:rsid w:val="006E6301"/>
    <w:rsid w:val="006E68AE"/>
    <w:rsid w:val="006E72B6"/>
    <w:rsid w:val="007907D2"/>
    <w:rsid w:val="0079459F"/>
    <w:rsid w:val="00795EA9"/>
    <w:rsid w:val="007E7A9F"/>
    <w:rsid w:val="00861423"/>
    <w:rsid w:val="008978BA"/>
    <w:rsid w:val="008B14DF"/>
    <w:rsid w:val="008D4196"/>
    <w:rsid w:val="008E0EC4"/>
    <w:rsid w:val="008F4073"/>
    <w:rsid w:val="008F49DB"/>
    <w:rsid w:val="00901608"/>
    <w:rsid w:val="00954BED"/>
    <w:rsid w:val="009649B3"/>
    <w:rsid w:val="00980830"/>
    <w:rsid w:val="00983470"/>
    <w:rsid w:val="00983CF5"/>
    <w:rsid w:val="00990F8C"/>
    <w:rsid w:val="009B0442"/>
    <w:rsid w:val="009C5022"/>
    <w:rsid w:val="00A21CAB"/>
    <w:rsid w:val="00A23F14"/>
    <w:rsid w:val="00A305D2"/>
    <w:rsid w:val="00A7614D"/>
    <w:rsid w:val="00A87DDD"/>
    <w:rsid w:val="00A91C43"/>
    <w:rsid w:val="00A9271E"/>
    <w:rsid w:val="00A935B4"/>
    <w:rsid w:val="00A95C54"/>
    <w:rsid w:val="00AA0EB5"/>
    <w:rsid w:val="00AA6F5A"/>
    <w:rsid w:val="00AC5101"/>
    <w:rsid w:val="00AD42BE"/>
    <w:rsid w:val="00AD78D0"/>
    <w:rsid w:val="00B3541B"/>
    <w:rsid w:val="00B41C3B"/>
    <w:rsid w:val="00B651CF"/>
    <w:rsid w:val="00C01E80"/>
    <w:rsid w:val="00C24DE0"/>
    <w:rsid w:val="00C66B5D"/>
    <w:rsid w:val="00C82270"/>
    <w:rsid w:val="00C82553"/>
    <w:rsid w:val="00C84394"/>
    <w:rsid w:val="00CB3EEF"/>
    <w:rsid w:val="00D00FF6"/>
    <w:rsid w:val="00D40778"/>
    <w:rsid w:val="00D824D6"/>
    <w:rsid w:val="00DB3A96"/>
    <w:rsid w:val="00DC03AF"/>
    <w:rsid w:val="00DD0658"/>
    <w:rsid w:val="00DE1428"/>
    <w:rsid w:val="00DF099D"/>
    <w:rsid w:val="00DF46A2"/>
    <w:rsid w:val="00E13284"/>
    <w:rsid w:val="00E3194E"/>
    <w:rsid w:val="00E46D5E"/>
    <w:rsid w:val="00E74F8D"/>
    <w:rsid w:val="00E906C8"/>
    <w:rsid w:val="00EB70AD"/>
    <w:rsid w:val="00F03B24"/>
    <w:rsid w:val="00F70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0AE163-6A83-4622-A977-4A12298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styleId="Hyperlink">
    <w:name w:val="Hyperlink"/>
    <w:basedOn w:val="DefaultParagraphFont"/>
    <w:uiPriority w:val="99"/>
    <w:unhideWhenUsed/>
    <w:rsid w:val="003408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s.lumenlearning.com/boundless-finance/chapter/standardizing-financial-statements/" TargetMode="External"/><Relationship Id="rId13" Type="http://schemas.openxmlformats.org/officeDocument/2006/relationships/hyperlink" Target="http://accountingexplained.com/financial/ratios/receivables-turnover"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rbj.com/articles/84607-analyzing-your-company-financials-dont-kill-the-messenger" TargetMode="External"/><Relationship Id="rId12" Type="http://schemas.openxmlformats.org/officeDocument/2006/relationships/hyperlink" Target="http://www.accountingcoach.com/financial-ratios/explanatio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accountingexplained.com/financial/ratios/net-profit-margin"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investinganswers.com/financial-dictionary/financial-statement-analysis/net-profit-margin-2233" TargetMode="External"/><Relationship Id="rId4" Type="http://schemas.openxmlformats.org/officeDocument/2006/relationships/webSettings" Target="webSettings.xml"/><Relationship Id="rId9" Type="http://schemas.openxmlformats.org/officeDocument/2006/relationships/hyperlink" Target="https://courses.lumenlearning.com/boundless-finance/chapter/the-role-of-financial-forecasting-in-planning/" TargetMode="External"/><Relationship Id="rId14" Type="http://schemas.openxmlformats.org/officeDocument/2006/relationships/hyperlink" Target="http://www.accountingformanagement.org/price-earning-rat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C7BBC-DE27-4656-9F39-4A6DC098B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Pages>
  <Words>551</Words>
  <Characters>3144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Julius</cp:lastModifiedBy>
  <cp:revision>8</cp:revision>
  <dcterms:created xsi:type="dcterms:W3CDTF">2020-02-21T03:48:00Z</dcterms:created>
  <dcterms:modified xsi:type="dcterms:W3CDTF">2020-02-21T05:27:00Z</dcterms:modified>
</cp:coreProperties>
</file>