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7B6" w:rsidRDefault="00A717B6" w:rsidP="00A717B6">
      <w:pPr>
        <w:spacing w:line="480" w:lineRule="auto"/>
        <w:jc w:val="center"/>
      </w:pPr>
    </w:p>
    <w:p w:rsidR="00A717B6" w:rsidRDefault="00A717B6" w:rsidP="00A717B6">
      <w:pPr>
        <w:spacing w:line="480" w:lineRule="auto"/>
        <w:jc w:val="center"/>
      </w:pPr>
    </w:p>
    <w:p w:rsidR="00A717B6" w:rsidRDefault="00A717B6" w:rsidP="00A717B6">
      <w:pPr>
        <w:spacing w:line="480" w:lineRule="auto"/>
        <w:jc w:val="center"/>
      </w:pPr>
    </w:p>
    <w:p w:rsidR="00A717B6" w:rsidRDefault="00A717B6" w:rsidP="00A717B6">
      <w:pPr>
        <w:spacing w:line="480" w:lineRule="auto"/>
        <w:jc w:val="center"/>
      </w:pPr>
    </w:p>
    <w:p w:rsidR="00A717B6" w:rsidRDefault="00A717B6" w:rsidP="00A717B6">
      <w:pPr>
        <w:spacing w:line="480" w:lineRule="auto"/>
        <w:jc w:val="center"/>
      </w:pPr>
    </w:p>
    <w:p w:rsidR="00A717B6" w:rsidRDefault="00A717B6" w:rsidP="00A717B6">
      <w:pPr>
        <w:spacing w:line="480" w:lineRule="auto"/>
        <w:jc w:val="center"/>
      </w:pPr>
    </w:p>
    <w:p w:rsidR="00A717B6" w:rsidRDefault="00A717B6" w:rsidP="00A717B6">
      <w:pPr>
        <w:spacing w:line="480" w:lineRule="auto"/>
        <w:jc w:val="center"/>
      </w:pPr>
    </w:p>
    <w:p w:rsidR="00A717B6" w:rsidRDefault="002F2D6D" w:rsidP="00A717B6">
      <w:pPr>
        <w:spacing w:line="480" w:lineRule="auto"/>
        <w:jc w:val="center"/>
      </w:pPr>
      <w:r w:rsidRPr="00A717B6">
        <w:t>The Annotated Bibliography</w:t>
      </w:r>
    </w:p>
    <w:p w:rsidR="00A717B6" w:rsidRDefault="002F2D6D" w:rsidP="00A717B6">
      <w:pPr>
        <w:spacing w:line="480" w:lineRule="auto"/>
        <w:jc w:val="center"/>
      </w:pPr>
      <w:r>
        <w:t>Student’s Name</w:t>
      </w:r>
    </w:p>
    <w:p w:rsidR="00A717B6" w:rsidRDefault="002F2D6D" w:rsidP="00A717B6">
      <w:pPr>
        <w:spacing w:line="480" w:lineRule="auto"/>
        <w:jc w:val="center"/>
      </w:pPr>
      <w:r>
        <w:t>Institutional Affiliation</w:t>
      </w:r>
    </w:p>
    <w:p w:rsidR="00A717B6" w:rsidRDefault="002F2D6D" w:rsidP="00A717B6">
      <w:pPr>
        <w:spacing w:line="480" w:lineRule="auto"/>
        <w:jc w:val="center"/>
      </w:pPr>
      <w:r>
        <w:t>Date of Submission</w:t>
      </w:r>
    </w:p>
    <w:p w:rsidR="00A717B6" w:rsidRDefault="00A717B6" w:rsidP="00242D6F">
      <w:pPr>
        <w:spacing w:line="480" w:lineRule="auto"/>
        <w:ind w:left="720" w:hanging="720"/>
      </w:pPr>
    </w:p>
    <w:p w:rsidR="00A717B6" w:rsidRDefault="00A717B6" w:rsidP="00242D6F">
      <w:pPr>
        <w:spacing w:line="480" w:lineRule="auto"/>
        <w:ind w:left="720" w:hanging="720"/>
      </w:pPr>
    </w:p>
    <w:p w:rsidR="00A717B6" w:rsidRDefault="00A717B6" w:rsidP="00242D6F">
      <w:pPr>
        <w:spacing w:line="480" w:lineRule="auto"/>
        <w:ind w:left="720" w:hanging="720"/>
      </w:pPr>
    </w:p>
    <w:p w:rsidR="00A717B6" w:rsidRDefault="00A717B6" w:rsidP="00242D6F">
      <w:pPr>
        <w:spacing w:line="480" w:lineRule="auto"/>
        <w:ind w:left="720" w:hanging="720"/>
      </w:pPr>
    </w:p>
    <w:p w:rsidR="00A717B6" w:rsidRDefault="00A717B6" w:rsidP="00242D6F">
      <w:pPr>
        <w:spacing w:line="480" w:lineRule="auto"/>
        <w:ind w:left="720" w:hanging="720"/>
      </w:pPr>
    </w:p>
    <w:p w:rsidR="00A717B6" w:rsidRDefault="00A717B6" w:rsidP="00242D6F">
      <w:pPr>
        <w:spacing w:line="480" w:lineRule="auto"/>
        <w:ind w:left="720" w:hanging="720"/>
      </w:pPr>
    </w:p>
    <w:p w:rsidR="00A717B6" w:rsidRDefault="00A717B6" w:rsidP="00242D6F">
      <w:pPr>
        <w:spacing w:line="480" w:lineRule="auto"/>
        <w:ind w:left="720" w:hanging="720"/>
      </w:pPr>
    </w:p>
    <w:p w:rsidR="00A717B6" w:rsidRDefault="00A717B6" w:rsidP="00242D6F">
      <w:pPr>
        <w:spacing w:line="480" w:lineRule="auto"/>
        <w:ind w:left="720" w:hanging="720"/>
      </w:pPr>
    </w:p>
    <w:p w:rsidR="00A717B6" w:rsidRDefault="00A717B6" w:rsidP="00242D6F">
      <w:pPr>
        <w:spacing w:line="480" w:lineRule="auto"/>
        <w:ind w:left="720" w:hanging="720"/>
      </w:pPr>
    </w:p>
    <w:p w:rsidR="00A717B6" w:rsidRPr="00A717B6" w:rsidRDefault="002F2D6D" w:rsidP="00A717B6">
      <w:pPr>
        <w:spacing w:line="480" w:lineRule="auto"/>
        <w:ind w:left="720" w:hanging="720"/>
        <w:jc w:val="center"/>
        <w:rPr>
          <w:b/>
        </w:rPr>
      </w:pPr>
      <w:r w:rsidRPr="00A717B6">
        <w:rPr>
          <w:b/>
        </w:rPr>
        <w:lastRenderedPageBreak/>
        <w:t>The Annotated Bibliography</w:t>
      </w:r>
    </w:p>
    <w:p w:rsidR="00242D6F" w:rsidRDefault="002F2D6D" w:rsidP="00242D6F">
      <w:pPr>
        <w:spacing w:line="480" w:lineRule="auto"/>
        <w:ind w:left="720" w:hanging="720"/>
      </w:pPr>
      <w:r>
        <w:t>Poe, Edgar Allan “The Masque of the Red Death”</w:t>
      </w:r>
      <w:r w:rsidRPr="00242D6F">
        <w:rPr>
          <w:i/>
        </w:rPr>
        <w:t xml:space="preserve"> The Co</w:t>
      </w:r>
      <w:r w:rsidR="009C416A" w:rsidRPr="00242D6F">
        <w:rPr>
          <w:i/>
        </w:rPr>
        <w:t>mplete Works of Allan Edgar Poe</w:t>
      </w:r>
      <w:r w:rsidR="009C416A">
        <w:t xml:space="preserve"> edited by James A. Harrison, Vol. 4, Thomas Y. Crowell, 1920, pp. 250-58. </w:t>
      </w:r>
      <w:r w:rsidR="009C416A" w:rsidRPr="00242D6F">
        <w:rPr>
          <w:i/>
        </w:rPr>
        <w:t>HathiTrust Digital Library</w:t>
      </w:r>
      <w:r w:rsidR="009C416A">
        <w:t>, hdl.handle.net/2027/coo.319240795743</w:t>
      </w:r>
      <w:r>
        <w:t>68.</w:t>
      </w:r>
    </w:p>
    <w:p w:rsidR="00242D6F" w:rsidRDefault="002F2D6D" w:rsidP="00242D6F">
      <w:pPr>
        <w:spacing w:line="480" w:lineRule="auto"/>
        <w:ind w:firstLine="720"/>
      </w:pPr>
      <w:r>
        <w:t xml:space="preserve">The Masque of the Red Death is a short story written by Edgar Allan Poe in 1845.  He writes a story about </w:t>
      </w:r>
      <w:r>
        <w:t>London's history. The Black Death led to the killing of 20 million people. In his story, a disease termed Red Death sweeps the fictional country, the poem's setting. The people are dying very fast and gruesomely. While the disease spreads like wildfire, Pr</w:t>
      </w:r>
      <w:r>
        <w:t xml:space="preserve">ospero the Prince feels happy and very hopeful. To protect himself from the plague, he chooses to lock the palace's gate and ignores the disease sweeping the land. He then decides to hold a decorative masquerade ball after some months, and the celebration </w:t>
      </w:r>
      <w:r>
        <w:t xml:space="preserve">shows how his single room is decorated with single colors. He uses the blue color to decorate the easternmost room and the glass windows with stains of blue paint. Rooms on the west side have an arrangement of green, violet, white, and orange. Black color </w:t>
      </w:r>
      <w:r>
        <w:t>is used in the seventh room, while the windows with red paint. The Prince room has an ebony clock; every hour the clock rings, it blares and distracts people, and they stop talking while the orchestra goes silent. When the clock stops, the room is so beaut</w:t>
      </w:r>
      <w:r>
        <w:t>iful with colors and full of dreams spinning among the celebrators. There comes a tall figure and very horrifying, and the people looked scared. The prince hurries with a dagger, but the tall figure turns, causing the prince to fall and die on the floor.</w:t>
      </w:r>
    </w:p>
    <w:p w:rsidR="00242D6F" w:rsidRDefault="002F2D6D" w:rsidP="00242D6F">
      <w:pPr>
        <w:spacing w:line="480" w:lineRule="auto"/>
        <w:ind w:firstLine="720"/>
      </w:pPr>
      <w:r>
        <w:t>F</w:t>
      </w:r>
      <w:r>
        <w:t xml:space="preserve">rom Edgar Poe's story, he fails to make the reader understand the narrator of the story. Each character faces death apart from death himself. Personally, the story is beneficial, as it shows no matter how you try to </w:t>
      </w:r>
      <w:r w:rsidR="006A0FC0">
        <w:t>escape;</w:t>
      </w:r>
      <w:r>
        <w:t xml:space="preserve"> time will come when you die. The</w:t>
      </w:r>
      <w:r>
        <w:t>refore, death is inevitable.</w:t>
      </w:r>
    </w:p>
    <w:p w:rsidR="00242D6F" w:rsidRDefault="002F2D6D" w:rsidP="00242D6F">
      <w:pPr>
        <w:spacing w:line="480" w:lineRule="auto"/>
        <w:ind w:left="720" w:hanging="720"/>
      </w:pPr>
      <w:r>
        <w:lastRenderedPageBreak/>
        <w:t xml:space="preserve">Goldman, Anne. "Questions of Transport: Reading Primo Levi Reading Dante." </w:t>
      </w:r>
      <w:r w:rsidRPr="00242D6F">
        <w:rPr>
          <w:i/>
        </w:rPr>
        <w:t>The Georgia Review</w:t>
      </w:r>
      <w:r>
        <w:t>, vol. 64, no. 1, Board of Regents of the University System of Georgia by and on behalf of the University of Georgia and the Georgia R</w:t>
      </w:r>
      <w:r>
        <w:t xml:space="preserve">eview, 2010, pp. 69–88, </w:t>
      </w:r>
      <w:hyperlink r:id="rId7" w:history="1">
        <w:r w:rsidRPr="00BF50BE">
          <w:rPr>
            <w:rStyle w:val="Hyperlink"/>
          </w:rPr>
          <w:t>http://www.jstor.org/stable/41403188</w:t>
        </w:r>
      </w:hyperlink>
      <w:r>
        <w:t>.</w:t>
      </w:r>
    </w:p>
    <w:p w:rsidR="00242D6F" w:rsidRDefault="002F2D6D" w:rsidP="00242D6F">
      <w:pPr>
        <w:spacing w:line="480" w:lineRule="auto"/>
        <w:ind w:firstLine="720"/>
      </w:pPr>
      <w:r>
        <w:t xml:space="preserve">Dante started writing a poem about seven hundred years ago, but it was not published until 1314.  Ann Goldman narrated the writings of Dante </w:t>
      </w:r>
      <w:r>
        <w:t>when the printing press in Europe was cumbersome to print. She tells how every week, newsprint was supplied for recycling in her California hometown. When she was 30 years old, a Jew directed her to Dante's gate. She surveys the poet's "cittàd olente in th</w:t>
      </w:r>
      <w:r>
        <w:t>e presence of Primo Levi am a man who had just returned from 15 years ago from the alternative city of death. Ulysses remembers the story of the inferno, while Ugolino remembers the pain she went through. Although the pain is too deep, the souls remain. Sh</w:t>
      </w:r>
      <w:r>
        <w:t>e tells how her encounter with another person gathered a kind courtesy and seemed like a figure to reckon with.</w:t>
      </w:r>
    </w:p>
    <w:p w:rsidR="00F92C2E" w:rsidRDefault="002F2D6D" w:rsidP="00242D6F">
      <w:pPr>
        <w:spacing w:line="480" w:lineRule="auto"/>
        <w:ind w:firstLine="720"/>
      </w:pPr>
      <w:r>
        <w:t>One major criticism is how the story does not reveal whether the narrator is reliable or not.</w:t>
      </w:r>
      <w:r w:rsidR="00242D6F">
        <w:t xml:space="preserve"> </w:t>
      </w:r>
      <w:r>
        <w:t>The story encourages me to scale high no matter th</w:t>
      </w:r>
      <w:r>
        <w:t>e circumstan</w:t>
      </w:r>
      <w:r w:rsidR="006F761A">
        <w:t xml:space="preserve">ces. It needs one to shake off </w:t>
      </w:r>
      <w:r w:rsidR="00242D6F">
        <w:t>the challenges we go through daily.</w:t>
      </w:r>
    </w:p>
    <w:p w:rsidR="00242D6F" w:rsidRDefault="00242D6F" w:rsidP="00242D6F">
      <w:pPr>
        <w:spacing w:line="480" w:lineRule="auto"/>
        <w:ind w:firstLine="720"/>
      </w:pPr>
    </w:p>
    <w:p w:rsidR="00242D6F" w:rsidRDefault="00242D6F" w:rsidP="00242D6F">
      <w:pPr>
        <w:spacing w:line="480" w:lineRule="auto"/>
        <w:ind w:firstLine="720"/>
      </w:pPr>
    </w:p>
    <w:p w:rsidR="00242D6F" w:rsidRDefault="00242D6F" w:rsidP="00242D6F">
      <w:pPr>
        <w:spacing w:line="480" w:lineRule="auto"/>
        <w:ind w:firstLine="720"/>
      </w:pPr>
    </w:p>
    <w:p w:rsidR="00242D6F" w:rsidRDefault="00242D6F" w:rsidP="00242D6F">
      <w:pPr>
        <w:spacing w:line="480" w:lineRule="auto"/>
        <w:ind w:firstLine="720"/>
      </w:pPr>
    </w:p>
    <w:p w:rsidR="00242D6F" w:rsidRDefault="00242D6F" w:rsidP="00242D6F">
      <w:pPr>
        <w:spacing w:line="480" w:lineRule="auto"/>
        <w:ind w:firstLine="720"/>
      </w:pPr>
    </w:p>
    <w:p w:rsidR="00242D6F" w:rsidRDefault="00242D6F" w:rsidP="00242D6F">
      <w:pPr>
        <w:spacing w:line="480" w:lineRule="auto"/>
        <w:ind w:firstLine="720"/>
      </w:pPr>
    </w:p>
    <w:p w:rsidR="00242D6F" w:rsidRDefault="00242D6F" w:rsidP="00242D6F">
      <w:pPr>
        <w:spacing w:line="480" w:lineRule="auto"/>
      </w:pPr>
    </w:p>
    <w:p w:rsidR="00242D6F" w:rsidRDefault="002F2D6D" w:rsidP="00242D6F">
      <w:pPr>
        <w:spacing w:line="480" w:lineRule="auto"/>
        <w:jc w:val="center"/>
        <w:rPr>
          <w:b/>
        </w:rPr>
      </w:pPr>
      <w:r w:rsidRPr="00242D6F">
        <w:rPr>
          <w:b/>
        </w:rPr>
        <w:lastRenderedPageBreak/>
        <w:t>R</w:t>
      </w:r>
      <w:r>
        <w:rPr>
          <w:b/>
        </w:rPr>
        <w:t>eferences</w:t>
      </w:r>
    </w:p>
    <w:p w:rsidR="00242D6F" w:rsidRDefault="002F2D6D" w:rsidP="00242D6F">
      <w:pPr>
        <w:spacing w:line="480" w:lineRule="auto"/>
        <w:ind w:left="720" w:hanging="720"/>
      </w:pPr>
      <w:r w:rsidRPr="00242D6F">
        <w:t xml:space="preserve">Goldman, Anne. "Questions of Transport: Reading Primo Levi Reading Dante." </w:t>
      </w:r>
      <w:r w:rsidRPr="00242D6F">
        <w:rPr>
          <w:i/>
        </w:rPr>
        <w:t>The Georgia Review</w:t>
      </w:r>
      <w:r w:rsidRPr="00242D6F">
        <w:t>, vol. 64, no. 1, Board of Regents of the University System of Geo</w:t>
      </w:r>
      <w:r w:rsidRPr="00242D6F">
        <w:t xml:space="preserve">rgia by and on behalf of the University of Georgia and the Georgia Review, 2010, pp. 69–88, </w:t>
      </w:r>
      <w:hyperlink r:id="rId8" w:history="1">
        <w:r w:rsidRPr="00242D6F">
          <w:rPr>
            <w:rStyle w:val="Hyperlink"/>
          </w:rPr>
          <w:t>http://www.jstor.org/stable/41403188</w:t>
        </w:r>
      </w:hyperlink>
      <w:r w:rsidRPr="00242D6F">
        <w:t>.</w:t>
      </w:r>
    </w:p>
    <w:p w:rsidR="00364DE1" w:rsidRPr="00F92C2E" w:rsidRDefault="002F2D6D" w:rsidP="00242D6F">
      <w:pPr>
        <w:spacing w:line="480" w:lineRule="auto"/>
        <w:ind w:left="720" w:hanging="720"/>
      </w:pPr>
      <w:r w:rsidRPr="00242D6F">
        <w:t>Poe, Edgar Allan “The Masque of the Red Death”</w:t>
      </w:r>
      <w:r w:rsidRPr="00242D6F">
        <w:rPr>
          <w:i/>
        </w:rPr>
        <w:t xml:space="preserve"> The Complete Works of Alla</w:t>
      </w:r>
      <w:r w:rsidRPr="00242D6F">
        <w:rPr>
          <w:i/>
        </w:rPr>
        <w:t>n Edgar Poe</w:t>
      </w:r>
      <w:r w:rsidRPr="00242D6F">
        <w:t xml:space="preserve"> edited by James A. Harrison, Vol. 4, Thomas Y. Crowell, 1920, pp. 250-58. </w:t>
      </w:r>
      <w:r w:rsidRPr="00242D6F">
        <w:rPr>
          <w:i/>
        </w:rPr>
        <w:t>HathiTrust Digital Library</w:t>
      </w:r>
      <w:r w:rsidRPr="00242D6F">
        <w:t>, h</w:t>
      </w:r>
      <w:bookmarkStart w:id="0" w:name="_GoBack"/>
      <w:bookmarkEnd w:id="0"/>
      <w:r w:rsidRPr="00242D6F">
        <w:t>dl.handle.net/2027/coo.31924079574368.</w:t>
      </w:r>
    </w:p>
    <w:sectPr w:rsidR="00364DE1" w:rsidRPr="00F92C2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D6D" w:rsidRDefault="002F2D6D">
      <w:pPr>
        <w:spacing w:after="0" w:line="240" w:lineRule="auto"/>
      </w:pPr>
      <w:r>
        <w:separator/>
      </w:r>
    </w:p>
  </w:endnote>
  <w:endnote w:type="continuationSeparator" w:id="0">
    <w:p w:rsidR="002F2D6D" w:rsidRDefault="002F2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D6D" w:rsidRDefault="002F2D6D">
      <w:pPr>
        <w:spacing w:after="0" w:line="240" w:lineRule="auto"/>
      </w:pPr>
      <w:r>
        <w:separator/>
      </w:r>
    </w:p>
  </w:footnote>
  <w:footnote w:type="continuationSeparator" w:id="0">
    <w:p w:rsidR="002F2D6D" w:rsidRDefault="002F2D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832599"/>
      <w:docPartObj>
        <w:docPartGallery w:val="Page Numbers (Top of Page)"/>
        <w:docPartUnique/>
      </w:docPartObj>
    </w:sdtPr>
    <w:sdtEndPr>
      <w:rPr>
        <w:noProof/>
      </w:rPr>
    </w:sdtEndPr>
    <w:sdtContent>
      <w:p w:rsidR="00A717B6" w:rsidRDefault="002F2D6D">
        <w:pPr>
          <w:pStyle w:val="Header"/>
          <w:jc w:val="right"/>
        </w:pPr>
        <w:r>
          <w:t xml:space="preserve">THE ANNOTATED BIBLIOGRAPHY                                                                                   </w:t>
        </w:r>
        <w:r>
          <w:fldChar w:fldCharType="begin"/>
        </w:r>
        <w:r>
          <w:instrText xml:space="preserve"> PAGE   \* MERGEFORMAT </w:instrText>
        </w:r>
        <w:r>
          <w:fldChar w:fldCharType="separate"/>
        </w:r>
        <w:r w:rsidR="00457BAC">
          <w:rPr>
            <w:noProof/>
          </w:rPr>
          <w:t>4</w:t>
        </w:r>
        <w:r>
          <w:rPr>
            <w:noProof/>
          </w:rPr>
          <w:fldChar w:fldCharType="end"/>
        </w:r>
      </w:p>
    </w:sdtContent>
  </w:sdt>
  <w:p w:rsidR="00A717B6" w:rsidRDefault="00A717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BE7"/>
    <w:rsid w:val="000413B2"/>
    <w:rsid w:val="0004250F"/>
    <w:rsid w:val="0006109E"/>
    <w:rsid w:val="000C46BB"/>
    <w:rsid w:val="000D1B8A"/>
    <w:rsid w:val="00242D6F"/>
    <w:rsid w:val="002F2D6D"/>
    <w:rsid w:val="00357901"/>
    <w:rsid w:val="00364DE1"/>
    <w:rsid w:val="003753B0"/>
    <w:rsid w:val="003C6026"/>
    <w:rsid w:val="00456BE7"/>
    <w:rsid w:val="00457BAC"/>
    <w:rsid w:val="00531620"/>
    <w:rsid w:val="005405F5"/>
    <w:rsid w:val="0054156C"/>
    <w:rsid w:val="005819B9"/>
    <w:rsid w:val="005C14F9"/>
    <w:rsid w:val="0068697A"/>
    <w:rsid w:val="006A0FC0"/>
    <w:rsid w:val="006F761A"/>
    <w:rsid w:val="00727703"/>
    <w:rsid w:val="00883F4C"/>
    <w:rsid w:val="00887EDF"/>
    <w:rsid w:val="008A26E3"/>
    <w:rsid w:val="009C416A"/>
    <w:rsid w:val="009E4B11"/>
    <w:rsid w:val="00A07094"/>
    <w:rsid w:val="00A604D2"/>
    <w:rsid w:val="00A717B6"/>
    <w:rsid w:val="00A75A53"/>
    <w:rsid w:val="00B32199"/>
    <w:rsid w:val="00B429D1"/>
    <w:rsid w:val="00B64092"/>
    <w:rsid w:val="00B84862"/>
    <w:rsid w:val="00BB5911"/>
    <w:rsid w:val="00BF50BE"/>
    <w:rsid w:val="00D7660D"/>
    <w:rsid w:val="00F92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7B6"/>
  </w:style>
  <w:style w:type="paragraph" w:styleId="Heading1">
    <w:name w:val="heading 1"/>
    <w:basedOn w:val="Normal"/>
    <w:next w:val="Normal"/>
    <w:link w:val="Heading1Char"/>
    <w:uiPriority w:val="9"/>
    <w:qFormat/>
    <w:rsid w:val="00BB5911"/>
    <w:pPr>
      <w:keepNext/>
      <w:spacing w:before="240" w:after="60"/>
      <w:outlineLvl w:val="0"/>
    </w:pPr>
    <w:rPr>
      <w:rFonts w:ascii="Calibri" w:eastAsiaTheme="majorEastAsia" w:hAnsi="Calibri" w:cstheme="majorBidi"/>
      <w:b/>
      <w:bCs/>
      <w:kern w:val="32"/>
      <w:sz w:val="22"/>
      <w:szCs w:val="32"/>
    </w:rPr>
  </w:style>
  <w:style w:type="paragraph" w:styleId="Heading2">
    <w:name w:val="heading 2"/>
    <w:basedOn w:val="Normal"/>
    <w:next w:val="Normal"/>
    <w:link w:val="Heading2Char"/>
    <w:uiPriority w:val="9"/>
    <w:unhideWhenUsed/>
    <w:qFormat/>
    <w:rsid w:val="00BB5911"/>
    <w:pPr>
      <w:keepNext/>
      <w:spacing w:before="240" w:after="60"/>
      <w:outlineLvl w:val="1"/>
    </w:pPr>
    <w:rPr>
      <w:rFonts w:ascii="Calibri" w:eastAsiaTheme="majorEastAsia" w:hAnsi="Calibri" w:cstheme="majorBidi"/>
      <w:b/>
      <w:bCs/>
      <w:i/>
      <w:iCs/>
      <w:sz w:val="22"/>
      <w:szCs w:val="28"/>
    </w:rPr>
  </w:style>
  <w:style w:type="paragraph" w:styleId="Heading3">
    <w:name w:val="heading 3"/>
    <w:basedOn w:val="Normal"/>
    <w:next w:val="Normal"/>
    <w:link w:val="Heading3Char"/>
    <w:uiPriority w:val="9"/>
    <w:unhideWhenUsed/>
    <w:qFormat/>
    <w:rsid w:val="00BB5911"/>
    <w:pPr>
      <w:keepNext/>
      <w:spacing w:before="240" w:after="60"/>
      <w:outlineLvl w:val="2"/>
    </w:pPr>
    <w:rPr>
      <w:rFonts w:ascii="Calibri" w:eastAsiaTheme="majorEastAsia" w:hAnsi="Calibri" w:cstheme="majorBidi"/>
      <w:b/>
      <w:bCs/>
      <w:sz w:val="22"/>
      <w:szCs w:val="26"/>
    </w:rPr>
  </w:style>
  <w:style w:type="paragraph" w:styleId="Heading4">
    <w:name w:val="heading 4"/>
    <w:basedOn w:val="Normal"/>
    <w:next w:val="Normal"/>
    <w:link w:val="Heading4Char"/>
    <w:uiPriority w:val="9"/>
    <w:semiHidden/>
    <w:unhideWhenUsed/>
    <w:qFormat/>
    <w:rsid w:val="00BB5911"/>
    <w:pPr>
      <w:keepNext/>
      <w:spacing w:before="240" w:after="60"/>
      <w:outlineLvl w:val="3"/>
    </w:pPr>
    <w:rPr>
      <w:rFonts w:ascii="Calibri" w:eastAsiaTheme="minorEastAsia" w:hAnsi="Calibri" w:cstheme="minorBidi"/>
      <w:b/>
      <w:b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911"/>
    <w:rPr>
      <w:rFonts w:ascii="Calibri" w:eastAsiaTheme="majorEastAsia" w:hAnsi="Calibri" w:cstheme="majorBidi"/>
      <w:b/>
      <w:bCs/>
      <w:kern w:val="32"/>
      <w:sz w:val="22"/>
      <w:szCs w:val="32"/>
    </w:rPr>
  </w:style>
  <w:style w:type="character" w:customStyle="1" w:styleId="Heading2Char">
    <w:name w:val="Heading 2 Char"/>
    <w:basedOn w:val="DefaultParagraphFont"/>
    <w:link w:val="Heading2"/>
    <w:uiPriority w:val="9"/>
    <w:rsid w:val="00BB5911"/>
    <w:rPr>
      <w:rFonts w:ascii="Calibri" w:eastAsiaTheme="majorEastAsia" w:hAnsi="Calibri" w:cstheme="majorBidi"/>
      <w:b/>
      <w:bCs/>
      <w:i/>
      <w:iCs/>
      <w:sz w:val="22"/>
      <w:szCs w:val="28"/>
    </w:rPr>
  </w:style>
  <w:style w:type="character" w:customStyle="1" w:styleId="Heading3Char">
    <w:name w:val="Heading 3 Char"/>
    <w:basedOn w:val="DefaultParagraphFont"/>
    <w:link w:val="Heading3"/>
    <w:uiPriority w:val="9"/>
    <w:rsid w:val="00BB5911"/>
    <w:rPr>
      <w:rFonts w:ascii="Calibri" w:eastAsiaTheme="majorEastAsia" w:hAnsi="Calibri" w:cstheme="majorBidi"/>
      <w:b/>
      <w:bCs/>
      <w:sz w:val="22"/>
      <w:szCs w:val="26"/>
    </w:rPr>
  </w:style>
  <w:style w:type="character" w:customStyle="1" w:styleId="Heading4Char">
    <w:name w:val="Heading 4 Char"/>
    <w:basedOn w:val="DefaultParagraphFont"/>
    <w:link w:val="Heading4"/>
    <w:uiPriority w:val="9"/>
    <w:semiHidden/>
    <w:rsid w:val="00BB5911"/>
    <w:rPr>
      <w:rFonts w:ascii="Calibri" w:eastAsiaTheme="minorEastAsia" w:hAnsi="Calibri" w:cstheme="minorBidi"/>
      <w:b/>
      <w:bCs/>
      <w:sz w:val="22"/>
      <w:szCs w:val="28"/>
    </w:rPr>
  </w:style>
  <w:style w:type="paragraph" w:styleId="Subtitle">
    <w:name w:val="Subtitle"/>
    <w:basedOn w:val="Normal"/>
    <w:next w:val="Normal"/>
    <w:link w:val="SubtitleChar"/>
    <w:uiPriority w:val="11"/>
    <w:qFormat/>
    <w:rsid w:val="00BB5911"/>
    <w:pPr>
      <w:spacing w:after="60"/>
      <w:jc w:val="center"/>
      <w:outlineLvl w:val="1"/>
    </w:pPr>
    <w:rPr>
      <w:rFonts w:ascii="Calibri" w:eastAsiaTheme="majorEastAsia" w:hAnsi="Calibri" w:cstheme="majorBidi"/>
      <w:sz w:val="22"/>
      <w:szCs w:val="22"/>
    </w:rPr>
  </w:style>
  <w:style w:type="character" w:customStyle="1" w:styleId="SubtitleChar">
    <w:name w:val="Subtitle Char"/>
    <w:basedOn w:val="DefaultParagraphFont"/>
    <w:link w:val="Subtitle"/>
    <w:uiPriority w:val="11"/>
    <w:rsid w:val="00BB5911"/>
    <w:rPr>
      <w:rFonts w:ascii="Calibri" w:eastAsiaTheme="majorEastAsia" w:hAnsi="Calibri" w:cstheme="majorBidi"/>
      <w:sz w:val="22"/>
      <w:szCs w:val="22"/>
    </w:rPr>
  </w:style>
  <w:style w:type="character" w:styleId="Hyperlink">
    <w:name w:val="Hyperlink"/>
    <w:basedOn w:val="DefaultParagraphFont"/>
    <w:uiPriority w:val="99"/>
    <w:unhideWhenUsed/>
    <w:rsid w:val="00887EDF"/>
    <w:rPr>
      <w:color w:val="0563C1" w:themeColor="hyperlink"/>
      <w:u w:val="single"/>
    </w:rPr>
  </w:style>
  <w:style w:type="paragraph" w:styleId="Header">
    <w:name w:val="header"/>
    <w:basedOn w:val="Normal"/>
    <w:link w:val="HeaderChar"/>
    <w:uiPriority w:val="99"/>
    <w:unhideWhenUsed/>
    <w:rsid w:val="00A71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7B6"/>
  </w:style>
  <w:style w:type="paragraph" w:styleId="Footer">
    <w:name w:val="footer"/>
    <w:basedOn w:val="Normal"/>
    <w:link w:val="FooterChar"/>
    <w:uiPriority w:val="99"/>
    <w:unhideWhenUsed/>
    <w:rsid w:val="00A71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7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7B6"/>
  </w:style>
  <w:style w:type="paragraph" w:styleId="Heading1">
    <w:name w:val="heading 1"/>
    <w:basedOn w:val="Normal"/>
    <w:next w:val="Normal"/>
    <w:link w:val="Heading1Char"/>
    <w:uiPriority w:val="9"/>
    <w:qFormat/>
    <w:rsid w:val="00BB5911"/>
    <w:pPr>
      <w:keepNext/>
      <w:spacing w:before="240" w:after="60"/>
      <w:outlineLvl w:val="0"/>
    </w:pPr>
    <w:rPr>
      <w:rFonts w:ascii="Calibri" w:eastAsiaTheme="majorEastAsia" w:hAnsi="Calibri" w:cstheme="majorBidi"/>
      <w:b/>
      <w:bCs/>
      <w:kern w:val="32"/>
      <w:sz w:val="22"/>
      <w:szCs w:val="32"/>
    </w:rPr>
  </w:style>
  <w:style w:type="paragraph" w:styleId="Heading2">
    <w:name w:val="heading 2"/>
    <w:basedOn w:val="Normal"/>
    <w:next w:val="Normal"/>
    <w:link w:val="Heading2Char"/>
    <w:uiPriority w:val="9"/>
    <w:unhideWhenUsed/>
    <w:qFormat/>
    <w:rsid w:val="00BB5911"/>
    <w:pPr>
      <w:keepNext/>
      <w:spacing w:before="240" w:after="60"/>
      <w:outlineLvl w:val="1"/>
    </w:pPr>
    <w:rPr>
      <w:rFonts w:ascii="Calibri" w:eastAsiaTheme="majorEastAsia" w:hAnsi="Calibri" w:cstheme="majorBidi"/>
      <w:b/>
      <w:bCs/>
      <w:i/>
      <w:iCs/>
      <w:sz w:val="22"/>
      <w:szCs w:val="28"/>
    </w:rPr>
  </w:style>
  <w:style w:type="paragraph" w:styleId="Heading3">
    <w:name w:val="heading 3"/>
    <w:basedOn w:val="Normal"/>
    <w:next w:val="Normal"/>
    <w:link w:val="Heading3Char"/>
    <w:uiPriority w:val="9"/>
    <w:unhideWhenUsed/>
    <w:qFormat/>
    <w:rsid w:val="00BB5911"/>
    <w:pPr>
      <w:keepNext/>
      <w:spacing w:before="240" w:after="60"/>
      <w:outlineLvl w:val="2"/>
    </w:pPr>
    <w:rPr>
      <w:rFonts w:ascii="Calibri" w:eastAsiaTheme="majorEastAsia" w:hAnsi="Calibri" w:cstheme="majorBidi"/>
      <w:b/>
      <w:bCs/>
      <w:sz w:val="22"/>
      <w:szCs w:val="26"/>
    </w:rPr>
  </w:style>
  <w:style w:type="paragraph" w:styleId="Heading4">
    <w:name w:val="heading 4"/>
    <w:basedOn w:val="Normal"/>
    <w:next w:val="Normal"/>
    <w:link w:val="Heading4Char"/>
    <w:uiPriority w:val="9"/>
    <w:semiHidden/>
    <w:unhideWhenUsed/>
    <w:qFormat/>
    <w:rsid w:val="00BB5911"/>
    <w:pPr>
      <w:keepNext/>
      <w:spacing w:before="240" w:after="60"/>
      <w:outlineLvl w:val="3"/>
    </w:pPr>
    <w:rPr>
      <w:rFonts w:ascii="Calibri" w:eastAsiaTheme="minorEastAsia" w:hAnsi="Calibri" w:cstheme="minorBidi"/>
      <w:b/>
      <w:b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911"/>
    <w:rPr>
      <w:rFonts w:ascii="Calibri" w:eastAsiaTheme="majorEastAsia" w:hAnsi="Calibri" w:cstheme="majorBidi"/>
      <w:b/>
      <w:bCs/>
      <w:kern w:val="32"/>
      <w:sz w:val="22"/>
      <w:szCs w:val="32"/>
    </w:rPr>
  </w:style>
  <w:style w:type="character" w:customStyle="1" w:styleId="Heading2Char">
    <w:name w:val="Heading 2 Char"/>
    <w:basedOn w:val="DefaultParagraphFont"/>
    <w:link w:val="Heading2"/>
    <w:uiPriority w:val="9"/>
    <w:rsid w:val="00BB5911"/>
    <w:rPr>
      <w:rFonts w:ascii="Calibri" w:eastAsiaTheme="majorEastAsia" w:hAnsi="Calibri" w:cstheme="majorBidi"/>
      <w:b/>
      <w:bCs/>
      <w:i/>
      <w:iCs/>
      <w:sz w:val="22"/>
      <w:szCs w:val="28"/>
    </w:rPr>
  </w:style>
  <w:style w:type="character" w:customStyle="1" w:styleId="Heading3Char">
    <w:name w:val="Heading 3 Char"/>
    <w:basedOn w:val="DefaultParagraphFont"/>
    <w:link w:val="Heading3"/>
    <w:uiPriority w:val="9"/>
    <w:rsid w:val="00BB5911"/>
    <w:rPr>
      <w:rFonts w:ascii="Calibri" w:eastAsiaTheme="majorEastAsia" w:hAnsi="Calibri" w:cstheme="majorBidi"/>
      <w:b/>
      <w:bCs/>
      <w:sz w:val="22"/>
      <w:szCs w:val="26"/>
    </w:rPr>
  </w:style>
  <w:style w:type="character" w:customStyle="1" w:styleId="Heading4Char">
    <w:name w:val="Heading 4 Char"/>
    <w:basedOn w:val="DefaultParagraphFont"/>
    <w:link w:val="Heading4"/>
    <w:uiPriority w:val="9"/>
    <w:semiHidden/>
    <w:rsid w:val="00BB5911"/>
    <w:rPr>
      <w:rFonts w:ascii="Calibri" w:eastAsiaTheme="minorEastAsia" w:hAnsi="Calibri" w:cstheme="minorBidi"/>
      <w:b/>
      <w:bCs/>
      <w:sz w:val="22"/>
      <w:szCs w:val="28"/>
    </w:rPr>
  </w:style>
  <w:style w:type="paragraph" w:styleId="Subtitle">
    <w:name w:val="Subtitle"/>
    <w:basedOn w:val="Normal"/>
    <w:next w:val="Normal"/>
    <w:link w:val="SubtitleChar"/>
    <w:uiPriority w:val="11"/>
    <w:qFormat/>
    <w:rsid w:val="00BB5911"/>
    <w:pPr>
      <w:spacing w:after="60"/>
      <w:jc w:val="center"/>
      <w:outlineLvl w:val="1"/>
    </w:pPr>
    <w:rPr>
      <w:rFonts w:ascii="Calibri" w:eastAsiaTheme="majorEastAsia" w:hAnsi="Calibri" w:cstheme="majorBidi"/>
      <w:sz w:val="22"/>
      <w:szCs w:val="22"/>
    </w:rPr>
  </w:style>
  <w:style w:type="character" w:customStyle="1" w:styleId="SubtitleChar">
    <w:name w:val="Subtitle Char"/>
    <w:basedOn w:val="DefaultParagraphFont"/>
    <w:link w:val="Subtitle"/>
    <w:uiPriority w:val="11"/>
    <w:rsid w:val="00BB5911"/>
    <w:rPr>
      <w:rFonts w:ascii="Calibri" w:eastAsiaTheme="majorEastAsia" w:hAnsi="Calibri" w:cstheme="majorBidi"/>
      <w:sz w:val="22"/>
      <w:szCs w:val="22"/>
    </w:rPr>
  </w:style>
  <w:style w:type="character" w:styleId="Hyperlink">
    <w:name w:val="Hyperlink"/>
    <w:basedOn w:val="DefaultParagraphFont"/>
    <w:uiPriority w:val="99"/>
    <w:unhideWhenUsed/>
    <w:rsid w:val="00887EDF"/>
    <w:rPr>
      <w:color w:val="0563C1" w:themeColor="hyperlink"/>
      <w:u w:val="single"/>
    </w:rPr>
  </w:style>
  <w:style w:type="paragraph" w:styleId="Header">
    <w:name w:val="header"/>
    <w:basedOn w:val="Normal"/>
    <w:link w:val="HeaderChar"/>
    <w:uiPriority w:val="99"/>
    <w:unhideWhenUsed/>
    <w:rsid w:val="00A71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7B6"/>
  </w:style>
  <w:style w:type="paragraph" w:styleId="Footer">
    <w:name w:val="footer"/>
    <w:basedOn w:val="Normal"/>
    <w:link w:val="FooterChar"/>
    <w:uiPriority w:val="99"/>
    <w:unhideWhenUsed/>
    <w:rsid w:val="00A71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41403188" TargetMode="External"/><Relationship Id="rId3" Type="http://schemas.openxmlformats.org/officeDocument/2006/relationships/settings" Target="settings.xml"/><Relationship Id="rId7" Type="http://schemas.openxmlformats.org/officeDocument/2006/relationships/hyperlink" Target="http://www.jstor.org/stable/4140318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2021-10-19T01:53:00Z</dcterms:created>
  <dcterms:modified xsi:type="dcterms:W3CDTF">2021-10-19T01:53:00Z</dcterms:modified>
</cp:coreProperties>
</file>