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C5F" w:rsidRDefault="00E41C5F" w:rsidP="00554982">
      <w:pPr>
        <w:spacing w:line="480" w:lineRule="auto"/>
        <w:jc w:val="center"/>
      </w:pPr>
    </w:p>
    <w:p w:rsidR="00E41C5F" w:rsidRDefault="00E41C5F" w:rsidP="00554982">
      <w:pPr>
        <w:spacing w:line="480" w:lineRule="auto"/>
        <w:jc w:val="center"/>
      </w:pPr>
    </w:p>
    <w:p w:rsidR="00E41C5F" w:rsidRDefault="00E41C5F" w:rsidP="00554982">
      <w:pPr>
        <w:spacing w:line="480" w:lineRule="auto"/>
        <w:jc w:val="center"/>
      </w:pPr>
    </w:p>
    <w:p w:rsidR="00E41C5F" w:rsidRDefault="00E41C5F" w:rsidP="00554982">
      <w:pPr>
        <w:spacing w:line="480" w:lineRule="auto"/>
        <w:jc w:val="center"/>
      </w:pPr>
    </w:p>
    <w:p w:rsidR="00E41C5F" w:rsidRDefault="00E41C5F" w:rsidP="00554982">
      <w:pPr>
        <w:spacing w:line="480" w:lineRule="auto"/>
        <w:jc w:val="center"/>
      </w:pPr>
    </w:p>
    <w:p w:rsidR="00E41C5F" w:rsidRDefault="00E41C5F" w:rsidP="00554982">
      <w:pPr>
        <w:spacing w:line="480" w:lineRule="auto"/>
        <w:jc w:val="center"/>
      </w:pPr>
    </w:p>
    <w:p w:rsidR="00000C4F" w:rsidRPr="00000C4F" w:rsidRDefault="00000C4F" w:rsidP="00554982">
      <w:pPr>
        <w:spacing w:line="480" w:lineRule="auto"/>
        <w:jc w:val="center"/>
      </w:pPr>
      <w:r w:rsidRPr="00000C4F">
        <w:t xml:space="preserve">Annotated Bibliography-Wide </w:t>
      </w:r>
      <w:proofErr w:type="spellStart"/>
      <w:r w:rsidRPr="00000C4F">
        <w:t>Awakeness</w:t>
      </w:r>
      <w:proofErr w:type="spellEnd"/>
      <w:r w:rsidRPr="00000C4F">
        <w:t xml:space="preserve"> and the Moral of Life</w:t>
      </w:r>
    </w:p>
    <w:p w:rsidR="00000C4F" w:rsidRPr="00000C4F" w:rsidRDefault="00000C4F" w:rsidP="00554982">
      <w:pPr>
        <w:spacing w:line="480" w:lineRule="auto"/>
        <w:jc w:val="center"/>
      </w:pPr>
      <w:r w:rsidRPr="00000C4F">
        <w:t>Name</w:t>
      </w:r>
    </w:p>
    <w:p w:rsidR="00000C4F" w:rsidRDefault="00000C4F" w:rsidP="00554982">
      <w:pPr>
        <w:spacing w:line="480" w:lineRule="auto"/>
        <w:jc w:val="center"/>
        <w:rPr>
          <w:b/>
        </w:rPr>
      </w:pPr>
      <w:r w:rsidRPr="00000C4F">
        <w:t>Institution of Affiliation</w:t>
      </w:r>
      <w:r>
        <w:rPr>
          <w:b/>
        </w:rPr>
        <w:br w:type="page"/>
      </w:r>
    </w:p>
    <w:p w:rsidR="002F6C42" w:rsidRPr="00000C4F" w:rsidRDefault="00111310" w:rsidP="00554982">
      <w:pPr>
        <w:spacing w:line="480" w:lineRule="auto"/>
        <w:jc w:val="center"/>
        <w:rPr>
          <w:b/>
        </w:rPr>
      </w:pPr>
      <w:r w:rsidRPr="00000C4F">
        <w:rPr>
          <w:b/>
        </w:rPr>
        <w:lastRenderedPageBreak/>
        <w:t xml:space="preserve">Annotated Bibliography-Wide </w:t>
      </w:r>
      <w:proofErr w:type="spellStart"/>
      <w:r w:rsidRPr="00000C4F">
        <w:rPr>
          <w:b/>
        </w:rPr>
        <w:t>Awakeness</w:t>
      </w:r>
      <w:proofErr w:type="spellEnd"/>
      <w:r w:rsidRPr="00000C4F">
        <w:rPr>
          <w:b/>
        </w:rPr>
        <w:t xml:space="preserve"> and the Moral of Life</w:t>
      </w:r>
    </w:p>
    <w:p w:rsidR="00111310" w:rsidRDefault="00111310" w:rsidP="00554982">
      <w:pPr>
        <w:spacing w:after="0" w:line="480" w:lineRule="auto"/>
        <w:rPr>
          <w:rFonts w:eastAsia="Times New Roman" w:cs="Times New Roman"/>
          <w:szCs w:val="24"/>
        </w:rPr>
      </w:pPr>
      <w:r w:rsidRPr="00111310">
        <w:rPr>
          <w:rFonts w:eastAsia="Times New Roman" w:cs="Times New Roman"/>
          <w:szCs w:val="24"/>
        </w:rPr>
        <w:t>Greene, M. (1978). Wide-</w:t>
      </w:r>
      <w:proofErr w:type="spellStart"/>
      <w:r w:rsidRPr="00111310">
        <w:rPr>
          <w:rFonts w:eastAsia="Times New Roman" w:cs="Times New Roman"/>
          <w:szCs w:val="24"/>
        </w:rPr>
        <w:t>awakeness</w:t>
      </w:r>
      <w:proofErr w:type="spellEnd"/>
      <w:r w:rsidRPr="00111310">
        <w:rPr>
          <w:rFonts w:eastAsia="Times New Roman" w:cs="Times New Roman"/>
          <w:szCs w:val="24"/>
        </w:rPr>
        <w:t xml:space="preserve"> and the moral life. </w:t>
      </w:r>
      <w:r w:rsidRPr="00111310">
        <w:rPr>
          <w:rFonts w:eastAsia="Times New Roman" w:cs="Times New Roman"/>
          <w:i/>
          <w:iCs/>
          <w:szCs w:val="24"/>
        </w:rPr>
        <w:t>Landscapes of learning</w:t>
      </w:r>
      <w:r w:rsidRPr="00111310">
        <w:rPr>
          <w:rFonts w:eastAsia="Times New Roman" w:cs="Times New Roman"/>
          <w:szCs w:val="24"/>
        </w:rPr>
        <w:t>, 42-52.</w:t>
      </w:r>
    </w:p>
    <w:p w:rsidR="00CA01C3" w:rsidRPr="00111310" w:rsidRDefault="00CA01C3" w:rsidP="00AF6475">
      <w:pPr>
        <w:spacing w:after="0" w:line="480" w:lineRule="auto"/>
        <w:ind w:firstLine="720"/>
        <w:rPr>
          <w:rFonts w:eastAsia="Times New Roman" w:cs="Times New Roman"/>
          <w:szCs w:val="24"/>
        </w:rPr>
      </w:pPr>
      <w:r>
        <w:rPr>
          <w:rFonts w:eastAsia="Times New Roman" w:cs="Times New Roman"/>
          <w:szCs w:val="24"/>
        </w:rPr>
        <w:t>In this Article, Maxine Greene highlights the importance of moral wakeful</w:t>
      </w:r>
      <w:r w:rsidR="006814D2">
        <w:rPr>
          <w:rFonts w:eastAsia="Times New Roman" w:cs="Times New Roman"/>
          <w:szCs w:val="24"/>
        </w:rPr>
        <w:t xml:space="preserve">ness. She discusses the way </w:t>
      </w:r>
      <w:r>
        <w:rPr>
          <w:rFonts w:eastAsia="Times New Roman" w:cs="Times New Roman"/>
          <w:szCs w:val="24"/>
        </w:rPr>
        <w:t xml:space="preserve">people view things and </w:t>
      </w:r>
      <w:r w:rsidR="005C1E46">
        <w:rPr>
          <w:rFonts w:eastAsia="Times New Roman" w:cs="Times New Roman"/>
          <w:szCs w:val="24"/>
        </w:rPr>
        <w:t>provides</w:t>
      </w:r>
      <w:r>
        <w:rPr>
          <w:rFonts w:eastAsia="Times New Roman" w:cs="Times New Roman"/>
          <w:szCs w:val="24"/>
        </w:rPr>
        <w:t xml:space="preserve"> two perspectives: accepting situations as they </w:t>
      </w:r>
      <w:r w:rsidR="006814D2">
        <w:rPr>
          <w:rFonts w:eastAsia="Times New Roman" w:cs="Times New Roman"/>
          <w:szCs w:val="24"/>
        </w:rPr>
        <w:t>are</w:t>
      </w:r>
      <w:r>
        <w:rPr>
          <w:rFonts w:eastAsia="Times New Roman" w:cs="Times New Roman"/>
          <w:szCs w:val="24"/>
        </w:rPr>
        <w:t xml:space="preserve"> and not attempting to change or critique them, or becoming intellectually and mentally alert of how various </w:t>
      </w:r>
      <w:r w:rsidR="006814D2">
        <w:rPr>
          <w:rFonts w:eastAsia="Times New Roman" w:cs="Times New Roman"/>
          <w:szCs w:val="24"/>
        </w:rPr>
        <w:t>condi</w:t>
      </w:r>
      <w:r>
        <w:rPr>
          <w:rFonts w:eastAsia="Times New Roman" w:cs="Times New Roman"/>
          <w:szCs w:val="24"/>
        </w:rPr>
        <w:t>tions affect morality and taking the initiative to make the most morally rational choice, regardless of how unpopular it could be. She presents this argument by giving various examples such as Hamlet, Antigone, and The Plague, where the characters were faced with great moral dilemmas but eventually chose to use elevated consciousness to make morally and intellectually sound decisions.</w:t>
      </w:r>
      <w:r w:rsidR="00183328">
        <w:rPr>
          <w:rFonts w:eastAsia="Times New Roman" w:cs="Times New Roman"/>
          <w:szCs w:val="24"/>
        </w:rPr>
        <w:t xml:space="preserve"> Besides, she calls out teachers to rise beyond the </w:t>
      </w:r>
      <w:r w:rsidR="006814D2">
        <w:rPr>
          <w:rFonts w:eastAsia="Times New Roman" w:cs="Times New Roman"/>
          <w:szCs w:val="24"/>
        </w:rPr>
        <w:t>conventional</w:t>
      </w:r>
      <w:r w:rsidR="00183328">
        <w:rPr>
          <w:rFonts w:eastAsia="Times New Roman" w:cs="Times New Roman"/>
          <w:szCs w:val="24"/>
        </w:rPr>
        <w:t xml:space="preserve"> protocols in schools and understand </w:t>
      </w:r>
      <w:r w:rsidR="006814D2">
        <w:rPr>
          <w:rFonts w:eastAsia="Times New Roman" w:cs="Times New Roman"/>
          <w:szCs w:val="24"/>
        </w:rPr>
        <w:t xml:space="preserve">the </w:t>
      </w:r>
      <w:r w:rsidR="00183328">
        <w:rPr>
          <w:rFonts w:eastAsia="Times New Roman" w:cs="Times New Roman"/>
          <w:szCs w:val="24"/>
        </w:rPr>
        <w:t xml:space="preserve">reasons for the way things are planned. According to her, teachers ought to present themselves as critical </w:t>
      </w:r>
      <w:bookmarkStart w:id="0" w:name="_GoBack"/>
      <w:bookmarkEnd w:id="0"/>
      <w:r w:rsidR="005C1E46">
        <w:rPr>
          <w:rFonts w:eastAsia="Times New Roman" w:cs="Times New Roman"/>
          <w:szCs w:val="24"/>
        </w:rPr>
        <w:t>thinkers,</w:t>
      </w:r>
      <w:r w:rsidR="00183328">
        <w:rPr>
          <w:rFonts w:eastAsia="Times New Roman" w:cs="Times New Roman"/>
          <w:szCs w:val="24"/>
        </w:rPr>
        <w:t xml:space="preserve"> who are willing to display their principles and reasons, as well as people who are concerned and care.</w:t>
      </w:r>
      <w:r w:rsidR="00D04A43">
        <w:rPr>
          <w:rFonts w:eastAsia="Times New Roman" w:cs="Times New Roman"/>
          <w:szCs w:val="24"/>
        </w:rPr>
        <w:t xml:space="preserve"> She uses a wide range of examples to support her argument on why she thinks wide </w:t>
      </w:r>
      <w:proofErr w:type="spellStart"/>
      <w:r w:rsidR="00D04A43">
        <w:rPr>
          <w:rFonts w:eastAsia="Times New Roman" w:cs="Times New Roman"/>
          <w:szCs w:val="24"/>
        </w:rPr>
        <w:t>awakeness</w:t>
      </w:r>
      <w:proofErr w:type="spellEnd"/>
      <w:r w:rsidR="00D04A43">
        <w:rPr>
          <w:rFonts w:eastAsia="Times New Roman" w:cs="Times New Roman"/>
          <w:szCs w:val="24"/>
        </w:rPr>
        <w:t xml:space="preserve"> could be crucial in the process of liberating and arousing people to questions things that are wrong, mindless, and oppressive.</w:t>
      </w:r>
    </w:p>
    <w:p w:rsidR="00554982" w:rsidRDefault="00D04A43" w:rsidP="00AF6475">
      <w:pPr>
        <w:spacing w:line="480" w:lineRule="auto"/>
        <w:ind w:firstLine="720"/>
      </w:pPr>
      <w:r>
        <w:t>Maxine Greene is one of the celebrated scholars in education philosophy. For the past 50 years, she has been an idol to many educators, and most of her works, like this article, remain a touchstone for generations of artists, scholars, students, and teaching faculties.</w:t>
      </w:r>
      <w:r w:rsidR="009169F9">
        <w:t xml:space="preserve"> This article is reviewed by renowned philosophy scholars and is available as an open</w:t>
      </w:r>
      <w:r w:rsidR="006814D2">
        <w:t>-</w:t>
      </w:r>
      <w:r w:rsidR="009169F9">
        <w:t>access source.</w:t>
      </w:r>
      <w:r w:rsidR="00575A2F">
        <w:t xml:space="preserve"> In this article, she articulates the concept of wide-</w:t>
      </w:r>
      <w:proofErr w:type="spellStart"/>
      <w:r w:rsidR="00575A2F">
        <w:t>awakeness</w:t>
      </w:r>
      <w:proofErr w:type="spellEnd"/>
      <w:r w:rsidR="00575A2F">
        <w:t xml:space="preserve"> in response to the assertion by Henry David Thoreau that millions of people are awake for physical labor</w:t>
      </w:r>
      <w:r w:rsidR="006814D2">
        <w:t>. Still,</w:t>
      </w:r>
      <w:r w:rsidR="00575A2F">
        <w:t xml:space="preserve"> only a few are awake enough to demonstrate </w:t>
      </w:r>
      <w:r w:rsidR="006814D2">
        <w:t>sufficient</w:t>
      </w:r>
      <w:r w:rsidR="00575A2F">
        <w:t xml:space="preserve"> intellectual exertion. The article can help people make conscious choices that </w:t>
      </w:r>
      <w:r w:rsidR="006814D2">
        <w:t>are</w:t>
      </w:r>
      <w:r w:rsidR="00575A2F">
        <w:t xml:space="preserve"> necessary to elevate their level of consciousness.</w:t>
      </w:r>
      <w:r w:rsidR="00E607F1">
        <w:t xml:space="preserve"> It would be relevant in academic and scholarly works involving education philosophy as </w:t>
      </w:r>
      <w:r w:rsidR="005018A9">
        <w:t>well as</w:t>
      </w:r>
      <w:r w:rsidR="00E607F1">
        <w:t xml:space="preserve"> those that champion for the awakening of minds from a slumber of indifference to an elevated level of moral logic.</w:t>
      </w:r>
    </w:p>
    <w:sectPr w:rsidR="00554982" w:rsidSect="000356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B6F" w:rsidRDefault="00950B6F" w:rsidP="000356CF">
      <w:pPr>
        <w:spacing w:after="0" w:line="240" w:lineRule="auto"/>
      </w:pPr>
      <w:r>
        <w:separator/>
      </w:r>
    </w:p>
  </w:endnote>
  <w:endnote w:type="continuationSeparator" w:id="0">
    <w:p w:rsidR="00950B6F" w:rsidRDefault="00950B6F" w:rsidP="00035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B6F" w:rsidRDefault="00950B6F" w:rsidP="000356CF">
      <w:pPr>
        <w:spacing w:after="0" w:line="240" w:lineRule="auto"/>
      </w:pPr>
      <w:r>
        <w:separator/>
      </w:r>
    </w:p>
  </w:footnote>
  <w:footnote w:type="continuationSeparator" w:id="0">
    <w:p w:rsidR="00950B6F" w:rsidRDefault="00950B6F" w:rsidP="00035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6CF" w:rsidRDefault="000356CF">
    <w:pPr>
      <w:pStyle w:val="Header"/>
      <w:jc w:val="right"/>
    </w:pPr>
    <w:r>
      <w:t>ANNOTATED BIBLIOGRAPHY</w:t>
    </w:r>
    <w:r>
      <w:tab/>
    </w:r>
    <w:r>
      <w:tab/>
    </w:r>
    <w:sdt>
      <w:sdtPr>
        <w:id w:val="-6543814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1E46">
          <w:rPr>
            <w:noProof/>
          </w:rPr>
          <w:t>3</w:t>
        </w:r>
        <w:r>
          <w:rPr>
            <w:noProof/>
          </w:rPr>
          <w:fldChar w:fldCharType="end"/>
        </w:r>
      </w:sdtContent>
    </w:sdt>
  </w:p>
  <w:p w:rsidR="000356CF" w:rsidRDefault="000356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126" w:rsidRDefault="00D01126" w:rsidP="00D01126">
    <w:pPr>
      <w:pStyle w:val="Header"/>
    </w:pPr>
    <w:r>
      <w:t>Running head: ANNOTATED BIBLIOGRAPHY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310"/>
    <w:rsid w:val="00000C4F"/>
    <w:rsid w:val="000356CF"/>
    <w:rsid w:val="00111310"/>
    <w:rsid w:val="00183328"/>
    <w:rsid w:val="002F6C42"/>
    <w:rsid w:val="00354919"/>
    <w:rsid w:val="005018A9"/>
    <w:rsid w:val="00554982"/>
    <w:rsid w:val="00575A2F"/>
    <w:rsid w:val="005C1E46"/>
    <w:rsid w:val="006814D2"/>
    <w:rsid w:val="009169F9"/>
    <w:rsid w:val="00950B6F"/>
    <w:rsid w:val="009B617F"/>
    <w:rsid w:val="00A8491C"/>
    <w:rsid w:val="00AB51F3"/>
    <w:rsid w:val="00AF6475"/>
    <w:rsid w:val="00CA01C3"/>
    <w:rsid w:val="00D01126"/>
    <w:rsid w:val="00D04A43"/>
    <w:rsid w:val="00E41C5F"/>
    <w:rsid w:val="00E60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6CF"/>
  </w:style>
  <w:style w:type="paragraph" w:styleId="Footer">
    <w:name w:val="footer"/>
    <w:basedOn w:val="Normal"/>
    <w:link w:val="FooterChar"/>
    <w:uiPriority w:val="99"/>
    <w:unhideWhenUsed/>
    <w:rsid w:val="00035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6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6CF"/>
  </w:style>
  <w:style w:type="paragraph" w:styleId="Footer">
    <w:name w:val="footer"/>
    <w:basedOn w:val="Normal"/>
    <w:link w:val="FooterChar"/>
    <w:uiPriority w:val="99"/>
    <w:unhideWhenUsed/>
    <w:rsid w:val="00035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367869">
      <w:bodyDiv w:val="1"/>
      <w:marLeft w:val="0"/>
      <w:marRight w:val="0"/>
      <w:marTop w:val="0"/>
      <w:marBottom w:val="0"/>
      <w:divBdr>
        <w:top w:val="none" w:sz="0" w:space="0" w:color="auto"/>
        <w:left w:val="none" w:sz="0" w:space="0" w:color="auto"/>
        <w:bottom w:val="none" w:sz="0" w:space="0" w:color="auto"/>
        <w:right w:val="none" w:sz="0" w:space="0" w:color="auto"/>
      </w:divBdr>
      <w:divsChild>
        <w:div w:id="686981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2020-07-26T19:35:00Z</dcterms:created>
  <dcterms:modified xsi:type="dcterms:W3CDTF">2020-07-26T19:35:00Z</dcterms:modified>
</cp:coreProperties>
</file>